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Exchange Act of 1934 (Amendment No. )</w:t>
      </w:r>
    </w:p>
    <w:p>
      <w:pPr>
        <w:spacing w:after="0" w:line="6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EAGLE MATERIALS INC.</w:t>
      </w:r>
    </w:p>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01"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220" w:right="600" w:hanging="212"/>
        <w:spacing w:after="0" w:line="308"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-4975860</wp:posOffset>
            </wp:positionV>
            <wp:extent cx="682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-4409440</wp:posOffset>
            </wp:positionV>
            <wp:extent cx="6826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-3706495</wp:posOffset>
            </wp:positionV>
            <wp:extent cx="6826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-3140075</wp:posOffset>
            </wp:positionV>
            <wp:extent cx="6826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-2574290</wp:posOffset>
            </wp:positionV>
            <wp:extent cx="6826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-1459230</wp:posOffset>
            </wp:positionV>
            <wp:extent cx="6826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-893445</wp:posOffset>
            </wp:positionV>
            <wp:extent cx="6826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-327660</wp:posOffset>
            </wp:positionV>
            <wp:extent cx="6826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238125</wp:posOffset>
            </wp:positionV>
            <wp:extent cx="68262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30" w:right="319" w:bottom="6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2019-12-11T22:40:22Z</dcterms:created>
  <dcterms:modified xsi:type="dcterms:W3CDTF">2019-12-11T22:40:22Z</dcterms:modified>
</cp:coreProperties>
</file>