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SCHEDULE 14A</w:t>
      </w:r>
    </w:p>
    <w:p>
      <w:pPr>
        <w:spacing w:after="0" w:line="164" w:lineRule="exact"/>
        <w:rPr>
          <w:sz w:val="24"/>
          <w:szCs w:val="24"/>
          <w:color w:val="auto"/>
        </w:rPr>
      </w:pPr>
    </w:p>
    <w:p>
      <w:pPr>
        <w:jc w:val="center"/>
        <w:ind w:right="-23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23" w:lineRule="exact"/>
        <w:rPr>
          <w:sz w:val="24"/>
          <w:szCs w:val="24"/>
          <w:color w:val="auto"/>
        </w:rPr>
      </w:pPr>
    </w:p>
    <w:p>
      <w:pPr>
        <w:jc w:val="center"/>
        <w:ind w:right="-239"/>
        <w:spacing w:after="0"/>
        <w:tabs>
          <w:tab w:leader="none" w:pos="160" w:val="left"/>
        </w:tabs>
        <w:rPr>
          <w:sz w:val="20"/>
          <w:szCs w:val="20"/>
          <w:color w:val="auto"/>
        </w:rPr>
      </w:pPr>
      <w:r>
        <w:rPr>
          <w:rFonts w:ascii="Arial" w:cs="Arial" w:eastAsia="Arial" w:hAnsi="Arial"/>
          <w:sz w:val="15"/>
          <w:szCs w:val="15"/>
          <w:color w:val="auto"/>
        </w:rPr>
        <w:t>(Amendment No.</w:t>
        <w:tab/>
        <w: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 ]</w:t>
      </w: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52" w:lineRule="exact"/>
        <w:rPr>
          <w:sz w:val="24"/>
          <w:szCs w:val="24"/>
          <w:color w:val="auto"/>
        </w:rPr>
      </w:pPr>
    </w:p>
    <w:p>
      <w:pPr>
        <w:spacing w:after="0"/>
        <w:tabs>
          <w:tab w:leader="none" w:pos="66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4"/>
          <w:szCs w:val="14"/>
          <w:color w:val="auto"/>
        </w:rPr>
        <w:t>Preliminary Proxy Statement</w:t>
      </w:r>
    </w:p>
    <w:p>
      <w:pPr>
        <w:spacing w:after="0" w:line="53" w:lineRule="exact"/>
        <w:rPr>
          <w:sz w:val="24"/>
          <w:szCs w:val="24"/>
          <w:color w:val="auto"/>
        </w:rPr>
      </w:pPr>
    </w:p>
    <w:p>
      <w:pPr>
        <w:ind w:left="140" w:hanging="137"/>
        <w:spacing w:after="0"/>
        <w:tabs>
          <w:tab w:leader="none" w:pos="140" w:val="left"/>
        </w:tabs>
        <w:numPr>
          <w:ilvl w:val="0"/>
          <w:numId w:val="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b w:val="1"/>
          <w:bCs w:val="1"/>
          <w:color w:val="auto"/>
        </w:rPr>
        <w:t>Confidential, for Use of the Commission only (as permitted by Rule 14a-6(e)(2))</w:t>
      </w:r>
    </w:p>
    <w:p>
      <w:pPr>
        <w:spacing w:after="0" w:line="65" w:lineRule="exact"/>
        <w:rPr>
          <w:sz w:val="24"/>
          <w:szCs w:val="24"/>
          <w:color w:val="auto"/>
        </w:rPr>
      </w:pPr>
    </w:p>
    <w:p>
      <w:pPr>
        <w:ind w:left="680" w:hanging="677"/>
        <w:spacing w:after="0"/>
        <w:tabs>
          <w:tab w:leader="none" w:pos="6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59" w:lineRule="exact"/>
        <w:rPr>
          <w:sz w:val="24"/>
          <w:szCs w:val="24"/>
          <w:color w:val="auto"/>
        </w:rPr>
      </w:pPr>
    </w:p>
    <w:p>
      <w:pPr>
        <w:spacing w:after="0"/>
        <w:tabs>
          <w:tab w:leader="none" w:pos="66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4"/>
          <w:szCs w:val="14"/>
          <w:color w:val="auto"/>
        </w:rPr>
        <w:t>Definitive Additional Materials</w:t>
      </w:r>
    </w:p>
    <w:p>
      <w:pPr>
        <w:spacing w:after="0" w:line="59" w:lineRule="exact"/>
        <w:rPr>
          <w:sz w:val="24"/>
          <w:szCs w:val="24"/>
          <w:color w:val="auto"/>
        </w:rPr>
      </w:pPr>
    </w:p>
    <w:p>
      <w:pPr>
        <w:spacing w:after="0"/>
        <w:tabs>
          <w:tab w:leader="none" w:pos="66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4"/>
          <w:szCs w:val="14"/>
          <w:color w:val="auto"/>
        </w:rPr>
        <w:t>Soliciting Material Pursuant to § 240.14a-12</w:t>
      </w:r>
    </w:p>
    <w:p>
      <w:pPr>
        <w:spacing w:after="0" w:line="324"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EAGLE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2119630</wp:posOffset>
            </wp:positionH>
            <wp:positionV relativeFrom="paragraph">
              <wp:posOffset>120015</wp:posOffset>
            </wp:positionV>
            <wp:extent cx="30175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94"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2119630</wp:posOffset>
            </wp:positionH>
            <wp:positionV relativeFrom="paragraph">
              <wp:posOffset>365760</wp:posOffset>
            </wp:positionV>
            <wp:extent cx="3017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336"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252" w:lineRule="exact"/>
        <w:rPr>
          <w:sz w:val="24"/>
          <w:szCs w:val="24"/>
          <w:color w:val="auto"/>
        </w:rPr>
      </w:pPr>
    </w:p>
    <w:p>
      <w:pPr>
        <w:ind w:left="680" w:hanging="677"/>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23" w:lineRule="exact"/>
        <w:rPr>
          <w:sz w:val="24"/>
          <w:szCs w:val="24"/>
          <w:color w:val="auto"/>
        </w:rPr>
      </w:pPr>
    </w:p>
    <w:p>
      <w:pPr>
        <w:ind w:left="140" w:hanging="137"/>
        <w:spacing w:after="0"/>
        <w:tabs>
          <w:tab w:leader="none" w:pos="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Fee computed on table below per Exchange Act Rules 14a-6(i)(4) and 0-11.</w:t>
      </w:r>
    </w:p>
    <w:p>
      <w:pPr>
        <w:spacing w:after="0" w:line="20" w:lineRule="exact"/>
        <w:rPr>
          <w:rFonts w:ascii="Arial" w:cs="Arial" w:eastAsia="Arial" w:hAnsi="Arial"/>
          <w:sz w:val="15"/>
          <w:szCs w:val="15"/>
          <w:color w:val="auto"/>
        </w:rPr>
      </w:pPr>
    </w:p>
    <w:p>
      <w:pPr>
        <w:ind w:left="1440" w:hanging="754"/>
        <w:spacing w:after="0"/>
        <w:tabs>
          <w:tab w:leader="none" w:pos="1440"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 w:lineRule="exact"/>
        <w:rPr>
          <w:rFonts w:ascii="Arial" w:cs="Arial" w:eastAsia="Arial" w:hAnsi="Arial"/>
          <w:sz w:val="15"/>
          <w:szCs w:val="15"/>
          <w:color w:val="auto"/>
        </w:rPr>
      </w:pPr>
    </w:p>
    <w:p>
      <w:pPr>
        <w:ind w:left="1440" w:hanging="754"/>
        <w:spacing w:after="0"/>
        <w:tabs>
          <w:tab w:leader="none" w:pos="1440" w:val="left"/>
        </w:tabs>
        <w:numPr>
          <w:ilvl w:val="1"/>
          <w:numId w:val="4"/>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 w:lineRule="exact"/>
        <w:rPr>
          <w:sz w:val="24"/>
          <w:szCs w:val="24"/>
          <w:color w:val="auto"/>
        </w:rPr>
      </w:pPr>
    </w:p>
    <w:tbl>
      <w:tblPr>
        <w:tblLayout w:type="fixed"/>
        <w:tblInd w:w="680" w:type="dxa"/>
        <w:tblCellMar>
          <w:top w:w="0" w:type="dxa"/>
          <w:left w:w="0" w:type="dxa"/>
          <w:bottom w:w="0" w:type="dxa"/>
          <w:right w:w="0" w:type="dxa"/>
        </w:tblCellMar>
      </w:tblPr>
      <w:tr>
        <w:trPr>
          <w:trHeight w:val="191"/>
        </w:trPr>
        <w:tc>
          <w:tcPr>
            <w:tcW w:w="300" w:type="dxa"/>
            <w:vAlign w:val="bottom"/>
          </w:tcPr>
          <w:p>
            <w:pPr>
              <w:jc w:val="right"/>
              <w:ind w:right="83"/>
              <w:spacing w:after="0"/>
              <w:rPr>
                <w:sz w:val="20"/>
                <w:szCs w:val="20"/>
                <w:color w:val="auto"/>
              </w:rPr>
            </w:pPr>
            <w:r>
              <w:rPr>
                <w:rFonts w:ascii="Arial" w:cs="Arial" w:eastAsia="Arial" w:hAnsi="Arial"/>
                <w:sz w:val="15"/>
                <w:szCs w:val="15"/>
                <w:color w:val="auto"/>
                <w:w w:val="89"/>
              </w:rPr>
              <w:t>3)</w:t>
            </w:r>
          </w:p>
        </w:tc>
        <w:tc>
          <w:tcPr>
            <w:tcW w:w="8420" w:type="dxa"/>
            <w:vAlign w:val="bottom"/>
          </w:tcPr>
          <w:p>
            <w:pPr>
              <w:ind w:left="460"/>
              <w:spacing w:after="0"/>
              <w:rPr>
                <w:sz w:val="20"/>
                <w:szCs w:val="20"/>
                <w:color w:val="auto"/>
              </w:rPr>
            </w:pPr>
            <w:r>
              <w:rPr>
                <w:rFonts w:ascii="Arial" w:cs="Arial" w:eastAsia="Arial" w:hAnsi="Arial"/>
                <w:sz w:val="15"/>
                <w:szCs w:val="15"/>
                <w:color w:val="auto"/>
                <w:w w:val="95"/>
              </w:rPr>
              <w:t>Per unit price or other underlying value of transaction computed pursuant to Exchange Act Rule 0-11 (set forth the amount on</w:t>
            </w:r>
          </w:p>
        </w:tc>
        <w:tc>
          <w:tcPr>
            <w:tcW w:w="1520" w:type="dxa"/>
            <w:vAlign w:val="bottom"/>
          </w:tcPr>
          <w:p>
            <w:pPr>
              <w:ind w:left="180"/>
              <w:spacing w:after="0"/>
              <w:rPr>
                <w:sz w:val="20"/>
                <w:szCs w:val="20"/>
                <w:color w:val="auto"/>
              </w:rPr>
            </w:pPr>
            <w:r>
              <w:rPr>
                <w:rFonts w:ascii="Arial" w:cs="Arial" w:eastAsia="Arial" w:hAnsi="Arial"/>
                <w:sz w:val="15"/>
                <w:szCs w:val="15"/>
                <w:color w:val="auto"/>
                <w:w w:val="95"/>
              </w:rPr>
              <w:t>which the filing fee is</w:t>
            </w:r>
          </w:p>
        </w:tc>
      </w:tr>
      <w:tr>
        <w:trPr>
          <w:trHeight w:val="196"/>
        </w:trPr>
        <w:tc>
          <w:tcPr>
            <w:tcW w:w="300" w:type="dxa"/>
            <w:vAlign w:val="bottom"/>
          </w:tcPr>
          <w:p>
            <w:pPr>
              <w:spacing w:after="0"/>
              <w:rPr>
                <w:sz w:val="17"/>
                <w:szCs w:val="17"/>
                <w:color w:val="auto"/>
              </w:rPr>
            </w:pPr>
          </w:p>
        </w:tc>
        <w:tc>
          <w:tcPr>
            <w:tcW w:w="8420" w:type="dxa"/>
            <w:vAlign w:val="bottom"/>
          </w:tcPr>
          <w:p>
            <w:pPr>
              <w:ind w:left="160"/>
              <w:spacing w:after="0"/>
              <w:rPr>
                <w:sz w:val="20"/>
                <w:szCs w:val="20"/>
                <w:color w:val="auto"/>
              </w:rPr>
            </w:pPr>
            <w:r>
              <w:rPr>
                <w:rFonts w:ascii="Arial" w:cs="Arial" w:eastAsia="Arial" w:hAnsi="Arial"/>
                <w:sz w:val="15"/>
                <w:szCs w:val="15"/>
                <w:color w:val="auto"/>
              </w:rPr>
              <w:t>calculated and state how it was determined):</w:t>
            </w:r>
          </w:p>
        </w:tc>
        <w:tc>
          <w:tcPr>
            <w:tcW w:w="1520" w:type="dxa"/>
            <w:vAlign w:val="bottom"/>
          </w:tcPr>
          <w:p>
            <w:pPr>
              <w:spacing w:after="0"/>
              <w:rPr>
                <w:sz w:val="17"/>
                <w:szCs w:val="17"/>
                <w:color w:val="auto"/>
              </w:rPr>
            </w:pPr>
          </w:p>
        </w:tc>
      </w:tr>
    </w:tbl>
    <w:p>
      <w:pPr>
        <w:ind w:left="1440" w:hanging="754"/>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rFonts w:ascii="Arial" w:cs="Arial" w:eastAsia="Arial" w:hAnsi="Arial"/>
          <w:sz w:val="15"/>
          <w:szCs w:val="15"/>
          <w:color w:val="auto"/>
        </w:rPr>
      </w:pPr>
    </w:p>
    <w:p>
      <w:pPr>
        <w:ind w:left="1440" w:hanging="754"/>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50" w:lineRule="exact"/>
        <w:rPr>
          <w:sz w:val="24"/>
          <w:szCs w:val="24"/>
          <w:color w:val="auto"/>
        </w:rPr>
      </w:pPr>
    </w:p>
    <w:p>
      <w:pPr>
        <w:spacing w:after="0"/>
        <w:tabs>
          <w:tab w:leader="none" w:pos="66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4"/>
          <w:szCs w:val="14"/>
          <w:color w:val="auto"/>
        </w:rPr>
        <w:t>Fee paid previously with preliminary materials.</w:t>
      </w:r>
    </w:p>
    <w:p>
      <w:pPr>
        <w:spacing w:after="0" w:line="23" w:lineRule="exact"/>
        <w:rPr>
          <w:sz w:val="24"/>
          <w:szCs w:val="24"/>
          <w:color w:val="auto"/>
        </w:rPr>
      </w:pPr>
    </w:p>
    <w:p>
      <w:pPr>
        <w:ind w:left="680" w:hanging="682"/>
        <w:spacing w:after="0" w:line="297" w:lineRule="auto"/>
        <w:tabs>
          <w:tab w:leader="none" w:pos="66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 w:lineRule="exact"/>
        <w:rPr>
          <w:sz w:val="24"/>
          <w:szCs w:val="24"/>
          <w:color w:val="auto"/>
        </w:rPr>
      </w:pPr>
    </w:p>
    <w:p>
      <w:pPr>
        <w:ind w:left="1440" w:hanging="754"/>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3" w:lineRule="exact"/>
        <w:rPr>
          <w:rFonts w:ascii="Arial" w:cs="Arial" w:eastAsia="Arial" w:hAnsi="Arial"/>
          <w:sz w:val="15"/>
          <w:szCs w:val="15"/>
          <w:color w:val="auto"/>
        </w:rPr>
      </w:pPr>
    </w:p>
    <w:p>
      <w:pPr>
        <w:ind w:left="1440" w:hanging="754"/>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 w:lineRule="exact"/>
        <w:rPr>
          <w:rFonts w:ascii="Arial" w:cs="Arial" w:eastAsia="Arial" w:hAnsi="Arial"/>
          <w:sz w:val="15"/>
          <w:szCs w:val="15"/>
          <w:color w:val="auto"/>
        </w:rPr>
      </w:pPr>
    </w:p>
    <w:p>
      <w:pPr>
        <w:ind w:left="1440" w:hanging="754"/>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rFonts w:ascii="Arial" w:cs="Arial" w:eastAsia="Arial" w:hAnsi="Arial"/>
          <w:sz w:val="15"/>
          <w:szCs w:val="15"/>
          <w:color w:val="auto"/>
        </w:rPr>
      </w:pPr>
    </w:p>
    <w:p>
      <w:pPr>
        <w:ind w:left="1440" w:hanging="754"/>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Date Filed:</w:t>
      </w:r>
    </w:p>
    <w:p>
      <w:pPr>
        <w:sectPr>
          <w:pgSz w:w="11900" w:h="16838" w:orient="portrait"/>
          <w:cols w:equalWidth="0" w:num="1">
            <w:col w:w="11200"/>
          </w:cols>
          <w:pgMar w:left="240" w:top="225" w:right="4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476250</wp:posOffset>
            </wp:positionV>
            <wp:extent cx="2796540" cy="654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6540"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3811 Turtle Creek Blvd, Suite 1100</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Dallas, Texas 75219-4487</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June 20, 2014</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Fellow Stockholder:</w:t>
      </w: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It is my pleasure to invite you to our Annual Meeting of Stockholders, which will be held on Thursday, August 7, 2014, at Arlington Hall at Lee Park, 3333 Turtle Creek Blvd., Dallas, Texas 75219, at 8:00 a.m. We hope that you will attend the meeting, but we encourage you to vote by proxy whether or not you plan to attend the meeting in person.</w:t>
      </w:r>
    </w:p>
    <w:p>
      <w:pPr>
        <w:spacing w:after="0" w:line="17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This year we are again taking advantage of the Securities and Exchange Commission rules that allow companies to furnish their proxy materials over the Internet. As a result, beginning on June 20, 2014,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Annual Meeting and desire to vote your shares personally rather than by proxy, you may withdraw your proxy at any time before it is exercised.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vote is very important, whether you own one share or many.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and interest in Eagle.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964565" cy="42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4565"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Steven R. Rowley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President and Chief Executive Officer</w:t>
      </w:r>
    </w:p>
    <w:p>
      <w:pPr>
        <w:sectPr>
          <w:pgSz w:w="11900" w:h="16838" w:orient="portrait"/>
          <w:cols w:equalWidth="0" w:num="1">
            <w:col w:w="11420"/>
          </w:cols>
          <w:pgMar w:left="240" w:top="444"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EAGLE MATERIALS INC.</w:t>
      </w:r>
    </w:p>
    <w:p>
      <w:pPr>
        <w:spacing w:after="0" w:line="3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3811 Turtle Creek Blvd, Suite 1100</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Dallas, Texas 75219-4487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 Be Held August 7, 2014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Stockholders of Eagle Materials Inc.:</w:t>
      </w:r>
    </w:p>
    <w:p>
      <w:pPr>
        <w:spacing w:after="0" w:line="184" w:lineRule="exact"/>
        <w:rPr>
          <w:sz w:val="20"/>
          <w:szCs w:val="20"/>
          <w:color w:val="auto"/>
        </w:rPr>
      </w:pPr>
    </w:p>
    <w:p>
      <w:pPr>
        <w:ind w:right="140" w:firstLine="799"/>
        <w:spacing w:after="0" w:line="279" w:lineRule="auto"/>
        <w:rPr>
          <w:sz w:val="20"/>
          <w:szCs w:val="20"/>
          <w:color w:val="auto"/>
        </w:rPr>
      </w:pPr>
      <w:r>
        <w:rPr>
          <w:rFonts w:ascii="Arial" w:cs="Arial" w:eastAsia="Arial" w:hAnsi="Arial"/>
          <w:sz w:val="17"/>
          <w:szCs w:val="17"/>
          <w:color w:val="auto"/>
        </w:rPr>
        <w:t>The annual meeting of stockholders of Eagle Materials Inc., which we refer to as the “Company,” will be held at Arlington Hall at Lee Park, 3333 Turtle Creek Blvd., Dallas, Texas 75219 at 8:00 a.m., local time, on Thursday, August 7, 2014. At the meeting, stockholders will vote on:</w:t>
      </w:r>
    </w:p>
    <w:p>
      <w:pPr>
        <w:spacing w:after="0" w:line="73" w:lineRule="exact"/>
        <w:rPr>
          <w:sz w:val="20"/>
          <w:szCs w:val="20"/>
          <w:color w:val="auto"/>
        </w:rPr>
      </w:pPr>
    </w:p>
    <w:p>
      <w:pPr>
        <w:ind w:left="1140" w:hanging="339"/>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Election of the three Class II directors identified in the accompanying proxy statement, each to hold office for three years.</w:t>
      </w:r>
    </w:p>
    <w:p>
      <w:pPr>
        <w:spacing w:after="0" w:line="126" w:lineRule="exact"/>
        <w:rPr>
          <w:rFonts w:ascii="Arial" w:cs="Arial" w:eastAsia="Arial" w:hAnsi="Arial"/>
          <w:sz w:val="17"/>
          <w:szCs w:val="17"/>
          <w:color w:val="auto"/>
        </w:rPr>
      </w:pPr>
    </w:p>
    <w:p>
      <w:pPr>
        <w:ind w:left="1140" w:hanging="339"/>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an advisory resolution regarding the compensation of our named executive officers.</w:t>
      </w:r>
    </w:p>
    <w:p>
      <w:pPr>
        <w:spacing w:after="0" w:line="126" w:lineRule="exact"/>
        <w:rPr>
          <w:rFonts w:ascii="Arial" w:cs="Arial" w:eastAsia="Arial" w:hAnsi="Arial"/>
          <w:sz w:val="17"/>
          <w:szCs w:val="17"/>
          <w:color w:val="auto"/>
        </w:rPr>
      </w:pPr>
    </w:p>
    <w:p>
      <w:pPr>
        <w:ind w:left="1140" w:hanging="339"/>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2015.</w:t>
      </w:r>
    </w:p>
    <w:p>
      <w:pPr>
        <w:spacing w:after="0" w:line="137" w:lineRule="exact"/>
        <w:rPr>
          <w:rFonts w:ascii="Arial" w:cs="Arial" w:eastAsia="Arial" w:hAnsi="Arial"/>
          <w:sz w:val="16"/>
          <w:szCs w:val="16"/>
          <w:color w:val="auto"/>
        </w:rPr>
      </w:pPr>
    </w:p>
    <w:p>
      <w:pPr>
        <w:ind w:left="1140" w:hanging="339"/>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other matters properly brought before the annual meeting, or any adjournment thereof.</w:t>
      </w:r>
    </w:p>
    <w:p>
      <w:pPr>
        <w:spacing w:after="0" w:line="178"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color w:val="auto"/>
        </w:rPr>
        <w:t>The Company’s Board of Directors has fixed the close of business on June 9, 2014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75" w:lineRule="exact"/>
        <w:rPr>
          <w:sz w:val="20"/>
          <w:szCs w:val="20"/>
          <w:color w:val="auto"/>
        </w:rPr>
      </w:pPr>
    </w:p>
    <w:p>
      <w:pPr>
        <w:ind w:right="100" w:firstLine="799"/>
        <w:spacing w:after="0" w:line="294"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 James</w:t>
      </w:r>
      <w:r>
        <w:rPr>
          <w:rFonts w:ascii="Arial" w:cs="Arial" w:eastAsia="Arial" w:hAnsi="Arial"/>
          <w:sz w:val="16"/>
          <w:szCs w:val="16"/>
          <w:b w:val="1"/>
          <w:bCs w:val="1"/>
          <w:color w:val="auto"/>
        </w:rPr>
        <w:t xml:space="preserve"> </w:t>
      </w:r>
      <w:r>
        <w:rPr>
          <w:rFonts w:ascii="Arial" w:cs="Arial" w:eastAsia="Arial" w:hAnsi="Arial"/>
          <w:sz w:val="16"/>
          <w:szCs w:val="16"/>
          <w:color w:val="auto"/>
        </w:rPr>
        <w:t>H. Graass, Secretary, 3811 Turtle Creek Blvd., Suite 1100, Dallas, Texas 75219-4487 (telephone: (214) 432-2000).</w:t>
      </w:r>
    </w:p>
    <w:p>
      <w:pPr>
        <w:spacing w:after="0" w:line="154" w:lineRule="exact"/>
        <w:rPr>
          <w:sz w:val="20"/>
          <w:szCs w:val="20"/>
          <w:color w:val="auto"/>
        </w:rPr>
      </w:pPr>
    </w:p>
    <w:p>
      <w:pPr>
        <w:ind w:right="140" w:firstLine="799"/>
        <w:spacing w:after="0" w:line="258"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07"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By Order of the Board of Directors</w:t>
      </w:r>
    </w:p>
    <w:p>
      <w:pPr>
        <w:spacing w:after="0" w:line="358" w:lineRule="exact"/>
        <w:rPr>
          <w:sz w:val="20"/>
          <w:szCs w:val="20"/>
          <w:color w:val="auto"/>
        </w:rPr>
      </w:pPr>
    </w:p>
    <w:p>
      <w:pPr>
        <w:jc w:val="center"/>
        <w:ind w:left="5840"/>
        <w:spacing w:after="0"/>
        <w:rPr>
          <w:sz w:val="20"/>
          <w:szCs w:val="20"/>
          <w:color w:val="auto"/>
        </w:rPr>
      </w:pPr>
      <w:r>
        <w:rPr>
          <w:rFonts w:ascii="Arial" w:cs="Arial" w:eastAsia="Arial" w:hAnsi="Arial"/>
          <w:sz w:val="17"/>
          <w:szCs w:val="17"/>
          <w:color w:val="auto"/>
        </w:rPr>
        <w:t>JAMES H. GRAASS</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7"/>
          <w:szCs w:val="17"/>
          <w:i w:val="1"/>
          <w:iCs w:val="1"/>
          <w:color w:val="auto"/>
        </w:rPr>
        <w:t>Executive Vice President,</w:t>
      </w:r>
    </w:p>
    <w:p>
      <w:pPr>
        <w:spacing w:after="0" w:line="11" w:lineRule="exact"/>
        <w:rPr>
          <w:sz w:val="20"/>
          <w:szCs w:val="20"/>
          <w:color w:val="auto"/>
        </w:rPr>
      </w:pPr>
    </w:p>
    <w:p>
      <w:pPr>
        <w:jc w:val="center"/>
        <w:ind w:left="5840"/>
        <w:spacing w:after="0"/>
        <w:rPr>
          <w:sz w:val="20"/>
          <w:szCs w:val="20"/>
          <w:color w:val="auto"/>
        </w:rPr>
      </w:pPr>
      <w:r>
        <w:rPr>
          <w:rFonts w:ascii="Arial" w:cs="Arial" w:eastAsia="Arial" w:hAnsi="Arial"/>
          <w:sz w:val="17"/>
          <w:szCs w:val="17"/>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20, 2014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ANNUAL MEETING OF STOCKHOLDERS TO BE HELD ON AUGUST 7, 2014.</w:t>
      </w:r>
    </w:p>
    <w:p>
      <w:pPr>
        <w:spacing w:after="0" w:line="16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Our proxy statement and 2014 annual report to stockholders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are available to you on the Internet at www.proxyvote.com.</w:t>
      </w:r>
    </w:p>
    <w:p>
      <w:pPr>
        <w:sectPr>
          <w:pgSz w:w="11900" w:h="16838" w:orient="portrait"/>
          <w:cols w:equalWidth="0" w:num="1">
            <w:col w:w="11420"/>
          </w:cols>
          <w:pgMar w:left="240" w:top="444"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80" w:type="dxa"/>
            <w:vAlign w:val="bottom"/>
            <w:gridSpan w:val="3"/>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INTRODUCTION</w:t>
              </w:r>
            </w:hyperlink>
          </w:p>
        </w:tc>
        <w:tc>
          <w:tcPr>
            <w:tcW w:w="9680" w:type="dxa"/>
            <w:vAlign w:val="bottom"/>
            <w:gridSpan w:val="55"/>
            <w:vMerge w:val="restart"/>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2"/>
        </w:trPr>
        <w:tc>
          <w:tcPr>
            <w:tcW w:w="1380" w:type="dxa"/>
            <w:vAlign w:val="bottom"/>
            <w:tcBorders>
              <w:bottom w:val="single" w:sz="8" w:color="0000EE"/>
            </w:tcBorders>
            <w:gridSpan w:val="3"/>
            <w:vMerge w:val="continue"/>
          </w:tcPr>
          <w:p>
            <w:pPr>
              <w:spacing w:after="0"/>
              <w:rPr>
                <w:sz w:val="12"/>
                <w:szCs w:val="12"/>
                <w:color w:val="auto"/>
              </w:rPr>
            </w:pPr>
          </w:p>
        </w:tc>
        <w:tc>
          <w:tcPr>
            <w:tcW w:w="9680" w:type="dxa"/>
            <w:vAlign w:val="bottom"/>
            <w:gridSpan w:val="55"/>
            <w:vMerge w:val="continue"/>
          </w:tcPr>
          <w:p>
            <w:pPr>
              <w:spacing w:after="0"/>
              <w:rPr>
                <w:sz w:val="12"/>
                <w:szCs w:val="12"/>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3260" w:type="dxa"/>
            <w:vAlign w:val="bottom"/>
            <w:tcBorders>
              <w:bottom w:val="single" w:sz="8" w:color="0000EE"/>
            </w:tcBorders>
            <w:gridSpan w:val="38"/>
          </w:tcPr>
          <w:p>
            <w:pPr>
              <w:spacing w:after="0"/>
              <w:rPr>
                <w:rFonts w:ascii="Arial" w:cs="Arial" w:eastAsia="Arial" w:hAnsi="Arial"/>
                <w:sz w:val="17"/>
                <w:szCs w:val="17"/>
                <w:b w:val="1"/>
                <w:bCs w:val="1"/>
                <w:color w:val="0000EE"/>
                <w:w w:val="91"/>
              </w:rPr>
            </w:pPr>
            <w:hyperlink w:anchor="page5">
              <w:r>
                <w:rPr>
                  <w:rFonts w:ascii="Arial" w:cs="Arial" w:eastAsia="Arial" w:hAnsi="Arial"/>
                  <w:sz w:val="17"/>
                  <w:szCs w:val="17"/>
                  <w:b w:val="1"/>
                  <w:bCs w:val="1"/>
                  <w:color w:val="0000EE"/>
                  <w:w w:val="91"/>
                </w:rPr>
                <w:t>Date, Time and Place of the Annual Meeting</w:t>
              </w:r>
            </w:hyperlink>
          </w:p>
        </w:tc>
        <w:tc>
          <w:tcPr>
            <w:tcW w:w="7120" w:type="dxa"/>
            <w:vAlign w:val="bottom"/>
            <w:gridSpan w:val="19"/>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5980" w:type="dxa"/>
            <w:vAlign w:val="bottom"/>
            <w:tcBorders>
              <w:bottom w:val="single" w:sz="8" w:color="0000EE"/>
            </w:tcBorders>
            <w:gridSpan w:val="53"/>
          </w:tcPr>
          <w:p>
            <w:pPr>
              <w:spacing w:after="0" w:line="186" w:lineRule="exact"/>
              <w:rPr>
                <w:rFonts w:ascii="Arial" w:cs="Arial" w:eastAsia="Arial" w:hAnsi="Arial"/>
                <w:sz w:val="17"/>
                <w:szCs w:val="17"/>
                <w:b w:val="1"/>
                <w:bCs w:val="1"/>
                <w:color w:val="0000EE"/>
                <w:w w:val="90"/>
              </w:rPr>
            </w:pPr>
            <w:hyperlink w:anchor="page5">
              <w:r>
                <w:rPr>
                  <w:rFonts w:ascii="Arial" w:cs="Arial" w:eastAsia="Arial" w:hAnsi="Arial"/>
                  <w:sz w:val="17"/>
                  <w:szCs w:val="17"/>
                  <w:b w:val="1"/>
                  <w:bCs w:val="1"/>
                  <w:color w:val="0000EE"/>
                  <w:w w:val="90"/>
                </w:rPr>
                <w:t>Purposes of the Annual Meeting and Recommendations of our Board of Directors</w:t>
              </w:r>
            </w:hyperlink>
          </w:p>
        </w:tc>
        <w:tc>
          <w:tcPr>
            <w:tcW w:w="4400" w:type="dxa"/>
            <w:vAlign w:val="bottom"/>
            <w:gridSpan w:val="4"/>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6"/>
        </w:trPr>
        <w:tc>
          <w:tcPr>
            <w:tcW w:w="1900" w:type="dxa"/>
            <w:vAlign w:val="bottom"/>
            <w:tcBorders>
              <w:bottom w:val="single" w:sz="8" w:color="0000EE"/>
            </w:tcBorders>
            <w:gridSpan w:val="8"/>
          </w:tcPr>
          <w:p>
            <w:pPr>
              <w:spacing w:after="0" w:line="186"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ABOUT THE MEETING</w:t>
              </w:r>
            </w:hyperlink>
          </w:p>
        </w:tc>
        <w:tc>
          <w:tcPr>
            <w:tcW w:w="9160" w:type="dxa"/>
            <w:vAlign w:val="bottom"/>
            <w:gridSpan w:val="50"/>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Who Can Vote</w:t>
              </w:r>
            </w:hyperlink>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980" w:type="dxa"/>
            <w:vAlign w:val="bottom"/>
            <w:tcBorders>
              <w:bottom w:val="single" w:sz="8" w:color="0000EE"/>
            </w:tcBorders>
            <w:gridSpan w:val="21"/>
          </w:tcPr>
          <w:p>
            <w:pPr>
              <w:spacing w:after="0" w:line="186" w:lineRule="exact"/>
              <w:rPr>
                <w:rFonts w:ascii="Arial" w:cs="Arial" w:eastAsia="Arial" w:hAnsi="Arial"/>
                <w:sz w:val="17"/>
                <w:szCs w:val="17"/>
                <w:b w:val="1"/>
                <w:bCs w:val="1"/>
                <w:color w:val="0000EE"/>
                <w:w w:val="91"/>
              </w:rPr>
            </w:pPr>
            <w:hyperlink w:anchor="page6">
              <w:r>
                <w:rPr>
                  <w:rFonts w:ascii="Arial" w:cs="Arial" w:eastAsia="Arial" w:hAnsi="Arial"/>
                  <w:sz w:val="17"/>
                  <w:szCs w:val="17"/>
                  <w:b w:val="1"/>
                  <w:bCs w:val="1"/>
                  <w:color w:val="0000EE"/>
                  <w:w w:val="91"/>
                </w:rPr>
                <w:t>How Proxies Will be Voted</w:t>
              </w:r>
            </w:hyperlink>
          </w:p>
        </w:tc>
        <w:tc>
          <w:tcPr>
            <w:tcW w:w="8400" w:type="dxa"/>
            <w:vAlign w:val="bottom"/>
            <w:gridSpan w:val="36"/>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020" w:type="dxa"/>
            <w:vAlign w:val="bottom"/>
            <w:tcBorders>
              <w:bottom w:val="single" w:sz="8" w:color="0000EE"/>
            </w:tcBorders>
            <w:gridSpan w:val="23"/>
          </w:tcPr>
          <w:p>
            <w:pPr>
              <w:spacing w:after="0" w:line="186"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How to Revoke Your Proxy</w:t>
              </w:r>
            </w:hyperlink>
          </w:p>
        </w:tc>
        <w:tc>
          <w:tcPr>
            <w:tcW w:w="8360" w:type="dxa"/>
            <w:vAlign w:val="bottom"/>
            <w:gridSpan w:val="34"/>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060" w:type="dxa"/>
            <w:vAlign w:val="bottom"/>
            <w:tcBorders>
              <w:bottom w:val="single" w:sz="8" w:color="0000EE"/>
            </w:tcBorders>
            <w:gridSpan w:val="25"/>
          </w:tcPr>
          <w:p>
            <w:pPr>
              <w:spacing w:after="0" w:line="186"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Quorum and Required Vote</w:t>
              </w:r>
            </w:hyperlink>
          </w:p>
        </w:tc>
        <w:tc>
          <w:tcPr>
            <w:tcW w:w="8320" w:type="dxa"/>
            <w:vAlign w:val="bottom"/>
            <w:gridSpan w:val="32"/>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Expenses of Soliciting Proxies</w:t>
              </w:r>
            </w:hyperlink>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11"/>
          </w:tcPr>
          <w:p>
            <w:pPr>
              <w:spacing w:after="0" w:line="186" w:lineRule="exact"/>
              <w:rPr>
                <w:rFonts w:ascii="Arial" w:cs="Arial" w:eastAsia="Arial" w:hAnsi="Arial"/>
                <w:sz w:val="17"/>
                <w:szCs w:val="17"/>
                <w:b w:val="1"/>
                <w:bCs w:val="1"/>
                <w:color w:val="0000EE"/>
                <w:w w:val="92"/>
              </w:rPr>
            </w:pPr>
            <w:hyperlink w:anchor="page7">
              <w:r>
                <w:rPr>
                  <w:rFonts w:ascii="Arial" w:cs="Arial" w:eastAsia="Arial" w:hAnsi="Arial"/>
                  <w:sz w:val="17"/>
                  <w:szCs w:val="17"/>
                  <w:b w:val="1"/>
                  <w:bCs w:val="1"/>
                  <w:color w:val="0000EE"/>
                  <w:w w:val="92"/>
                </w:rPr>
                <w:t>How You Can Vote</w:t>
              </w:r>
            </w:hyperlink>
          </w:p>
        </w:tc>
        <w:tc>
          <w:tcPr>
            <w:tcW w:w="760" w:type="dxa"/>
            <w:vAlign w:val="bottom"/>
            <w:tcBorders>
              <w:top w:val="single" w:sz="8" w:color="0000EE"/>
            </w:tcBorders>
            <w:gridSpan w:val="16"/>
          </w:tcPr>
          <w:p>
            <w:pPr>
              <w:spacing w:after="0"/>
              <w:rPr>
                <w:sz w:val="16"/>
                <w:szCs w:val="16"/>
                <w:color w:val="auto"/>
              </w:rPr>
            </w:pPr>
          </w:p>
        </w:tc>
        <w:tc>
          <w:tcPr>
            <w:tcW w:w="8200" w:type="dxa"/>
            <w:vAlign w:val="bottom"/>
            <w:gridSpan w:val="30"/>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0000EE"/>
            </w:tcBorders>
            <w:gridSpan w:val="51"/>
          </w:tcPr>
          <w:p>
            <w:pPr>
              <w:spacing w:after="0" w:line="186"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PROPOSAL NO. 1: ELECTION OF DIRECTORS AND RELATED MATTERS</w:t>
              </w:r>
            </w:hyperlink>
          </w:p>
        </w:tc>
        <w:tc>
          <w:tcPr>
            <w:tcW w:w="5140" w:type="dxa"/>
            <w:vAlign w:val="bottom"/>
            <w:gridSpan w:val="7"/>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General</w:t>
              </w:r>
            </w:hyperlink>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Director Independence</w:t>
              </w:r>
            </w:hyperlink>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4</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680" w:type="dxa"/>
            <w:vAlign w:val="bottom"/>
            <w:tcBorders>
              <w:top w:val="single" w:sz="8" w:color="0000EE"/>
            </w:tcBorders>
            <w:gridSpan w:val="14"/>
          </w:tcPr>
          <w:p>
            <w:pPr>
              <w:spacing w:after="0" w:line="186"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Nominees</w:t>
              </w:r>
            </w:hyperlink>
          </w:p>
        </w:tc>
        <w:tc>
          <w:tcPr>
            <w:tcW w:w="8700" w:type="dxa"/>
            <w:vAlign w:val="bottom"/>
            <w:gridSpan w:val="43"/>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2260" w:type="dxa"/>
            <w:vAlign w:val="bottom"/>
            <w:tcBorders>
              <w:bottom w:val="single" w:sz="8" w:color="0000EE"/>
            </w:tcBorders>
            <w:gridSpan w:val="28"/>
          </w:tcPr>
          <w:p>
            <w:pPr>
              <w:spacing w:after="0" w:line="186" w:lineRule="exact"/>
              <w:rPr>
                <w:rFonts w:ascii="Arial" w:cs="Arial" w:eastAsia="Arial" w:hAnsi="Arial"/>
                <w:sz w:val="17"/>
                <w:szCs w:val="17"/>
                <w:b w:val="1"/>
                <w:bCs w:val="1"/>
                <w:color w:val="0000EE"/>
                <w:w w:val="90"/>
              </w:rPr>
            </w:pPr>
            <w:hyperlink w:anchor="page9">
              <w:r>
                <w:rPr>
                  <w:rFonts w:ascii="Arial" w:cs="Arial" w:eastAsia="Arial" w:hAnsi="Arial"/>
                  <w:sz w:val="17"/>
                  <w:szCs w:val="17"/>
                  <w:b w:val="1"/>
                  <w:bCs w:val="1"/>
                  <w:color w:val="0000EE"/>
                  <w:w w:val="90"/>
                </w:rPr>
                <w:t>Recommendation of the Board</w:t>
              </w:r>
            </w:hyperlink>
          </w:p>
        </w:tc>
        <w:tc>
          <w:tcPr>
            <w:tcW w:w="8120" w:type="dxa"/>
            <w:vAlign w:val="bottom"/>
            <w:gridSpan w:val="29"/>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700" w:type="dxa"/>
            <w:vAlign w:val="bottom"/>
            <w:tcBorders>
              <w:bottom w:val="single" w:sz="8" w:color="0000EE"/>
            </w:tcBorders>
            <w:gridSpan w:val="15"/>
          </w:tcPr>
          <w:p>
            <w:pPr>
              <w:spacing w:after="0" w:line="186" w:lineRule="exact"/>
              <w:rPr>
                <w:rFonts w:ascii="Arial" w:cs="Arial" w:eastAsia="Arial" w:hAnsi="Arial"/>
                <w:sz w:val="17"/>
                <w:szCs w:val="17"/>
                <w:b w:val="1"/>
                <w:bCs w:val="1"/>
                <w:color w:val="0000EE"/>
                <w:w w:val="92"/>
              </w:rPr>
            </w:pPr>
            <w:hyperlink w:anchor="page10">
              <w:r>
                <w:rPr>
                  <w:rFonts w:ascii="Arial" w:cs="Arial" w:eastAsia="Arial" w:hAnsi="Arial"/>
                  <w:sz w:val="17"/>
                  <w:szCs w:val="17"/>
                  <w:b w:val="1"/>
                  <w:bCs w:val="1"/>
                  <w:color w:val="0000EE"/>
                  <w:w w:val="92"/>
                </w:rPr>
                <w:t>Director Qualifications</w:t>
              </w:r>
            </w:hyperlink>
          </w:p>
        </w:tc>
        <w:tc>
          <w:tcPr>
            <w:tcW w:w="8680" w:type="dxa"/>
            <w:vAlign w:val="bottom"/>
            <w:gridSpan w:val="42"/>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Board Meetings and Attendance Records</w:t>
              </w:r>
            </w:hyperlink>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80" w:type="dxa"/>
            <w:vAlign w:val="bottom"/>
            <w:tcBorders>
              <w:bottom w:val="single" w:sz="8" w:color="0000EE"/>
            </w:tcBorders>
            <w:gridSpan w:val="11"/>
          </w:tcPr>
          <w:p>
            <w:pPr>
              <w:spacing w:after="0" w:line="186"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BOARD COMPENSATION</w:t>
              </w:r>
            </w:hyperlink>
          </w:p>
        </w:tc>
        <w:tc>
          <w:tcPr>
            <w:tcW w:w="8980" w:type="dxa"/>
            <w:vAlign w:val="bottom"/>
            <w:gridSpan w:val="47"/>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Non-Employee Director Compensation for Fiscal Year 2014</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44"/>
          </w:tcPr>
          <w:p>
            <w:pPr>
              <w:spacing w:after="0" w:line="186" w:lineRule="exact"/>
              <w:rPr>
                <w:rFonts w:ascii="Arial" w:cs="Arial" w:eastAsia="Arial" w:hAnsi="Arial"/>
                <w:sz w:val="17"/>
                <w:szCs w:val="17"/>
                <w:b w:val="1"/>
                <w:bCs w:val="1"/>
                <w:color w:val="0000EE"/>
                <w:w w:val="91"/>
              </w:rPr>
            </w:pPr>
            <w:hyperlink w:anchor="page15">
              <w:r>
                <w:rPr>
                  <w:rFonts w:ascii="Arial" w:cs="Arial" w:eastAsia="Arial" w:hAnsi="Arial"/>
                  <w:sz w:val="17"/>
                  <w:szCs w:val="17"/>
                  <w:b w:val="1"/>
                  <w:bCs w:val="1"/>
                  <w:color w:val="0000EE"/>
                  <w:w w:val="91"/>
                </w:rPr>
                <w:t>Board Leadership Structure and Role in Risk Oversight</w:t>
              </w:r>
            </w:hyperlink>
          </w:p>
        </w:tc>
        <w:tc>
          <w:tcPr>
            <w:tcW w:w="240" w:type="dxa"/>
            <w:vAlign w:val="bottom"/>
            <w:tcBorders>
              <w:top w:val="single" w:sz="8" w:color="0000EE"/>
            </w:tcBorders>
            <w:gridSpan w:val="3"/>
          </w:tcPr>
          <w:p>
            <w:pPr>
              <w:spacing w:after="0"/>
              <w:rPr>
                <w:sz w:val="16"/>
                <w:szCs w:val="16"/>
                <w:color w:val="auto"/>
              </w:rPr>
            </w:pPr>
          </w:p>
        </w:tc>
        <w:tc>
          <w:tcPr>
            <w:tcW w:w="6020" w:type="dxa"/>
            <w:vAlign w:val="bottom"/>
            <w:gridSpan w:val="10"/>
          </w:tcPr>
          <w:p>
            <w:pPr>
              <w:spacing w:after="0"/>
              <w:rPr>
                <w:sz w:val="16"/>
                <w:szCs w:val="16"/>
                <w:color w:val="auto"/>
              </w:rPr>
            </w:pPr>
          </w:p>
        </w:tc>
        <w:tc>
          <w:tcPr>
            <w:tcW w:w="300" w:type="dxa"/>
            <w:vAlign w:val="bottom"/>
            <w:gridSpan w:val="2"/>
          </w:tcPr>
          <w:p>
            <w:pPr>
              <w:jc w:val="right"/>
              <w:ind w:right="20"/>
              <w:spacing w:after="0" w:line="186" w:lineRule="exact"/>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Board Committees</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Compensation Committee Interlocks and Insider Participation</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24"/>
          </w:tcPr>
          <w:p>
            <w:pPr>
              <w:spacing w:after="0" w:line="186" w:lineRule="exact"/>
              <w:rPr>
                <w:rFonts w:ascii="Arial" w:cs="Arial" w:eastAsia="Arial" w:hAnsi="Arial"/>
                <w:sz w:val="17"/>
                <w:szCs w:val="17"/>
                <w:b w:val="1"/>
                <w:bCs w:val="1"/>
                <w:color w:val="0000EE"/>
                <w:w w:val="94"/>
              </w:rPr>
            </w:pPr>
            <w:hyperlink w:anchor="page19">
              <w:r>
                <w:rPr>
                  <w:rFonts w:ascii="Arial" w:cs="Arial" w:eastAsia="Arial" w:hAnsi="Arial"/>
                  <w:sz w:val="17"/>
                  <w:szCs w:val="17"/>
                  <w:b w:val="1"/>
                  <w:bCs w:val="1"/>
                  <w:color w:val="0000EE"/>
                  <w:w w:val="94"/>
                </w:rPr>
                <w:t>How to Contact Our Board</w:t>
              </w:r>
            </w:hyperlink>
          </w:p>
        </w:tc>
        <w:tc>
          <w:tcPr>
            <w:tcW w:w="2560" w:type="dxa"/>
            <w:vAlign w:val="bottom"/>
            <w:tcBorders>
              <w:top w:val="single" w:sz="8" w:color="0000EE"/>
            </w:tcBorders>
            <w:gridSpan w:val="25"/>
          </w:tcPr>
          <w:p>
            <w:pPr>
              <w:spacing w:after="0"/>
              <w:rPr>
                <w:sz w:val="16"/>
                <w:szCs w:val="16"/>
                <w:color w:val="auto"/>
              </w:rPr>
            </w:pPr>
          </w:p>
        </w:tc>
        <w:tc>
          <w:tcPr>
            <w:tcW w:w="5780" w:type="dxa"/>
            <w:vAlign w:val="bottom"/>
            <w:gridSpan w:val="8"/>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00" w:type="dxa"/>
            <w:vAlign w:val="bottom"/>
            <w:tcBorders>
              <w:bottom w:val="single" w:sz="8" w:color="0000EE"/>
            </w:tcBorders>
            <w:gridSpan w:val="43"/>
          </w:tcPr>
          <w:p>
            <w:pPr>
              <w:spacing w:after="0" w:line="186"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EXECUTIVE OFFICERS WHO ARE NOT DIRECTORS</w:t>
              </w:r>
            </w:hyperlink>
          </w:p>
        </w:tc>
        <w:tc>
          <w:tcPr>
            <w:tcW w:w="6760" w:type="dxa"/>
            <w:vAlign w:val="bottom"/>
            <w:gridSpan w:val="15"/>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0000EE"/>
            </w:tcBorders>
            <w:gridSpan w:val="32"/>
          </w:tcPr>
          <w:p>
            <w:pPr>
              <w:spacing w:after="0" w:line="186"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COMPENSATION COMMITTEE REPORT</w:t>
              </w:r>
            </w:hyperlink>
          </w:p>
        </w:tc>
        <w:tc>
          <w:tcPr>
            <w:tcW w:w="7740" w:type="dxa"/>
            <w:vAlign w:val="bottom"/>
            <w:gridSpan w:val="26"/>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0000EE"/>
            </w:tcBorders>
            <w:gridSpan w:val="37"/>
          </w:tcPr>
          <w:p>
            <w:pPr>
              <w:spacing w:after="0" w:line="186"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COMPENSATION DISCUSSION AND ANALYSIS</w:t>
              </w:r>
            </w:hyperlink>
          </w:p>
        </w:tc>
        <w:tc>
          <w:tcPr>
            <w:tcW w:w="7220" w:type="dxa"/>
            <w:vAlign w:val="bottom"/>
            <w:gridSpan w:val="21"/>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86" w:lineRule="exact"/>
              <w:rPr>
                <w:rFonts w:ascii="Arial" w:cs="Arial" w:eastAsia="Arial" w:hAnsi="Arial"/>
                <w:sz w:val="17"/>
                <w:szCs w:val="17"/>
                <w:b w:val="1"/>
                <w:bCs w:val="1"/>
                <w:color w:val="0000EE"/>
                <w:w w:val="91"/>
              </w:rPr>
            </w:pPr>
            <w:hyperlink w:anchor="page22">
              <w:r>
                <w:rPr>
                  <w:rFonts w:ascii="Arial" w:cs="Arial" w:eastAsia="Arial" w:hAnsi="Arial"/>
                  <w:sz w:val="17"/>
                  <w:szCs w:val="17"/>
                  <w:b w:val="1"/>
                  <w:bCs w:val="1"/>
                  <w:color w:val="0000EE"/>
                  <w:w w:val="91"/>
                </w:rPr>
                <w:t>Executive Summary</w:t>
              </w:r>
            </w:hyperlink>
          </w:p>
        </w:tc>
        <w:tc>
          <w:tcPr>
            <w:tcW w:w="8880" w:type="dxa"/>
            <w:vAlign w:val="bottom"/>
            <w:gridSpan w:val="44"/>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140" w:type="dxa"/>
            <w:vAlign w:val="bottom"/>
            <w:tcBorders>
              <w:bottom w:val="single" w:sz="8" w:color="0000EE"/>
            </w:tcBorders>
            <w:gridSpan w:val="35"/>
          </w:tcPr>
          <w:p>
            <w:pPr>
              <w:spacing w:after="0" w:line="186" w:lineRule="exact"/>
              <w:rPr>
                <w:rFonts w:ascii="Arial" w:cs="Arial" w:eastAsia="Arial" w:hAnsi="Arial"/>
                <w:sz w:val="17"/>
                <w:szCs w:val="17"/>
                <w:b w:val="1"/>
                <w:bCs w:val="1"/>
                <w:color w:val="0000EE"/>
                <w:w w:val="89"/>
              </w:rPr>
            </w:pPr>
            <w:hyperlink w:anchor="page25">
              <w:r>
                <w:rPr>
                  <w:rFonts w:ascii="Arial" w:cs="Arial" w:eastAsia="Arial" w:hAnsi="Arial"/>
                  <w:sz w:val="17"/>
                  <w:szCs w:val="17"/>
                  <w:b w:val="1"/>
                  <w:bCs w:val="1"/>
                  <w:color w:val="0000EE"/>
                  <w:w w:val="89"/>
                </w:rPr>
                <w:t>Advisory Vote on Executive Compensation</w:t>
              </w:r>
            </w:hyperlink>
          </w:p>
        </w:tc>
        <w:tc>
          <w:tcPr>
            <w:tcW w:w="7240" w:type="dxa"/>
            <w:vAlign w:val="bottom"/>
            <w:gridSpan w:val="22"/>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940" w:type="dxa"/>
            <w:vAlign w:val="bottom"/>
            <w:tcBorders>
              <w:bottom w:val="single" w:sz="8" w:color="0000EE"/>
            </w:tcBorders>
            <w:gridSpan w:val="19"/>
          </w:tcPr>
          <w:p>
            <w:pPr>
              <w:spacing w:after="0" w:line="186" w:lineRule="exact"/>
              <w:rPr>
                <w:rFonts w:ascii="Arial" w:cs="Arial" w:eastAsia="Arial" w:hAnsi="Arial"/>
                <w:sz w:val="17"/>
                <w:szCs w:val="17"/>
                <w:b w:val="1"/>
                <w:bCs w:val="1"/>
                <w:color w:val="0000EE"/>
                <w:w w:val="91"/>
              </w:rPr>
            </w:pPr>
            <w:hyperlink w:anchor="page25">
              <w:r>
                <w:rPr>
                  <w:rFonts w:ascii="Arial" w:cs="Arial" w:eastAsia="Arial" w:hAnsi="Arial"/>
                  <w:sz w:val="17"/>
                  <w:szCs w:val="17"/>
                  <w:b w:val="1"/>
                  <w:bCs w:val="1"/>
                  <w:color w:val="0000EE"/>
                  <w:w w:val="91"/>
                </w:rPr>
                <w:t>Named Executive Officers</w:t>
              </w:r>
            </w:hyperlink>
          </w:p>
        </w:tc>
        <w:tc>
          <w:tcPr>
            <w:tcW w:w="8440" w:type="dxa"/>
            <w:vAlign w:val="bottom"/>
            <w:gridSpan w:val="38"/>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Compensation Philosophy</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920" w:type="dxa"/>
            <w:vAlign w:val="bottom"/>
            <w:tcBorders>
              <w:top w:val="single" w:sz="8" w:color="0000EE"/>
            </w:tcBorders>
            <w:gridSpan w:val="18"/>
          </w:tcPr>
          <w:p>
            <w:pPr>
              <w:spacing w:after="0" w:line="186"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Compensation Risk</w:t>
              </w:r>
            </w:hyperlink>
          </w:p>
        </w:tc>
        <w:tc>
          <w:tcPr>
            <w:tcW w:w="8460" w:type="dxa"/>
            <w:vAlign w:val="bottom"/>
            <w:gridSpan w:val="39"/>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Role of the Compensation Committee and Management in Executive Compensation</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200" w:type="dxa"/>
            <w:vAlign w:val="bottom"/>
            <w:tcBorders>
              <w:top w:val="single" w:sz="8" w:color="0000EE"/>
              <w:bottom w:val="single" w:sz="8" w:color="0000EE"/>
            </w:tcBorders>
            <w:gridSpan w:val="37"/>
          </w:tcPr>
          <w:p>
            <w:pPr>
              <w:spacing w:after="0" w:line="186" w:lineRule="exact"/>
              <w:rPr>
                <w:rFonts w:ascii="Arial" w:cs="Arial" w:eastAsia="Arial" w:hAnsi="Arial"/>
                <w:sz w:val="17"/>
                <w:szCs w:val="17"/>
                <w:b w:val="1"/>
                <w:bCs w:val="1"/>
                <w:color w:val="0000EE"/>
                <w:w w:val="90"/>
              </w:rPr>
            </w:pPr>
            <w:hyperlink w:anchor="page27">
              <w:r>
                <w:rPr>
                  <w:rFonts w:ascii="Arial" w:cs="Arial" w:eastAsia="Arial" w:hAnsi="Arial"/>
                  <w:sz w:val="17"/>
                  <w:szCs w:val="17"/>
                  <w:b w:val="1"/>
                  <w:bCs w:val="1"/>
                  <w:color w:val="0000EE"/>
                  <w:w w:val="90"/>
                </w:rPr>
                <w:t>Engagement of a Compensation Consultant</w:t>
              </w:r>
            </w:hyperlink>
          </w:p>
        </w:tc>
        <w:tc>
          <w:tcPr>
            <w:tcW w:w="2920" w:type="dxa"/>
            <w:vAlign w:val="bottom"/>
            <w:tcBorders>
              <w:top w:val="single" w:sz="8" w:color="0000EE"/>
            </w:tcBorders>
            <w:gridSpan w:val="17"/>
          </w:tcPr>
          <w:p>
            <w:pPr>
              <w:spacing w:after="0"/>
              <w:rPr>
                <w:sz w:val="16"/>
                <w:szCs w:val="16"/>
                <w:color w:val="auto"/>
              </w:rPr>
            </w:pPr>
          </w:p>
        </w:tc>
        <w:tc>
          <w:tcPr>
            <w:tcW w:w="4260" w:type="dxa"/>
            <w:vAlign w:val="bottom"/>
            <w:gridSpan w:val="3"/>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100" w:type="dxa"/>
            <w:vAlign w:val="bottom"/>
            <w:tcBorders>
              <w:bottom w:val="single" w:sz="8" w:color="0000EE"/>
            </w:tcBorders>
            <w:gridSpan w:val="6"/>
          </w:tcPr>
          <w:p>
            <w:pPr>
              <w:spacing w:after="0" w:line="186" w:lineRule="exact"/>
              <w:rPr>
                <w:rFonts w:ascii="Arial" w:cs="Arial" w:eastAsia="Arial" w:hAnsi="Arial"/>
                <w:sz w:val="17"/>
                <w:szCs w:val="17"/>
                <w:b w:val="1"/>
                <w:bCs w:val="1"/>
                <w:color w:val="0000EE"/>
                <w:w w:val="91"/>
              </w:rPr>
            </w:pPr>
            <w:hyperlink w:anchor="page27">
              <w:r>
                <w:rPr>
                  <w:rFonts w:ascii="Arial" w:cs="Arial" w:eastAsia="Arial" w:hAnsi="Arial"/>
                  <w:sz w:val="17"/>
                  <w:szCs w:val="17"/>
                  <w:b w:val="1"/>
                  <w:bCs w:val="1"/>
                  <w:color w:val="0000EE"/>
                  <w:w w:val="91"/>
                </w:rPr>
                <w:t>Benchmarking</w:t>
              </w:r>
            </w:hyperlink>
          </w:p>
        </w:tc>
        <w:tc>
          <w:tcPr>
            <w:tcW w:w="9280" w:type="dxa"/>
            <w:vAlign w:val="bottom"/>
            <w:gridSpan w:val="51"/>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740" w:type="dxa"/>
            <w:vAlign w:val="bottom"/>
            <w:tcBorders>
              <w:bottom w:val="single" w:sz="8" w:color="0000EE"/>
            </w:tcBorders>
            <w:gridSpan w:val="32"/>
          </w:tcPr>
          <w:p>
            <w:pPr>
              <w:spacing w:after="0" w:line="186" w:lineRule="exact"/>
              <w:rPr>
                <w:rFonts w:ascii="Arial" w:cs="Arial" w:eastAsia="Arial" w:hAnsi="Arial"/>
                <w:sz w:val="17"/>
                <w:szCs w:val="17"/>
                <w:b w:val="1"/>
                <w:bCs w:val="1"/>
                <w:color w:val="0000EE"/>
                <w:w w:val="89"/>
              </w:rPr>
            </w:pPr>
            <w:hyperlink w:anchor="page29">
              <w:r>
                <w:rPr>
                  <w:rFonts w:ascii="Arial" w:cs="Arial" w:eastAsia="Arial" w:hAnsi="Arial"/>
                  <w:sz w:val="17"/>
                  <w:szCs w:val="17"/>
                  <w:b w:val="1"/>
                  <w:bCs w:val="1"/>
                  <w:color w:val="0000EE"/>
                  <w:w w:val="89"/>
                </w:rPr>
                <w:t>Elements of Executive Compensation</w:t>
              </w:r>
            </w:hyperlink>
          </w:p>
        </w:tc>
        <w:tc>
          <w:tcPr>
            <w:tcW w:w="7640" w:type="dxa"/>
            <w:vAlign w:val="bottom"/>
            <w:gridSpan w:val="25"/>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Change in Control Benefits</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2100" w:type="dxa"/>
            <w:vAlign w:val="bottom"/>
            <w:tcBorders>
              <w:bottom w:val="single" w:sz="8" w:color="0000EE"/>
            </w:tcBorders>
            <w:gridSpan w:val="26"/>
          </w:tcPr>
          <w:p>
            <w:pPr>
              <w:spacing w:after="0" w:line="186" w:lineRule="exact"/>
              <w:rPr>
                <w:rFonts w:ascii="Arial" w:cs="Arial" w:eastAsia="Arial" w:hAnsi="Arial"/>
                <w:sz w:val="17"/>
                <w:szCs w:val="17"/>
                <w:b w:val="1"/>
                <w:bCs w:val="1"/>
                <w:color w:val="0000EE"/>
                <w:w w:val="90"/>
              </w:rPr>
            </w:pPr>
            <w:hyperlink w:anchor="page36">
              <w:r>
                <w:rPr>
                  <w:rFonts w:ascii="Arial" w:cs="Arial" w:eastAsia="Arial" w:hAnsi="Arial"/>
                  <w:sz w:val="17"/>
                  <w:szCs w:val="17"/>
                  <w:b w:val="1"/>
                  <w:bCs w:val="1"/>
                  <w:color w:val="0000EE"/>
                  <w:w w:val="90"/>
                </w:rPr>
                <w:t>Stock Ownership Guidelines</w:t>
              </w:r>
            </w:hyperlink>
          </w:p>
        </w:tc>
        <w:tc>
          <w:tcPr>
            <w:tcW w:w="8280" w:type="dxa"/>
            <w:vAlign w:val="bottom"/>
            <w:gridSpan w:val="31"/>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680" w:type="dxa"/>
            <w:vAlign w:val="bottom"/>
            <w:tcBorders>
              <w:bottom w:val="single" w:sz="8" w:color="0000EE"/>
            </w:tcBorders>
            <w:gridSpan w:val="43"/>
          </w:tcPr>
          <w:p>
            <w:pPr>
              <w:spacing w:after="0" w:line="186" w:lineRule="exact"/>
              <w:rPr>
                <w:rFonts w:ascii="Arial" w:cs="Arial" w:eastAsia="Arial" w:hAnsi="Arial"/>
                <w:sz w:val="17"/>
                <w:szCs w:val="17"/>
                <w:b w:val="1"/>
                <w:bCs w:val="1"/>
                <w:color w:val="0000EE"/>
                <w:w w:val="91"/>
              </w:rPr>
            </w:pPr>
            <w:hyperlink w:anchor="page37">
              <w:r>
                <w:rPr>
                  <w:rFonts w:ascii="Arial" w:cs="Arial" w:eastAsia="Arial" w:hAnsi="Arial"/>
                  <w:sz w:val="17"/>
                  <w:szCs w:val="17"/>
                  <w:b w:val="1"/>
                  <w:bCs w:val="1"/>
                  <w:color w:val="0000EE"/>
                  <w:w w:val="91"/>
                </w:rPr>
                <w:t>Limitations on Tax Deductibility of Compensation</w:t>
              </w:r>
            </w:hyperlink>
          </w:p>
        </w:tc>
        <w:tc>
          <w:tcPr>
            <w:tcW w:w="6700" w:type="dxa"/>
            <w:vAlign w:val="bottom"/>
            <w:gridSpan w:val="14"/>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0000EE"/>
            </w:tcBorders>
            <w:gridSpan w:val="18"/>
          </w:tcPr>
          <w:p>
            <w:pPr>
              <w:spacing w:after="0" w:line="186"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EXECUTIVE COMPENSATION</w:t>
              </w:r>
            </w:hyperlink>
          </w:p>
        </w:tc>
        <w:tc>
          <w:tcPr>
            <w:tcW w:w="8580" w:type="dxa"/>
            <w:vAlign w:val="bottom"/>
            <w:gridSpan w:val="40"/>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Summary Compensation Table</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280" w:type="dxa"/>
            <w:vAlign w:val="bottom"/>
            <w:tcBorders>
              <w:top w:val="single" w:sz="8" w:color="0000EE"/>
            </w:tcBorders>
            <w:gridSpan w:val="29"/>
          </w:tcPr>
          <w:p>
            <w:pPr>
              <w:spacing w:after="0" w:line="186" w:lineRule="exact"/>
              <w:rPr>
                <w:rFonts w:ascii="Arial" w:cs="Arial" w:eastAsia="Arial" w:hAnsi="Arial"/>
                <w:sz w:val="17"/>
                <w:szCs w:val="17"/>
                <w:b w:val="1"/>
                <w:bCs w:val="1"/>
                <w:color w:val="0000EE"/>
                <w:w w:val="94"/>
              </w:rPr>
            </w:pPr>
            <w:hyperlink w:anchor="page40">
              <w:r>
                <w:rPr>
                  <w:rFonts w:ascii="Arial" w:cs="Arial" w:eastAsia="Arial" w:hAnsi="Arial"/>
                  <w:sz w:val="17"/>
                  <w:szCs w:val="17"/>
                  <w:b w:val="1"/>
                  <w:bCs w:val="1"/>
                  <w:color w:val="0000EE"/>
                  <w:w w:val="94"/>
                </w:rPr>
                <w:t>Grants of Plan-Based Awards</w:t>
              </w:r>
            </w:hyperlink>
          </w:p>
        </w:tc>
        <w:tc>
          <w:tcPr>
            <w:tcW w:w="8100" w:type="dxa"/>
            <w:vAlign w:val="bottom"/>
            <w:gridSpan w:val="28"/>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Outstanding Equity Awards at Fiscal Year-End</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460" w:type="dxa"/>
            <w:vAlign w:val="bottom"/>
            <w:tcBorders>
              <w:top w:val="single" w:sz="8" w:color="0000EE"/>
            </w:tcBorders>
            <w:gridSpan w:val="40"/>
          </w:tcPr>
          <w:p>
            <w:pPr>
              <w:spacing w:after="0" w:line="186" w:lineRule="exact"/>
              <w:rPr>
                <w:rFonts w:ascii="Arial" w:cs="Arial" w:eastAsia="Arial" w:hAnsi="Arial"/>
                <w:sz w:val="17"/>
                <w:szCs w:val="17"/>
                <w:b w:val="1"/>
                <w:bCs w:val="1"/>
                <w:color w:val="0000EE"/>
              </w:rPr>
            </w:pPr>
            <w:hyperlink w:anchor="page42">
              <w:r>
                <w:rPr>
                  <w:rFonts w:ascii="Arial" w:cs="Arial" w:eastAsia="Arial" w:hAnsi="Arial"/>
                  <w:sz w:val="17"/>
                  <w:szCs w:val="17"/>
                  <w:b w:val="1"/>
                  <w:bCs w:val="1"/>
                  <w:color w:val="0000EE"/>
                </w:rPr>
                <w:t>Option Exercises and Stock Vested</w:t>
              </w:r>
            </w:hyperlink>
          </w:p>
        </w:tc>
        <w:tc>
          <w:tcPr>
            <w:tcW w:w="6920" w:type="dxa"/>
            <w:vAlign w:val="bottom"/>
            <w:gridSpan w:val="17"/>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0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Nonqualified Deferred Compensation in FY 2014</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00" w:type="dxa"/>
            <w:vAlign w:val="bottom"/>
            <w:gridSpan w:val="8"/>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tcBorders>
              <w:bottom w:val="single" w:sz="8" w:color="0000EE"/>
            </w:tcBorders>
            <w:gridSpan w:val="52"/>
          </w:tcPr>
          <w:p>
            <w:pPr>
              <w:spacing w:after="0" w:line="186" w:lineRule="exact"/>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POTENTIAL PAYMENTS UPON TERMINATION OR CHANGE IN CONTROL</w:t>
              </w:r>
            </w:hyperlink>
          </w:p>
        </w:tc>
        <w:tc>
          <w:tcPr>
            <w:tcW w:w="5000" w:type="dxa"/>
            <w:vAlign w:val="bottom"/>
            <w:gridSpan w:val="6"/>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940" w:type="dxa"/>
            <w:vAlign w:val="bottom"/>
            <w:tcBorders>
              <w:bottom w:val="single" w:sz="8" w:color="0000EE"/>
            </w:tcBorders>
            <w:gridSpan w:val="33"/>
          </w:tcPr>
          <w:p>
            <w:pPr>
              <w:spacing w:after="0" w:line="186" w:lineRule="exact"/>
              <w:rPr>
                <w:rFonts w:ascii="Arial" w:cs="Arial" w:eastAsia="Arial" w:hAnsi="Arial"/>
                <w:sz w:val="17"/>
                <w:szCs w:val="17"/>
                <w:b w:val="1"/>
                <w:bCs w:val="1"/>
                <w:color w:val="0000EE"/>
                <w:w w:val="92"/>
              </w:rPr>
            </w:pPr>
            <w:hyperlink w:anchor="page44">
              <w:r>
                <w:rPr>
                  <w:rFonts w:ascii="Arial" w:cs="Arial" w:eastAsia="Arial" w:hAnsi="Arial"/>
                  <w:sz w:val="17"/>
                  <w:szCs w:val="17"/>
                  <w:b w:val="1"/>
                  <w:bCs w:val="1"/>
                  <w:color w:val="0000EE"/>
                  <w:w w:val="92"/>
                </w:rPr>
                <w:t>Payments Made Upon Any Termination</w:t>
              </w:r>
            </w:hyperlink>
          </w:p>
        </w:tc>
        <w:tc>
          <w:tcPr>
            <w:tcW w:w="7440" w:type="dxa"/>
            <w:vAlign w:val="bottom"/>
            <w:gridSpan w:val="24"/>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60" w:type="dxa"/>
            <w:vAlign w:val="bottom"/>
            <w:tcBorders>
              <w:bottom w:val="single" w:sz="8" w:color="0000EE"/>
            </w:tcBorders>
            <w:gridSpan w:val="6"/>
          </w:tcPr>
          <w:p>
            <w:pPr>
              <w:spacing w:after="0" w:line="186" w:lineRule="exact"/>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STOCK OWNERSHIP</w:t>
              </w:r>
            </w:hyperlink>
          </w:p>
        </w:tc>
        <w:tc>
          <w:tcPr>
            <w:tcW w:w="9300" w:type="dxa"/>
            <w:vAlign w:val="bottom"/>
            <w:gridSpan w:val="52"/>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86" w:lineRule="exact"/>
              <w:rPr>
                <w:rFonts w:ascii="Arial" w:cs="Arial" w:eastAsia="Arial" w:hAnsi="Arial"/>
                <w:sz w:val="17"/>
                <w:szCs w:val="17"/>
                <w:b w:val="1"/>
                <w:bCs w:val="1"/>
                <w:color w:val="0000EE"/>
                <w:w w:val="92"/>
              </w:rPr>
            </w:pPr>
            <w:hyperlink w:anchor="page47">
              <w:r>
                <w:rPr>
                  <w:rFonts w:ascii="Arial" w:cs="Arial" w:eastAsia="Arial" w:hAnsi="Arial"/>
                  <w:sz w:val="17"/>
                  <w:szCs w:val="17"/>
                  <w:b w:val="1"/>
                  <w:bCs w:val="1"/>
                  <w:color w:val="0000EE"/>
                  <w:w w:val="92"/>
                </w:rPr>
                <w:t>Management</w:t>
              </w:r>
            </w:hyperlink>
          </w:p>
        </w:tc>
        <w:tc>
          <w:tcPr>
            <w:tcW w:w="9400" w:type="dxa"/>
            <w:vAlign w:val="bottom"/>
            <w:gridSpan w:val="53"/>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960" w:type="dxa"/>
            <w:vAlign w:val="bottom"/>
            <w:tcBorders>
              <w:bottom w:val="single" w:sz="8" w:color="0000EE"/>
            </w:tcBorders>
            <w:gridSpan w:val="20"/>
          </w:tcPr>
          <w:p>
            <w:pPr>
              <w:spacing w:after="0" w:line="186" w:lineRule="exact"/>
              <w:rPr>
                <w:rFonts w:ascii="Arial" w:cs="Arial" w:eastAsia="Arial" w:hAnsi="Arial"/>
                <w:sz w:val="17"/>
                <w:szCs w:val="17"/>
                <w:b w:val="1"/>
                <w:bCs w:val="1"/>
                <w:color w:val="0000EE"/>
                <w:w w:val="92"/>
              </w:rPr>
            </w:pPr>
            <w:hyperlink w:anchor="page48">
              <w:r>
                <w:rPr>
                  <w:rFonts w:ascii="Arial" w:cs="Arial" w:eastAsia="Arial" w:hAnsi="Arial"/>
                  <w:sz w:val="17"/>
                  <w:szCs w:val="17"/>
                  <w:b w:val="1"/>
                  <w:bCs w:val="1"/>
                  <w:color w:val="0000EE"/>
                  <w:w w:val="92"/>
                </w:rPr>
                <w:t>Certain Beneficial Owners</w:t>
              </w:r>
            </w:hyperlink>
          </w:p>
        </w:tc>
        <w:tc>
          <w:tcPr>
            <w:tcW w:w="8420" w:type="dxa"/>
            <w:vAlign w:val="bottom"/>
            <w:gridSpan w:val="37"/>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020" w:type="dxa"/>
            <w:vAlign w:val="bottom"/>
            <w:tcBorders>
              <w:bottom w:val="single" w:sz="8" w:color="0000EE"/>
            </w:tcBorders>
            <w:gridSpan w:val="23"/>
          </w:tcPr>
          <w:p>
            <w:pPr>
              <w:spacing w:after="0" w:line="186" w:lineRule="exact"/>
              <w:rPr>
                <w:rFonts w:ascii="Arial" w:cs="Arial" w:eastAsia="Arial" w:hAnsi="Arial"/>
                <w:sz w:val="17"/>
                <w:szCs w:val="17"/>
                <w:b w:val="1"/>
                <w:bCs w:val="1"/>
                <w:color w:val="0000EE"/>
                <w:w w:val="91"/>
              </w:rPr>
            </w:pPr>
            <w:hyperlink w:anchor="page49">
              <w:r>
                <w:rPr>
                  <w:rFonts w:ascii="Arial" w:cs="Arial" w:eastAsia="Arial" w:hAnsi="Arial"/>
                  <w:sz w:val="17"/>
                  <w:szCs w:val="17"/>
                  <w:b w:val="1"/>
                  <w:bCs w:val="1"/>
                  <w:color w:val="0000EE"/>
                  <w:w w:val="91"/>
                </w:rPr>
                <w:t>Related Party Transactions</w:t>
              </w:r>
            </w:hyperlink>
          </w:p>
        </w:tc>
        <w:tc>
          <w:tcPr>
            <w:tcW w:w="8360" w:type="dxa"/>
            <w:vAlign w:val="bottom"/>
            <w:gridSpan w:val="34"/>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380" w:type="dxa"/>
            <w:vAlign w:val="bottom"/>
            <w:gridSpan w:val="57"/>
          </w:tcPr>
          <w:p>
            <w:pPr>
              <w:spacing w:after="0" w:line="186" w:lineRule="exact"/>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Section 16(a) Beneficial Ownership Reporting Compliance</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4280" w:type="dxa"/>
            <w:vAlign w:val="bottom"/>
            <w:tcBorders>
              <w:top w:val="single" w:sz="8" w:color="0000EE"/>
            </w:tcBorders>
            <w:gridSpan w:val="46"/>
          </w:tcPr>
          <w:p>
            <w:pPr>
              <w:spacing w:after="0" w:line="186" w:lineRule="exact"/>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Code of Conduct</w:t>
              </w:r>
            </w:hyperlink>
          </w:p>
        </w:tc>
        <w:tc>
          <w:tcPr>
            <w:tcW w:w="6100" w:type="dxa"/>
            <w:vAlign w:val="bottom"/>
            <w:gridSpan w:val="11"/>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060" w:type="dxa"/>
            <w:vAlign w:val="bottom"/>
            <w:gridSpan w:val="58"/>
          </w:tcPr>
          <w:p>
            <w:pPr>
              <w:spacing w:after="0" w:line="186" w:lineRule="exact"/>
              <w:rPr>
                <w:rFonts w:ascii="Arial" w:cs="Arial" w:eastAsia="Arial" w:hAnsi="Arial"/>
                <w:sz w:val="17"/>
                <w:szCs w:val="17"/>
                <w:b w:val="1"/>
                <w:bCs w:val="1"/>
                <w:color w:val="0000EE"/>
              </w:rPr>
            </w:pPr>
            <w:hyperlink w:anchor="page51">
              <w:r>
                <w:rPr>
                  <w:rFonts w:ascii="Arial" w:cs="Arial" w:eastAsia="Arial" w:hAnsi="Arial"/>
                  <w:sz w:val="17"/>
                  <w:szCs w:val="17"/>
                  <w:b w:val="1"/>
                  <w:bCs w:val="1"/>
                  <w:color w:val="0000EE"/>
                </w:rPr>
                <w:t>PROPOSAL NO. 2: ADVISORY VOTE ON COMPENSATION OF OUR NAMED EXECUTIVE OFFICERS</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28"/>
          </w:tcPr>
          <w:p>
            <w:pPr>
              <w:spacing w:after="0" w:line="186" w:lineRule="exact"/>
              <w:rPr>
                <w:rFonts w:ascii="Arial" w:cs="Arial" w:eastAsia="Arial" w:hAnsi="Arial"/>
                <w:sz w:val="17"/>
                <w:szCs w:val="17"/>
                <w:b w:val="1"/>
                <w:bCs w:val="1"/>
                <w:color w:val="0000EE"/>
                <w:w w:val="90"/>
              </w:rPr>
            </w:pPr>
            <w:hyperlink w:anchor="page51">
              <w:r>
                <w:rPr>
                  <w:rFonts w:ascii="Arial" w:cs="Arial" w:eastAsia="Arial" w:hAnsi="Arial"/>
                  <w:sz w:val="17"/>
                  <w:szCs w:val="17"/>
                  <w:b w:val="1"/>
                  <w:bCs w:val="1"/>
                  <w:color w:val="0000EE"/>
                  <w:w w:val="90"/>
                </w:rPr>
                <w:t>Recommendation of the Board</w:t>
              </w:r>
            </w:hyperlink>
          </w:p>
        </w:tc>
        <w:tc>
          <w:tcPr>
            <w:tcW w:w="5120" w:type="dxa"/>
            <w:vAlign w:val="bottom"/>
            <w:tcBorders>
              <w:top w:val="single" w:sz="8" w:color="0000EE"/>
            </w:tcBorders>
            <w:gridSpan w:val="28"/>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060" w:type="dxa"/>
            <w:vAlign w:val="bottom"/>
            <w:gridSpan w:val="58"/>
          </w:tcPr>
          <w:p>
            <w:pPr>
              <w:spacing w:after="0" w:line="186" w:lineRule="exact"/>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PROPOSAL NO. 3: APPROVAL OF EXPECTED APPOINTMENT OF INDEPENDENT AUDITORS</w:t>
              </w:r>
            </w:hyperlink>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55"/>
          </w:tcPr>
          <w:p>
            <w:pPr>
              <w:spacing w:after="0" w:line="186" w:lineRule="exact"/>
              <w:rPr>
                <w:rFonts w:ascii="Arial" w:cs="Arial" w:eastAsia="Arial" w:hAnsi="Arial"/>
                <w:sz w:val="17"/>
                <w:szCs w:val="17"/>
                <w:b w:val="1"/>
                <w:bCs w:val="1"/>
                <w:color w:val="0000EE"/>
              </w:rPr>
            </w:pPr>
            <w:hyperlink w:anchor="page52">
              <w:r>
                <w:rPr>
                  <w:rFonts w:ascii="Arial" w:cs="Arial" w:eastAsia="Arial" w:hAnsi="Arial"/>
                  <w:sz w:val="17"/>
                  <w:szCs w:val="17"/>
                  <w:b w:val="1"/>
                  <w:bCs w:val="1"/>
                  <w:color w:val="0000EE"/>
                </w:rPr>
                <w:t>General</w:t>
              </w:r>
            </w:hyperlink>
          </w:p>
        </w:tc>
        <w:tc>
          <w:tcPr>
            <w:tcW w:w="3520" w:type="dxa"/>
            <w:vAlign w:val="bottom"/>
            <w:gridSpan w:val="2"/>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1660" w:type="dxa"/>
            <w:vAlign w:val="bottom"/>
            <w:gridSpan w:val="2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0" w:type="dxa"/>
            <w:vAlign w:val="bottom"/>
          </w:tcPr>
          <w:p>
            <w:pPr>
              <w:spacing w:after="0"/>
              <w:rPr>
                <w:sz w:val="16"/>
                <w:szCs w:val="16"/>
                <w:color w:val="auto"/>
              </w:rPr>
            </w:pPr>
          </w:p>
        </w:tc>
        <w:tc>
          <w:tcPr>
            <w:tcW w:w="2260" w:type="dxa"/>
            <w:vAlign w:val="bottom"/>
            <w:tcBorders>
              <w:bottom w:val="single" w:sz="8" w:color="0000EE"/>
            </w:tcBorders>
            <w:gridSpan w:val="28"/>
          </w:tcPr>
          <w:p>
            <w:pPr>
              <w:spacing w:after="0" w:line="186" w:lineRule="exact"/>
              <w:rPr>
                <w:rFonts w:ascii="Arial" w:cs="Arial" w:eastAsia="Arial" w:hAnsi="Arial"/>
                <w:sz w:val="17"/>
                <w:szCs w:val="17"/>
                <w:b w:val="1"/>
                <w:bCs w:val="1"/>
                <w:color w:val="0000EE"/>
                <w:w w:val="90"/>
              </w:rPr>
            </w:pPr>
            <w:hyperlink w:anchor="page52">
              <w:r>
                <w:rPr>
                  <w:rFonts w:ascii="Arial" w:cs="Arial" w:eastAsia="Arial" w:hAnsi="Arial"/>
                  <w:sz w:val="17"/>
                  <w:szCs w:val="17"/>
                  <w:b w:val="1"/>
                  <w:bCs w:val="1"/>
                  <w:color w:val="0000EE"/>
                  <w:w w:val="90"/>
                </w:rPr>
                <w:t>Recommendation of the Board</w:t>
              </w:r>
            </w:hyperlink>
          </w:p>
        </w:tc>
        <w:tc>
          <w:tcPr>
            <w:tcW w:w="8120" w:type="dxa"/>
            <w:vAlign w:val="bottom"/>
            <w:gridSpan w:val="29"/>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Borders>
              <w:bottom w:val="single" w:sz="8" w:color="0000EE"/>
            </w:tcBorders>
            <w:gridSpan w:val="49"/>
          </w:tcPr>
          <w:p>
            <w:pPr>
              <w:spacing w:after="0" w:line="186" w:lineRule="exact"/>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RELATIONSHIP WITH INDEPENDENT PUBLIC ACCOUNTANTS</w:t>
              </w:r>
            </w:hyperlink>
          </w:p>
        </w:tc>
        <w:tc>
          <w:tcPr>
            <w:tcW w:w="5880" w:type="dxa"/>
            <w:vAlign w:val="bottom"/>
            <w:gridSpan w:val="9"/>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0000EE"/>
            </w:tcBorders>
            <w:gridSpan w:val="17"/>
          </w:tcPr>
          <w:p>
            <w:pPr>
              <w:spacing w:after="0" w:line="186" w:lineRule="exact"/>
              <w:rPr>
                <w:rFonts w:ascii="Arial" w:cs="Arial" w:eastAsia="Arial" w:hAnsi="Arial"/>
                <w:sz w:val="17"/>
                <w:szCs w:val="17"/>
                <w:b w:val="1"/>
                <w:bCs w:val="1"/>
                <w:color w:val="0000EE"/>
              </w:rPr>
            </w:pPr>
            <w:hyperlink w:anchor="page53">
              <w:r>
                <w:rPr>
                  <w:rFonts w:ascii="Arial" w:cs="Arial" w:eastAsia="Arial" w:hAnsi="Arial"/>
                  <w:sz w:val="17"/>
                  <w:szCs w:val="17"/>
                  <w:b w:val="1"/>
                  <w:bCs w:val="1"/>
                  <w:color w:val="0000EE"/>
                </w:rPr>
                <w:t>AUDIT COMMITTEE REPORT</w:t>
              </w:r>
            </w:hyperlink>
          </w:p>
        </w:tc>
        <w:tc>
          <w:tcPr>
            <w:tcW w:w="8600" w:type="dxa"/>
            <w:vAlign w:val="bottom"/>
            <w:gridSpan w:val="41"/>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Borders>
              <w:bottom w:val="single" w:sz="8" w:color="0000EE"/>
            </w:tcBorders>
            <w:gridSpan w:val="53"/>
          </w:tcPr>
          <w:p>
            <w:pPr>
              <w:spacing w:after="0" w:line="186" w:lineRule="exact"/>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OTHER MATTERS WHICH MAY BE PRESENTED FOR ACTION AT THE MEETING</w:t>
              </w:r>
            </w:hyperlink>
          </w:p>
        </w:tc>
        <w:tc>
          <w:tcPr>
            <w:tcW w:w="4420" w:type="dxa"/>
            <w:vAlign w:val="bottom"/>
            <w:gridSpan w:val="5"/>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Borders>
              <w:bottom w:val="single" w:sz="8" w:color="0000EE"/>
            </w:tcBorders>
            <w:gridSpan w:val="40"/>
          </w:tcPr>
          <w:p>
            <w:pPr>
              <w:spacing w:after="0" w:line="186" w:lineRule="exact"/>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DELIVERY OF DOCUMENTS TO STOCKHOLDERS</w:t>
              </w:r>
            </w:hyperlink>
          </w:p>
        </w:tc>
        <w:tc>
          <w:tcPr>
            <w:tcW w:w="6940" w:type="dxa"/>
            <w:vAlign w:val="bottom"/>
            <w:gridSpan w:val="18"/>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tcBorders>
              <w:bottom w:val="single" w:sz="8" w:color="0000EE"/>
            </w:tcBorders>
            <w:gridSpan w:val="46"/>
          </w:tcPr>
          <w:p>
            <w:pPr>
              <w:spacing w:after="0" w:line="186" w:lineRule="exact"/>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DEADLINE FOR RECEIPT OF STOCKHOLDER PROPOSALS</w:t>
              </w:r>
            </w:hyperlink>
          </w:p>
        </w:tc>
        <w:tc>
          <w:tcPr>
            <w:tcW w:w="6200" w:type="dxa"/>
            <w:vAlign w:val="bottom"/>
            <w:gridSpan w:val="12"/>
          </w:tcPr>
          <w:p>
            <w:pPr>
              <w:spacing w:after="0"/>
              <w:rPr>
                <w:sz w:val="16"/>
                <w:szCs w:val="16"/>
                <w:color w:val="auto"/>
              </w:rPr>
            </w:pPr>
          </w:p>
        </w:tc>
        <w:tc>
          <w:tcPr>
            <w:tcW w:w="28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4" w:right="3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EAGLE MATERIALS INC.</w:t>
      </w:r>
    </w:p>
    <w:p>
      <w:pPr>
        <w:spacing w:after="0" w:line="3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3811 Turtle Creek Blvd., Suite 1100</w:t>
      </w:r>
    </w:p>
    <w:p>
      <w:pPr>
        <w:spacing w:after="0" w:line="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Dallas, Texas 75219-4487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INTRODUCTION</w:t>
      </w:r>
    </w:p>
    <w:p>
      <w:pPr>
        <w:spacing w:after="0" w:line="184"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20, 2014.</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the Annual Meeting</w:t>
      </w:r>
    </w:p>
    <w:p>
      <w:pPr>
        <w:spacing w:after="0" w:line="184" w:lineRule="exact"/>
        <w:rPr>
          <w:sz w:val="20"/>
          <w:szCs w:val="20"/>
          <w:color w:val="auto"/>
        </w:rPr>
      </w:pPr>
    </w:p>
    <w:p>
      <w:pPr>
        <w:ind w:right="80" w:firstLine="799"/>
        <w:spacing w:after="0" w:line="279" w:lineRule="auto"/>
        <w:rPr>
          <w:sz w:val="20"/>
          <w:szCs w:val="20"/>
          <w:color w:val="auto"/>
        </w:rPr>
      </w:pPr>
      <w:r>
        <w:rPr>
          <w:rFonts w:ascii="Arial" w:cs="Arial" w:eastAsia="Arial" w:hAnsi="Arial"/>
          <w:sz w:val="17"/>
          <w:szCs w:val="17"/>
          <w:color w:val="auto"/>
        </w:rPr>
        <w:t>The 2014 annual meeting of our stockholders will be held at Arlington Hall at Lee Park, 3333 Turtle Creek Blvd., Dallas, Texas 75219 at 8:00 a.m., local time, on Thursday, August 7, 2014.</w:t>
      </w:r>
    </w:p>
    <w:p>
      <w:pPr>
        <w:spacing w:after="0" w:line="119" w:lineRule="exact"/>
        <w:rPr>
          <w:sz w:val="20"/>
          <w:szCs w:val="20"/>
          <w:color w:val="auto"/>
        </w:rPr>
      </w:pPr>
    </w:p>
    <w:p>
      <w:pPr>
        <w:jc w:val="center"/>
        <w:ind w:right="5420"/>
        <w:spacing w:after="0"/>
        <w:rPr>
          <w:sz w:val="20"/>
          <w:szCs w:val="20"/>
          <w:color w:val="auto"/>
        </w:rPr>
      </w:pPr>
      <w:r>
        <w:rPr>
          <w:rFonts w:ascii="Arial" w:cs="Arial" w:eastAsia="Arial" w:hAnsi="Arial"/>
          <w:sz w:val="15"/>
          <w:szCs w:val="15"/>
          <w:b w:val="1"/>
          <w:bCs w:val="1"/>
          <w:color w:val="auto"/>
        </w:rPr>
        <w:t>Purposes of the Annual Meeting and Recommendations of our Board of Directors</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 the meeting, action will be taken upon the following matters:</w:t>
      </w:r>
    </w:p>
    <w:p>
      <w:pPr>
        <w:spacing w:after="0" w:line="217" w:lineRule="exact"/>
        <w:rPr>
          <w:sz w:val="20"/>
          <w:szCs w:val="20"/>
          <w:color w:val="auto"/>
        </w:rPr>
      </w:pPr>
    </w:p>
    <w:p>
      <w:pPr>
        <w:ind w:left="1140" w:right="100" w:hanging="339"/>
        <w:spacing w:after="0" w:line="279"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Stockholders will be asked to elect the three Class II directors identified in this proxy statement, each to hold office for a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three years.</w:t>
      </w:r>
    </w:p>
    <w:p>
      <w:pPr>
        <w:spacing w:after="0" w:line="118"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234" w:lineRule="exact"/>
        <w:rPr>
          <w:rFonts w:ascii="Arial" w:cs="Arial" w:eastAsia="Arial" w:hAnsi="Arial"/>
          <w:sz w:val="17"/>
          <w:szCs w:val="17"/>
          <w:color w:val="auto"/>
        </w:rPr>
      </w:pPr>
    </w:p>
    <w:p>
      <w:pPr>
        <w:ind w:left="1140" w:right="340" w:hanging="339"/>
        <w:spacing w:after="0" w:line="279"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Advisory Vote on Compensation of our Named Executive Officers. </w:t>
      </w:r>
      <w:r>
        <w:rPr>
          <w:rFonts w:ascii="Arial" w:cs="Arial" w:eastAsia="Arial" w:hAnsi="Arial"/>
          <w:sz w:val="17"/>
          <w:szCs w:val="17"/>
          <w:color w:val="auto"/>
        </w:rPr>
        <w:t>We are asking you to approve a non-binding advisory resolution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of our named executive officers as reported in this proxy statement.</w:t>
      </w:r>
    </w:p>
    <w:p>
      <w:pPr>
        <w:spacing w:after="0" w:line="118" w:lineRule="exact"/>
        <w:rPr>
          <w:rFonts w:ascii="Arial" w:cs="Arial" w:eastAsia="Arial" w:hAnsi="Arial"/>
          <w:sz w:val="17"/>
          <w:szCs w:val="17"/>
          <w:color w:val="auto"/>
        </w:rPr>
      </w:pPr>
    </w:p>
    <w:p>
      <w:pPr>
        <w:ind w:left="1140" w:right="340"/>
        <w:spacing w:after="0" w:line="286" w:lineRule="auto"/>
        <w:rPr>
          <w:rFonts w:ascii="Arial" w:cs="Arial" w:eastAsia="Arial" w:hAnsi="Arial"/>
          <w:sz w:val="17"/>
          <w:szCs w:val="17"/>
          <w:color w:val="auto"/>
        </w:rPr>
      </w:pPr>
      <w:r>
        <w:rPr>
          <w:rFonts w:ascii="Arial" w:cs="Arial" w:eastAsia="Arial" w:hAnsi="Arial"/>
          <w:sz w:val="17"/>
          <w:szCs w:val="17"/>
          <w:b w:val="1"/>
          <w:bCs w:val="1"/>
          <w:color w:val="auto"/>
        </w:rPr>
        <w:t>Our Board of Directors recommends that you vote “for” the non-binding advisory resolution approving the compensation of our named executive officers.</w:t>
      </w:r>
    </w:p>
    <w:p>
      <w:pPr>
        <w:spacing w:after="0" w:line="158" w:lineRule="exact"/>
        <w:rPr>
          <w:rFonts w:ascii="Arial" w:cs="Arial" w:eastAsia="Arial" w:hAnsi="Arial"/>
          <w:sz w:val="17"/>
          <w:szCs w:val="17"/>
          <w:color w:val="auto"/>
        </w:rPr>
      </w:pPr>
    </w:p>
    <w:p>
      <w:pPr>
        <w:ind w:left="1140" w:right="220" w:hanging="339"/>
        <w:spacing w:after="0" w:line="279"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We are asking you to approve the expected appointment by our Audit Committee of</w:t>
      </w:r>
      <w:r>
        <w:rPr>
          <w:rFonts w:ascii="Arial" w:cs="Arial" w:eastAsia="Arial" w:hAnsi="Arial"/>
          <w:sz w:val="17"/>
          <w:szCs w:val="17"/>
          <w:i w:val="1"/>
          <w:iCs w:val="1"/>
          <w:color w:val="auto"/>
        </w:rPr>
        <w:t xml:space="preserve"> </w:t>
      </w:r>
      <w:r>
        <w:rPr>
          <w:rFonts w:ascii="Arial" w:cs="Arial" w:eastAsia="Arial" w:hAnsi="Arial"/>
          <w:sz w:val="17"/>
          <w:szCs w:val="17"/>
          <w:color w:val="auto"/>
        </w:rPr>
        <w:t>Ernst &amp; Young LLP as the Company’s independent auditors for the fiscal year ending March 31, 2015.</w:t>
      </w:r>
    </w:p>
    <w:p>
      <w:pPr>
        <w:spacing w:after="0" w:line="131" w:lineRule="exact"/>
        <w:rPr>
          <w:rFonts w:ascii="Arial" w:cs="Arial" w:eastAsia="Arial" w:hAnsi="Arial"/>
          <w:sz w:val="17"/>
          <w:szCs w:val="17"/>
          <w:color w:val="auto"/>
        </w:rPr>
      </w:pPr>
    </w:p>
    <w:p>
      <w:pPr>
        <w:ind w:left="1140"/>
        <w:spacing w:after="0" w:line="286" w:lineRule="auto"/>
        <w:rPr>
          <w:rFonts w:ascii="Arial" w:cs="Arial" w:eastAsia="Arial" w:hAnsi="Arial"/>
          <w:sz w:val="17"/>
          <w:szCs w:val="17"/>
          <w:color w:val="auto"/>
        </w:rPr>
      </w:pPr>
      <w:r>
        <w:rPr>
          <w:rFonts w:ascii="Arial" w:cs="Arial" w:eastAsia="Arial" w:hAnsi="Arial"/>
          <w:sz w:val="17"/>
          <w:szCs w:val="17"/>
          <w:b w:val="1"/>
          <w:bCs w:val="1"/>
          <w:color w:val="auto"/>
        </w:rPr>
        <w:t>Our Board of Directors recommends that you vote “for” the approval of the expected appointment of Ernst &amp; Young LLP as the Company’s independent auditors for the fiscal year ending March 31, 2015.</w:t>
      </w:r>
    </w:p>
    <w:p>
      <w:pPr>
        <w:spacing w:after="0" w:line="158" w:lineRule="exact"/>
        <w:rPr>
          <w:rFonts w:ascii="Arial" w:cs="Arial" w:eastAsia="Arial" w:hAnsi="Arial"/>
          <w:sz w:val="17"/>
          <w:szCs w:val="17"/>
          <w:color w:val="auto"/>
        </w:rPr>
      </w:pPr>
    </w:p>
    <w:p>
      <w:pPr>
        <w:ind w:left="1140" w:right="780" w:hanging="339"/>
        <w:spacing w:after="0" w:line="279"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Other Business. </w:t>
      </w:r>
      <w:r>
        <w:rPr>
          <w:rFonts w:ascii="Arial" w:cs="Arial" w:eastAsia="Arial" w:hAnsi="Arial"/>
          <w:sz w:val="17"/>
          <w:szCs w:val="17"/>
          <w:color w:val="auto"/>
        </w:rPr>
        <w:t>In addition, you may be asked to vote upon such other matters, if any, as properly come before the annual meeting,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adjournment thereof.</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(3) above.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ANNUAL MEETING OF STOCKHOLDERS TO BE HELD ON AUGUST 7, 2014.</w:t>
      </w:r>
    </w:p>
    <w:p>
      <w:pPr>
        <w:spacing w:after="0" w:line="16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Our proxy statement and 2014 annual report to stockholders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are available to you on the Internet at www.proxyvote.com.</w:t>
      </w:r>
    </w:p>
    <w:p>
      <w:pPr>
        <w:sectPr>
          <w:pgSz w:w="11900" w:h="16838" w:orient="portrait"/>
          <w:cols w:equalWidth="0" w:num="1">
            <w:col w:w="11400"/>
          </w:cols>
          <w:pgMar w:left="240" w:top="444"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w:t>
      </w:r>
    </w:p>
    <w:p>
      <w:pPr>
        <w:spacing w:after="0" w:line="197" w:lineRule="exact"/>
        <w:rPr>
          <w:sz w:val="20"/>
          <w:szCs w:val="20"/>
          <w:color w:val="auto"/>
        </w:rPr>
      </w:pPr>
    </w:p>
    <w:p>
      <w:pPr>
        <w:ind w:right="60" w:firstLine="799"/>
        <w:spacing w:after="0" w:line="259" w:lineRule="auto"/>
        <w:rPr>
          <w:sz w:val="20"/>
          <w:szCs w:val="20"/>
          <w:color w:val="auto"/>
        </w:rPr>
      </w:pPr>
      <w:r>
        <w:rPr>
          <w:rFonts w:ascii="Arial" w:cs="Arial" w:eastAsia="Arial" w:hAnsi="Arial"/>
          <w:sz w:val="17"/>
          <w:szCs w:val="17"/>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9, 2014. In this proxy statement, we refer to this date as the “record date.” As of the record date, there were 50,128,266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Proxies Will be Voted</w:t>
      </w:r>
    </w:p>
    <w:p>
      <w:pPr>
        <w:spacing w:after="0" w:line="184" w:lineRule="exact"/>
        <w:rPr>
          <w:sz w:val="20"/>
          <w:szCs w:val="20"/>
          <w:color w:val="auto"/>
        </w:rPr>
      </w:pPr>
    </w:p>
    <w:p>
      <w:pPr>
        <w:ind w:right="60" w:firstLine="799"/>
        <w:spacing w:after="0" w:line="259"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Your Proxy</w:t>
      </w:r>
    </w:p>
    <w:p>
      <w:pPr>
        <w:spacing w:after="0" w:line="184"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Required Vote</w:t>
      </w:r>
    </w:p>
    <w:p>
      <w:pPr>
        <w:spacing w:after="0" w:line="197" w:lineRule="exact"/>
        <w:rPr>
          <w:sz w:val="20"/>
          <w:szCs w:val="20"/>
          <w:color w:val="auto"/>
        </w:rPr>
      </w:pPr>
    </w:p>
    <w:p>
      <w:pPr>
        <w:ind w:right="120" w:firstLine="799"/>
        <w:spacing w:after="0" w:line="261" w:lineRule="auto"/>
        <w:rPr>
          <w:sz w:val="20"/>
          <w:szCs w:val="20"/>
          <w:color w:val="auto"/>
        </w:rPr>
      </w:pPr>
      <w:r>
        <w:rPr>
          <w:rFonts w:ascii="Arial" w:cs="Arial" w:eastAsia="Arial" w:hAnsi="Arial"/>
          <w:sz w:val="17"/>
          <w:szCs w:val="17"/>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44" w:right="239" w:bottom="1440" w:gutter="0" w:footer="0" w:header="0"/>
        </w:sectPr>
      </w:pPr>
    </w:p>
    <w:p>
      <w:pPr>
        <w:spacing w:after="0" w:line="312"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6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Election of Directors</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Advisory vote on compensation of our named executive officers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Approval of the expected appointment of Ernst &amp; Young LLP as our independent auditors for the fiscal year ending March 31, 2015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Required Vote</w:t>
            </w:r>
          </w:p>
        </w:tc>
        <w:tc>
          <w:tcPr>
            <w:tcW w:w="10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7"/>
              </w:rPr>
              <w:t>Effect of Abstentions and</w:t>
            </w:r>
          </w:p>
        </w:tc>
        <w:tc>
          <w:tcPr>
            <w:tcW w:w="0" w:type="dxa"/>
            <w:vAlign w:val="bottom"/>
          </w:tcPr>
          <w:p>
            <w:pPr>
              <w:spacing w:after="0"/>
              <w:rPr>
                <w:sz w:val="1"/>
                <w:szCs w:val="1"/>
                <w:color w:val="auto"/>
              </w:rPr>
            </w:pPr>
          </w:p>
        </w:tc>
      </w:tr>
      <w:tr>
        <w:trPr>
          <w:trHeight w:val="177"/>
        </w:trPr>
        <w:tc>
          <w:tcPr>
            <w:tcW w:w="3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Broker Non-Votes</w:t>
            </w: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0"/>
                <w:szCs w:val="20"/>
                <w:color w:val="auto"/>
              </w:rPr>
            </w:pPr>
            <w:r>
              <w:rPr>
                <w:rFonts w:ascii="Arial" w:cs="Arial" w:eastAsia="Arial" w:hAnsi="Arial"/>
                <w:sz w:val="17"/>
                <w:szCs w:val="17"/>
                <w:color w:val="auto"/>
              </w:rPr>
              <w:t>Majority of votes cast</w:t>
            </w:r>
          </w:p>
        </w:tc>
        <w:tc>
          <w:tcPr>
            <w:tcW w:w="3460" w:type="dxa"/>
            <w:vAlign w:val="bottom"/>
            <w:gridSpan w:val="2"/>
          </w:tcPr>
          <w:p>
            <w:pPr>
              <w:ind w:left="100"/>
              <w:spacing w:after="0"/>
              <w:rPr>
                <w:sz w:val="20"/>
                <w:szCs w:val="20"/>
                <w:color w:val="auto"/>
              </w:rPr>
            </w:pPr>
            <w:r>
              <w:rPr>
                <w:rFonts w:ascii="Arial" w:cs="Arial" w:eastAsia="Arial" w:hAnsi="Arial"/>
                <w:sz w:val="17"/>
                <w:szCs w:val="17"/>
                <w:color w:val="auto"/>
              </w:rPr>
              <w:t>No effect on outcome of vote</w:t>
            </w:r>
          </w:p>
        </w:tc>
        <w:tc>
          <w:tcPr>
            <w:tcW w:w="0" w:type="dxa"/>
            <w:vAlign w:val="bottom"/>
          </w:tcPr>
          <w:p>
            <w:pPr>
              <w:spacing w:after="0"/>
              <w:rPr>
                <w:sz w:val="1"/>
                <w:szCs w:val="1"/>
                <w:color w:val="auto"/>
              </w:rPr>
            </w:pPr>
          </w:p>
        </w:tc>
      </w:tr>
      <w:tr>
        <w:trPr>
          <w:trHeight w:val="309"/>
        </w:trPr>
        <w:tc>
          <w:tcPr>
            <w:tcW w:w="3700" w:type="dxa"/>
            <w:vAlign w:val="bottom"/>
          </w:tcPr>
          <w:p>
            <w:pPr>
              <w:spacing w:after="0"/>
              <w:rPr>
                <w:sz w:val="20"/>
                <w:szCs w:val="20"/>
                <w:color w:val="auto"/>
              </w:rPr>
            </w:pPr>
            <w:r>
              <w:rPr>
                <w:rFonts w:ascii="Arial" w:cs="Arial" w:eastAsia="Arial" w:hAnsi="Arial"/>
                <w:sz w:val="17"/>
                <w:szCs w:val="17"/>
                <w:color w:val="auto"/>
              </w:rPr>
              <w:t>Majority of votes cast</w:t>
            </w:r>
          </w:p>
        </w:tc>
        <w:tc>
          <w:tcPr>
            <w:tcW w:w="3460" w:type="dxa"/>
            <w:vAlign w:val="bottom"/>
            <w:gridSpan w:val="2"/>
          </w:tcPr>
          <w:p>
            <w:pPr>
              <w:ind w:left="100"/>
              <w:spacing w:after="0"/>
              <w:rPr>
                <w:sz w:val="20"/>
                <w:szCs w:val="20"/>
                <w:color w:val="auto"/>
              </w:rPr>
            </w:pPr>
            <w:r>
              <w:rPr>
                <w:rFonts w:ascii="Arial" w:cs="Arial" w:eastAsia="Arial" w:hAnsi="Arial"/>
                <w:sz w:val="17"/>
                <w:szCs w:val="17"/>
                <w:color w:val="auto"/>
              </w:rPr>
              <w:t>No effect on outcome of vote</w:t>
            </w:r>
          </w:p>
        </w:tc>
        <w:tc>
          <w:tcPr>
            <w:tcW w:w="0" w:type="dxa"/>
            <w:vAlign w:val="bottom"/>
          </w:tcPr>
          <w:p>
            <w:pPr>
              <w:spacing w:after="0"/>
              <w:rPr>
                <w:sz w:val="1"/>
                <w:szCs w:val="1"/>
                <w:color w:val="auto"/>
              </w:rPr>
            </w:pPr>
          </w:p>
        </w:tc>
      </w:tr>
      <w:tr>
        <w:trPr>
          <w:trHeight w:val="504"/>
        </w:trPr>
        <w:tc>
          <w:tcPr>
            <w:tcW w:w="3700" w:type="dxa"/>
            <w:vAlign w:val="bottom"/>
          </w:tcPr>
          <w:p>
            <w:pPr>
              <w:spacing w:after="0"/>
              <w:rPr>
                <w:sz w:val="20"/>
                <w:szCs w:val="20"/>
                <w:color w:val="auto"/>
              </w:rPr>
            </w:pPr>
            <w:r>
              <w:rPr>
                <w:rFonts w:ascii="Arial" w:cs="Arial" w:eastAsia="Arial" w:hAnsi="Arial"/>
                <w:sz w:val="17"/>
                <w:szCs w:val="17"/>
                <w:color w:val="auto"/>
              </w:rPr>
              <w:t>Affirmative vote of a majority of the shares of</w:t>
            </w:r>
          </w:p>
        </w:tc>
        <w:tc>
          <w:tcPr>
            <w:tcW w:w="3460" w:type="dxa"/>
            <w:vAlign w:val="bottom"/>
            <w:gridSpan w:val="2"/>
          </w:tcPr>
          <w:p>
            <w:pPr>
              <w:ind w:left="100"/>
              <w:spacing w:after="0"/>
              <w:rPr>
                <w:sz w:val="20"/>
                <w:szCs w:val="20"/>
                <w:color w:val="auto"/>
              </w:rPr>
            </w:pPr>
            <w:r>
              <w:rPr>
                <w:rFonts w:ascii="Arial" w:cs="Arial" w:eastAsia="Arial" w:hAnsi="Arial"/>
                <w:sz w:val="17"/>
                <w:szCs w:val="17"/>
                <w:color w:val="auto"/>
              </w:rPr>
              <w:t>Same effect as votes against proposal</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7"/>
                <w:szCs w:val="17"/>
                <w:color w:val="auto"/>
                <w:w w:val="94"/>
              </w:rPr>
              <w:t>Common Stock present in person or represented by</w:t>
            </w: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7"/>
                <w:szCs w:val="17"/>
                <w:color w:val="auto"/>
              </w:rPr>
              <w:t>proxy at the meeting</w:t>
            </w: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2">
            <w:col w:w="4000" w:space="260"/>
            <w:col w:w="7160"/>
          </w:cols>
          <w:pgMar w:left="240" w:top="444" w:right="239" w:bottom="1440" w:gutter="0" w:footer="0" w:header="0"/>
          <w:type w:val="continuous"/>
        </w:sectPr>
      </w:pPr>
    </w:p>
    <w:p>
      <w:pPr>
        <w:jc w:val="both"/>
        <w:ind w:right="40" w:firstLine="799"/>
        <w:spacing w:after="0" w:line="266" w:lineRule="auto"/>
        <w:rPr>
          <w:sz w:val="20"/>
          <w:szCs w:val="20"/>
          <w:color w:val="auto"/>
        </w:rPr>
      </w:pPr>
      <w:r>
        <w:rPr>
          <w:rFonts w:ascii="Arial" w:cs="Arial" w:eastAsia="Arial" w:hAnsi="Arial"/>
          <w:sz w:val="17"/>
          <w:szCs w:val="17"/>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4" w:right="23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 of Soliciting Proxies</w:t>
      </w:r>
    </w:p>
    <w:p>
      <w:pPr>
        <w:spacing w:after="0" w:line="197" w:lineRule="exact"/>
        <w:rPr>
          <w:sz w:val="20"/>
          <w:szCs w:val="20"/>
          <w:color w:val="auto"/>
        </w:rPr>
      </w:pPr>
    </w:p>
    <w:p>
      <w:pPr>
        <w:ind w:firstLine="799"/>
        <w:spacing w:after="0" w:line="275"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You Can Vote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You can vote your shares at the meeting, by telephone, over the Internet or by completing, signing, dating and returning your proxy in the enclosed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envelope.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40" w:top="444" w:right="3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 ELECTION OF DIRECTORS AND RELATED MATTERS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4" w:lineRule="exact"/>
        <w:rPr>
          <w:sz w:val="20"/>
          <w:szCs w:val="20"/>
          <w:color w:val="auto"/>
        </w:rPr>
      </w:pPr>
    </w:p>
    <w:p>
      <w:pPr>
        <w:ind w:right="420" w:firstLine="799"/>
        <w:spacing w:after="0" w:line="279" w:lineRule="auto"/>
        <w:rPr>
          <w:sz w:val="20"/>
          <w:szCs w:val="20"/>
          <w:color w:val="auto"/>
        </w:rPr>
      </w:pPr>
      <w:r>
        <w:rPr>
          <w:rFonts w:ascii="Arial" w:cs="Arial" w:eastAsia="Arial" w:hAnsi="Arial"/>
          <w:sz w:val="17"/>
          <w:szCs w:val="17"/>
          <w:color w:val="auto"/>
        </w:rPr>
        <w:t>Our Board of Directors is the ultimate decision-making body of the Company, except with respect to those matters reserved to our stockholders. The primary responsibilities of our Board include:</w:t>
      </w:r>
    </w:p>
    <w:p>
      <w:pPr>
        <w:spacing w:after="0" w:line="164" w:lineRule="exact"/>
        <w:rPr>
          <w:sz w:val="20"/>
          <w:szCs w:val="20"/>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selection, compensation and evaluation of our Chief Executive Officer and oversight over succession planning;</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oversight of our strategic planning;</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of all our material transactions and financings;</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oversight of processes that are in place to promote compliance with law and high standards of business ethics;</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advising management on major issues that may arise; and</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evaluating the performance of the Board and its committees, and making appropriate changes where necessary.</w:t>
      </w:r>
    </w:p>
    <w:p>
      <w:pPr>
        <w:spacing w:after="0" w:line="178" w:lineRule="exact"/>
        <w:rPr>
          <w:sz w:val="20"/>
          <w:szCs w:val="20"/>
          <w:color w:val="auto"/>
        </w:rPr>
      </w:pPr>
    </w:p>
    <w:p>
      <w:pPr>
        <w:ind w:right="220" w:firstLine="799"/>
        <w:spacing w:after="0" w:line="348" w:lineRule="auto"/>
        <w:rPr>
          <w:sz w:val="20"/>
          <w:szCs w:val="20"/>
          <w:color w:val="auto"/>
        </w:rPr>
      </w:pPr>
      <w:r>
        <w:rPr>
          <w:rFonts w:ascii="Arial" w:cs="Arial" w:eastAsia="Arial" w:hAnsi="Arial"/>
          <w:sz w:val="15"/>
          <w:szCs w:val="15"/>
          <w:color w:val="auto"/>
        </w:rPr>
        <w:t>Members of our Board of Directors are divided into three classes based on their term of office (Class I, II and III). The directors in each such class hold office for staggered terms of three years each. At present, each class has three directors. Our Board has determined that the Board shall consist of nine directors.</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shows the composition of our Board after the annual meeting, assuming the election of the proposed slate of Class II director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nominees:</w:t>
      </w:r>
    </w:p>
    <w:p>
      <w:pPr>
        <w:spacing w:after="0" w:line="196" w:lineRule="exact"/>
        <w:rPr>
          <w:sz w:val="20"/>
          <w:szCs w:val="20"/>
          <w:color w:val="auto"/>
        </w:rPr>
      </w:pPr>
    </w:p>
    <w:tbl>
      <w:tblPr>
        <w:tblLayout w:type="fixed"/>
        <w:tblInd w:w="2280" w:type="dxa"/>
        <w:tblCellMar>
          <w:top w:w="0" w:type="dxa"/>
          <w:left w:w="0" w:type="dxa"/>
          <w:bottom w:w="0" w:type="dxa"/>
          <w:right w:w="0" w:type="dxa"/>
        </w:tblCellMar>
      </w:tblPr>
      <w:tr>
        <w:trPr>
          <w:trHeight w:val="164"/>
        </w:trPr>
        <w:tc>
          <w:tcPr>
            <w:tcW w:w="236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2500" w:type="dxa"/>
            <w:vAlign w:val="bottom"/>
            <w:gridSpan w:val="3"/>
          </w:tcPr>
          <w:p>
            <w:pPr>
              <w:ind w:left="1720"/>
              <w:spacing w:after="0"/>
              <w:rPr>
                <w:sz w:val="20"/>
                <w:szCs w:val="20"/>
                <w:color w:val="auto"/>
              </w:rPr>
            </w:pPr>
            <w:r>
              <w:rPr>
                <w:rFonts w:ascii="Arial" w:cs="Arial" w:eastAsia="Arial" w:hAnsi="Arial"/>
                <w:sz w:val="14"/>
                <w:szCs w:val="14"/>
                <w:b w:val="1"/>
                <w:bCs w:val="1"/>
                <w:color w:val="auto"/>
              </w:rPr>
              <w:t>Directors</w:t>
            </w:r>
          </w:p>
        </w:tc>
      </w:tr>
      <w:tr>
        <w:trPr>
          <w:trHeight w:val="20"/>
        </w:trPr>
        <w:tc>
          <w:tcPr>
            <w:tcW w:w="2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4020" w:type="dxa"/>
            <w:vAlign w:val="bottom"/>
            <w:gridSpan w:val="3"/>
          </w:tcPr>
          <w:p>
            <w:pPr>
              <w:spacing w:after="0"/>
              <w:rPr>
                <w:sz w:val="20"/>
                <w:szCs w:val="20"/>
                <w:color w:val="auto"/>
              </w:rPr>
            </w:pPr>
            <w:r>
              <w:rPr>
                <w:rFonts w:ascii="Arial" w:cs="Arial" w:eastAsia="Arial" w:hAnsi="Arial"/>
                <w:sz w:val="17"/>
                <w:szCs w:val="17"/>
                <w:i w:val="1"/>
                <w:iCs w:val="1"/>
                <w:color w:val="auto"/>
              </w:rPr>
              <w:t>Class I</w:t>
            </w:r>
            <w:r>
              <w:rPr>
                <w:rFonts w:ascii="Arial" w:cs="Arial" w:eastAsia="Arial" w:hAnsi="Arial"/>
                <w:sz w:val="17"/>
                <w:szCs w:val="17"/>
                <w:color w:val="auto"/>
              </w:rPr>
              <w:t>: Term expires at the 2016 annual</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Robert L. Clarke</w:t>
            </w:r>
          </w:p>
        </w:tc>
      </w:tr>
      <w:tr>
        <w:trPr>
          <w:trHeight w:val="206"/>
        </w:trPr>
        <w:tc>
          <w:tcPr>
            <w:tcW w:w="4020" w:type="dxa"/>
            <w:vAlign w:val="bottom"/>
            <w:gridSpan w:val="3"/>
          </w:tcPr>
          <w:p>
            <w:pPr>
              <w:spacing w:after="0"/>
              <w:rPr>
                <w:sz w:val="20"/>
                <w:szCs w:val="20"/>
                <w:color w:val="auto"/>
              </w:rPr>
            </w:pPr>
            <w:r>
              <w:rPr>
                <w:rFonts w:ascii="Arial" w:cs="Arial" w:eastAsia="Arial" w:hAnsi="Arial"/>
                <w:sz w:val="17"/>
                <w:szCs w:val="17"/>
                <w:color w:val="auto"/>
              </w:rPr>
              <w:t>meeting and every three years thereafter</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Martin M. Ellen</w:t>
            </w:r>
          </w:p>
        </w:tc>
      </w:tr>
      <w:tr>
        <w:trPr>
          <w:trHeight w:val="217"/>
        </w:trPr>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Steven R. Rowley</w:t>
            </w:r>
          </w:p>
        </w:tc>
      </w:tr>
      <w:tr>
        <w:trPr>
          <w:trHeight w:val="311"/>
        </w:trPr>
        <w:tc>
          <w:tcPr>
            <w:tcW w:w="4020" w:type="dxa"/>
            <w:vAlign w:val="bottom"/>
            <w:gridSpan w:val="3"/>
          </w:tcPr>
          <w:p>
            <w:pPr>
              <w:spacing w:after="0"/>
              <w:rPr>
                <w:sz w:val="20"/>
                <w:szCs w:val="20"/>
                <w:color w:val="auto"/>
              </w:rPr>
            </w:pPr>
            <w:r>
              <w:rPr>
                <w:rFonts w:ascii="Arial" w:cs="Arial" w:eastAsia="Arial" w:hAnsi="Arial"/>
                <w:sz w:val="17"/>
                <w:szCs w:val="17"/>
                <w:i w:val="1"/>
                <w:iCs w:val="1"/>
                <w:color w:val="auto"/>
              </w:rPr>
              <w:t xml:space="preserve">Class II: </w:t>
            </w:r>
            <w:r>
              <w:rPr>
                <w:rFonts w:ascii="Arial" w:cs="Arial" w:eastAsia="Arial" w:hAnsi="Arial"/>
                <w:sz w:val="17"/>
                <w:szCs w:val="17"/>
                <w:color w:val="auto"/>
              </w:rPr>
              <w:t>Term expires at the 2017 annual</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w w:val="94"/>
              </w:rPr>
              <w:t>Laurence E. Hirsch</w:t>
            </w:r>
          </w:p>
        </w:tc>
      </w:tr>
      <w:tr>
        <w:trPr>
          <w:trHeight w:val="206"/>
        </w:trPr>
        <w:tc>
          <w:tcPr>
            <w:tcW w:w="4020" w:type="dxa"/>
            <w:vAlign w:val="bottom"/>
            <w:gridSpan w:val="3"/>
          </w:tcPr>
          <w:p>
            <w:pPr>
              <w:spacing w:after="0"/>
              <w:rPr>
                <w:sz w:val="20"/>
                <w:szCs w:val="20"/>
                <w:color w:val="auto"/>
              </w:rPr>
            </w:pPr>
            <w:r>
              <w:rPr>
                <w:rFonts w:ascii="Arial" w:cs="Arial" w:eastAsia="Arial" w:hAnsi="Arial"/>
                <w:sz w:val="17"/>
                <w:szCs w:val="17"/>
                <w:color w:val="auto"/>
              </w:rPr>
              <w:t>meeting and every three years thereafter</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w w:val="94"/>
              </w:rPr>
              <w:t>Michael R. Nicolais</w:t>
            </w:r>
          </w:p>
        </w:tc>
      </w:tr>
      <w:tr>
        <w:trPr>
          <w:trHeight w:val="217"/>
        </w:trPr>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w w:val="95"/>
              </w:rPr>
              <w:t>Richard R. Stewart</w:t>
            </w:r>
          </w:p>
        </w:tc>
      </w:tr>
      <w:tr>
        <w:trPr>
          <w:trHeight w:val="311"/>
        </w:trPr>
        <w:tc>
          <w:tcPr>
            <w:tcW w:w="4020" w:type="dxa"/>
            <w:vAlign w:val="bottom"/>
            <w:gridSpan w:val="3"/>
          </w:tcPr>
          <w:p>
            <w:pPr>
              <w:spacing w:after="0"/>
              <w:rPr>
                <w:sz w:val="20"/>
                <w:szCs w:val="20"/>
                <w:color w:val="auto"/>
              </w:rPr>
            </w:pPr>
            <w:r>
              <w:rPr>
                <w:rFonts w:ascii="Arial" w:cs="Arial" w:eastAsia="Arial" w:hAnsi="Arial"/>
                <w:sz w:val="17"/>
                <w:szCs w:val="17"/>
                <w:i w:val="1"/>
                <w:iCs w:val="1"/>
                <w:color w:val="auto"/>
              </w:rPr>
              <w:t xml:space="preserve">Class III: </w:t>
            </w:r>
            <w:r>
              <w:rPr>
                <w:rFonts w:ascii="Arial" w:cs="Arial" w:eastAsia="Arial" w:hAnsi="Arial"/>
                <w:sz w:val="17"/>
                <w:szCs w:val="17"/>
                <w:color w:val="auto"/>
              </w:rPr>
              <w:t>Term expires at the 2015 annual</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F. William Barnett</w:t>
            </w:r>
          </w:p>
        </w:tc>
      </w:tr>
      <w:tr>
        <w:trPr>
          <w:trHeight w:val="206"/>
        </w:trPr>
        <w:tc>
          <w:tcPr>
            <w:tcW w:w="4020" w:type="dxa"/>
            <w:vAlign w:val="bottom"/>
            <w:gridSpan w:val="3"/>
          </w:tcPr>
          <w:p>
            <w:pPr>
              <w:spacing w:after="0"/>
              <w:rPr>
                <w:sz w:val="20"/>
                <w:szCs w:val="20"/>
                <w:color w:val="auto"/>
              </w:rPr>
            </w:pPr>
            <w:r>
              <w:rPr>
                <w:rFonts w:ascii="Arial" w:cs="Arial" w:eastAsia="Arial" w:hAnsi="Arial"/>
                <w:sz w:val="17"/>
                <w:szCs w:val="17"/>
                <w:color w:val="auto"/>
              </w:rPr>
              <w:t>meeting and every three years thereafter</w:t>
            </w: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Ed H. Bowman</w:t>
            </w:r>
          </w:p>
        </w:tc>
      </w:tr>
      <w:tr>
        <w:trPr>
          <w:trHeight w:val="217"/>
        </w:trPr>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3"/>
          </w:tcPr>
          <w:p>
            <w:pPr>
              <w:ind w:left="1120"/>
              <w:spacing w:after="0"/>
              <w:rPr>
                <w:sz w:val="20"/>
                <w:szCs w:val="20"/>
                <w:color w:val="auto"/>
              </w:rPr>
            </w:pPr>
            <w:r>
              <w:rPr>
                <w:rFonts w:ascii="Arial" w:cs="Arial" w:eastAsia="Arial" w:hAnsi="Arial"/>
                <w:sz w:val="17"/>
                <w:szCs w:val="17"/>
                <w:color w:val="auto"/>
              </w:rPr>
              <w:t>David W. Quinn</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84" w:lineRule="exact"/>
        <w:rPr>
          <w:sz w:val="20"/>
          <w:szCs w:val="20"/>
          <w:color w:val="auto"/>
        </w:rPr>
      </w:pPr>
    </w:p>
    <w:p>
      <w:pPr>
        <w:ind w:right="140" w:firstLine="799"/>
        <w:spacing w:after="0" w:line="283"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determining that eight of our nine directors are “independent,” our Board of Directors considered the following facts:</w:t>
      </w:r>
    </w:p>
    <w:p>
      <w:pPr>
        <w:spacing w:after="0" w:line="217" w:lineRule="exact"/>
        <w:rPr>
          <w:sz w:val="20"/>
          <w:szCs w:val="20"/>
          <w:color w:val="auto"/>
        </w:rPr>
      </w:pPr>
    </w:p>
    <w:p>
      <w:pPr>
        <w:ind w:left="1120" w:right="180" w:hanging="319"/>
        <w:spacing w:after="0" w:line="27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Messrs. F. William Barnett, Ed H. Bowman, Robert L. Clarke, Martin M. Ellen and Richard R. Stewart have no relationship with the Company that potentially affects their independence.</w:t>
      </w:r>
    </w:p>
    <w:p>
      <w:pPr>
        <w:spacing w:after="0" w:line="73" w:lineRule="exact"/>
        <w:rPr>
          <w:rFonts w:ascii="Arial" w:cs="Arial" w:eastAsia="Arial" w:hAnsi="Arial"/>
          <w:sz w:val="17"/>
          <w:szCs w:val="17"/>
          <w:color w:val="auto"/>
        </w:rPr>
      </w:pPr>
    </w:p>
    <w:p>
      <w:pPr>
        <w:ind w:left="1120" w:right="280" w:hanging="319"/>
        <w:spacing w:after="0" w:line="261"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89" w:lineRule="exact"/>
        <w:rPr>
          <w:rFonts w:ascii="Arial" w:cs="Arial" w:eastAsia="Arial" w:hAnsi="Arial"/>
          <w:sz w:val="17"/>
          <w:szCs w:val="17"/>
          <w:color w:val="auto"/>
        </w:rPr>
      </w:pPr>
    </w:p>
    <w:p>
      <w:pPr>
        <w:ind w:left="1120" w:hanging="319"/>
        <w:spacing w:after="0" w:line="25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five years since Mr. Hirsch retired from Centex or served as an officer of the Company on an interim basis, and in light of the absence of any other material relationship with the Company (other than as a director of the Company), our Board of Directors has determined that Mr. Hirsch has no material relationship with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4"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120" w:right="80" w:hanging="319"/>
        <w:spacing w:after="0" w:line="294" w:lineRule="auto"/>
        <w:tabs>
          <w:tab w:leader="none" w:pos="1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w:t>
      </w:r>
    </w:p>
    <w:p>
      <w:pPr>
        <w:spacing w:after="0" w:line="184" w:lineRule="exact"/>
        <w:rPr>
          <w:sz w:val="20"/>
          <w:szCs w:val="20"/>
          <w:color w:val="auto"/>
        </w:rPr>
      </w:pPr>
    </w:p>
    <w:p>
      <w:pPr>
        <w:ind w:firstLine="799"/>
        <w:spacing w:after="0" w:line="274"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(with Mr. Nicolais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30" w:lineRule="exact"/>
        <w:rPr>
          <w:sz w:val="20"/>
          <w:szCs w:val="20"/>
          <w:color w:val="auto"/>
        </w:rPr>
      </w:pPr>
    </w:p>
    <w:p>
      <w:pPr>
        <w:jc w:val="both"/>
        <w:ind w:right="60" w:firstLine="799"/>
        <w:spacing w:after="0" w:line="283" w:lineRule="auto"/>
        <w:rPr>
          <w:sz w:val="20"/>
          <w:szCs w:val="20"/>
          <w:color w:val="auto"/>
        </w:rPr>
      </w:pPr>
      <w:r>
        <w:rPr>
          <w:rFonts w:ascii="Arial" w:cs="Arial" w:eastAsia="Arial" w:hAnsi="Arial"/>
          <w:sz w:val="16"/>
          <w:szCs w:val="16"/>
          <w:color w:val="auto"/>
        </w:rPr>
        <w:t>Our Corporate Governance Guidelines generally require directors to retire at the first annual meeting that occurs after the director’s 72</w:t>
      </w:r>
      <w:r>
        <w:rPr>
          <w:rFonts w:ascii="Arial" w:cs="Arial" w:eastAsia="Arial" w:hAnsi="Arial"/>
          <w:sz w:val="13"/>
          <w:szCs w:val="13"/>
          <w:color w:val="auto"/>
        </w:rPr>
        <w:t>nd</w:t>
      </w:r>
      <w:r>
        <w:rPr>
          <w:rFonts w:ascii="Arial" w:cs="Arial" w:eastAsia="Arial" w:hAnsi="Arial"/>
          <w:sz w:val="16"/>
          <w:szCs w:val="16"/>
          <w:color w:val="auto"/>
        </w:rPr>
        <w:t xml:space="preserve"> birthday unless the Board (other than the affected director) waives the requirement upon the recommendation of the Governance Committee. The Board has approved such a waiver for two years for Messrs. Clarke and Quinn, who otherwise would be required to retire at the Annual Meeting. Messrs. Clarke and Quinn would therefore be required to retire at our 2016 Annual Meeting, assuming their continued service as directors until that time.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178" w:lineRule="exact"/>
        <w:rPr>
          <w:sz w:val="20"/>
          <w:szCs w:val="20"/>
          <w:color w:val="auto"/>
        </w:rPr>
      </w:pPr>
    </w:p>
    <w:p>
      <w:pPr>
        <w:ind w:right="480" w:firstLine="799"/>
        <w:spacing w:after="0" w:line="286" w:lineRule="auto"/>
        <w:rPr>
          <w:sz w:val="20"/>
          <w:szCs w:val="20"/>
          <w:color w:val="auto"/>
        </w:rPr>
      </w:pPr>
      <w:r>
        <w:rPr>
          <w:rFonts w:ascii="Arial" w:cs="Arial" w:eastAsia="Arial" w:hAnsi="Arial"/>
          <w:sz w:val="17"/>
          <w:szCs w:val="17"/>
          <w:b w:val="1"/>
          <w:bCs w:val="1"/>
          <w:color w:val="auto"/>
        </w:rPr>
        <w:t>Our Board of Directors recommends that holders of Common Stock vote “for” the election of the nominees listed below to serve as Class II directors for a three-year term ending at our 2017 annual meeting of stockholders:</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Laurence E. Hirsch</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Michael R. Nicolais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Richard R. Stewart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4"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Qualifications</w:t>
      </w:r>
    </w:p>
    <w:p>
      <w:pPr>
        <w:spacing w:after="0" w:line="197" w:lineRule="exact"/>
        <w:rPr>
          <w:sz w:val="20"/>
          <w:szCs w:val="20"/>
          <w:color w:val="auto"/>
        </w:rPr>
      </w:pPr>
    </w:p>
    <w:p>
      <w:pPr>
        <w:ind w:right="260" w:firstLine="799"/>
        <w:spacing w:after="0" w:line="261" w:lineRule="auto"/>
        <w:rPr>
          <w:sz w:val="20"/>
          <w:szCs w:val="20"/>
          <w:color w:val="auto"/>
        </w:rPr>
      </w:pPr>
      <w:r>
        <w:rPr>
          <w:rFonts w:ascii="Arial" w:cs="Arial" w:eastAsia="Arial" w:hAnsi="Arial"/>
          <w:sz w:val="17"/>
          <w:szCs w:val="17"/>
          <w:color w:val="auto"/>
        </w:rPr>
        <w:t>Set forth below is information about the nominees standing for election at our 2014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Director Whose Terms Expire at our 2014 Annual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(Class II Directors)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1"/>
              </w:rPr>
              <w:t>Year First</w:t>
            </w:r>
          </w:p>
        </w:tc>
        <w:tc>
          <w:tcPr>
            <w:tcW w:w="1680" w:type="dxa"/>
            <w:vAlign w:val="bottom"/>
          </w:tcPr>
          <w:p>
            <w:pPr>
              <w:spacing w:after="0"/>
              <w:rPr>
                <w:sz w:val="17"/>
                <w:szCs w:val="17"/>
                <w:color w:val="auto"/>
              </w:rPr>
            </w:pPr>
          </w:p>
        </w:tc>
        <w:tc>
          <w:tcPr>
            <w:tcW w:w="6220" w:type="dxa"/>
            <w:vAlign w:val="bottom"/>
            <w:gridSpan w:val="2"/>
          </w:tcPr>
          <w:p>
            <w:pPr>
              <w:jc w:val="center"/>
              <w:ind w:right="1460"/>
              <w:spacing w:after="0"/>
              <w:rPr>
                <w:sz w:val="20"/>
                <w:szCs w:val="20"/>
                <w:color w:val="auto"/>
              </w:rPr>
            </w:pPr>
            <w:r>
              <w:rPr>
                <w:rFonts w:ascii="Arial" w:cs="Arial" w:eastAsia="Arial" w:hAnsi="Arial"/>
                <w:sz w:val="17"/>
                <w:szCs w:val="17"/>
                <w:b w:val="1"/>
                <w:bCs w:val="1"/>
                <w:color w:val="auto"/>
                <w:w w:val="90"/>
              </w:rPr>
              <w:t>Business Experience and Principal Occupation;</w:t>
            </w:r>
          </w:p>
        </w:tc>
      </w:tr>
      <w:tr>
        <w:trPr>
          <w:trHeight w:val="224"/>
        </w:trPr>
        <w:tc>
          <w:tcPr>
            <w:tcW w:w="8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Elected</w:t>
            </w:r>
          </w:p>
        </w:tc>
        <w:tc>
          <w:tcPr>
            <w:tcW w:w="7900" w:type="dxa"/>
            <w:vAlign w:val="bottom"/>
            <w:gridSpan w:val="3"/>
          </w:tcPr>
          <w:p>
            <w:pPr>
              <w:jc w:val="center"/>
              <w:ind w:left="134"/>
              <w:spacing w:after="0"/>
              <w:rPr>
                <w:sz w:val="20"/>
                <w:szCs w:val="20"/>
                <w:color w:val="auto"/>
              </w:rPr>
            </w:pPr>
            <w:r>
              <w:rPr>
                <w:rFonts w:ascii="Arial" w:cs="Arial" w:eastAsia="Arial" w:hAnsi="Arial"/>
                <w:sz w:val="17"/>
                <w:szCs w:val="17"/>
                <w:b w:val="1"/>
                <w:bCs w:val="1"/>
                <w:color w:val="auto"/>
                <w:w w:val="91"/>
              </w:rPr>
              <w:t>Directorships in Public Corporations and Investment Companies</w:t>
            </w:r>
          </w:p>
        </w:tc>
      </w:tr>
      <w:tr>
        <w:trPr>
          <w:trHeight w:val="20"/>
        </w:trPr>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5"/>
        </w:trPr>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Laurence E. Hirsch</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1985</w:t>
            </w: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Mr. Hirsch is Chairman of Highlander Partners, a private investment company. He has served as Chairman of</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1"/>
              </w:rPr>
              <w:t>our Board of Directors from July 1999 to the present and also served in that capacity from January 1994 through</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6"/>
              </w:rPr>
              <w:t>December 1997. He was our interim Chief Executive Officer from April 2003 through September 2003. Mr.</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5"/>
              </w:rPr>
              <w:t>Hirsch is a member of the Executive Committee of our Board of Directors. Until his retirement on March 31,</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2"/>
              </w:rPr>
              <w:t>2004, Mr. Hirsch served Centex Corporation in various capacities, including as President beginning in 1985, as</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7"/>
              </w:rPr>
              <w:t>Chief Executive Officer beginning in July 1988 and as Chairman of its board of directors beginning in July</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1"/>
              </w:rPr>
              <w:t>1991. Mr. Hirsch served as a director of Belo Corp. from August 1999 through January 2008 and continued as a</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7"/>
              </w:rPr>
              <w:t>director of A. H. Belo until May 2011. Mr. Hirsch served as a director of the Federal Home Loan Mortgage</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Corp. (Freddie Mac) from November 2009 until February 2012. Mr. Hirsch is currently Chairman of the Center</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rPr>
              <w:t>for European Policy Analysis.</w:t>
            </w:r>
          </w:p>
        </w:tc>
      </w:tr>
      <w:tr>
        <w:trPr>
          <w:trHeight w:val="311"/>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Mr. Hirsch brings to the Board his extensive executive experience gained through his service as the CEO of a</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public company. In addition, Mr. Hirsch brings extensive knowledge of the Company through having served as</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2"/>
              </w:rPr>
              <w:t>our Chairman for nearly 20 years. Mr. Hirsch also brings valuable experience as an executive officer within the</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2"/>
              </w:rPr>
              <w:t>construction products industry and his knowledge of corporate governance and financial oversight gained from</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rPr>
              <w:t>his membership on the boards of other public companies.</w:t>
            </w:r>
          </w:p>
        </w:tc>
      </w:tr>
      <w:tr>
        <w:trPr>
          <w:trHeight w:val="414"/>
        </w:trPr>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Michael R. Nicolais</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2001</w:t>
            </w: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In April 2004, Mr. Nicolais became President of Highlander Partners. From August 2002 until March 2004, Mr.</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Nicolais served as Managing Director of Stephens, Inc., an investment banking firm. Prior to joining Stephens,</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2"/>
              </w:rPr>
              <w:t>Inc., he was a partner in the private investment firm of Olivhan Investments, L.P. from March 2001 until August</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6"/>
              </w:rPr>
              <w:t>2002. From August 1986 to December 2000, he was employed by Donaldson, Lufkin &amp; Jenrette Securities</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Corporation’s Investment Banking Division, most recently in the position of Managing Director and co-head of</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that firm’s Dallas office. Mr. Nicolais has been a member of our Board of Directors since 2001. He also serves</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rPr>
              <w:t>as a member of the Compensation Committee and the Governance Committee.</w:t>
            </w:r>
          </w:p>
        </w:tc>
      </w:tr>
      <w:tr>
        <w:trPr>
          <w:trHeight w:val="311"/>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Mr. Nicolais brings to the Board, the Governance Committee and the Compensation Committee his extensive</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5"/>
              </w:rPr>
              <w:t>knowledge of capital markets, financial analysis and financial oversight gained through his experience as an</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rPr>
              <w:t>investment banker and investment manager.</w:t>
            </w:r>
          </w:p>
        </w:tc>
      </w:tr>
      <w:tr>
        <w:trPr>
          <w:trHeight w:val="414"/>
        </w:trPr>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Richard R. Stewart</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2006</w:t>
            </w: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4"/>
              </w:rPr>
              <w:t>From 1998 until 2006 Mr. Stewart served as President and CEO of GE Aero Energy, a division of GE Power</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00" w:type="dxa"/>
            <w:vAlign w:val="bottom"/>
            <w:gridSpan w:val="3"/>
          </w:tcPr>
          <w:p>
            <w:pPr>
              <w:ind w:left="180"/>
              <w:spacing w:after="0"/>
              <w:rPr>
                <w:sz w:val="20"/>
                <w:szCs w:val="20"/>
                <w:color w:val="auto"/>
              </w:rPr>
            </w:pPr>
            <w:r>
              <w:rPr>
                <w:rFonts w:ascii="Arial" w:cs="Arial" w:eastAsia="Arial" w:hAnsi="Arial"/>
                <w:sz w:val="17"/>
                <w:szCs w:val="17"/>
                <w:color w:val="auto"/>
                <w:w w:val="93"/>
              </w:rPr>
              <w:t>Systems and as an officer of General Electric Company. Mr. Stewart retired from General Electric in 2006. Mr.</w:t>
            </w:r>
          </w:p>
        </w:tc>
      </w:tr>
    </w:tbl>
    <w:p>
      <w:pPr>
        <w:jc w:val="both"/>
        <w:ind w:left="3660"/>
        <w:spacing w:after="0" w:line="286" w:lineRule="auto"/>
        <w:rPr>
          <w:sz w:val="20"/>
          <w:szCs w:val="20"/>
          <w:color w:val="auto"/>
        </w:rPr>
      </w:pPr>
      <w:r>
        <w:rPr>
          <w:rFonts w:ascii="Arial" w:cs="Arial" w:eastAsia="Arial" w:hAnsi="Arial"/>
          <w:sz w:val="15"/>
          <w:szCs w:val="15"/>
          <w:color w:val="auto"/>
        </w:rPr>
        <w:t>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w:t>
      </w:r>
    </w:p>
    <w:p>
      <w:pPr>
        <w:spacing w:after="0" w:line="2" w:lineRule="exact"/>
        <w:rPr>
          <w:sz w:val="20"/>
          <w:szCs w:val="20"/>
          <w:color w:val="auto"/>
        </w:rPr>
      </w:pPr>
    </w:p>
    <w:p>
      <w:pPr>
        <w:jc w:val="both"/>
        <w:ind w:left="3660" w:right="80"/>
        <w:spacing w:after="0" w:line="259" w:lineRule="auto"/>
        <w:rPr>
          <w:sz w:val="20"/>
          <w:szCs w:val="20"/>
          <w:color w:val="auto"/>
        </w:rPr>
      </w:pPr>
      <w:r>
        <w:rPr>
          <w:rFonts w:ascii="Arial" w:cs="Arial" w:eastAsia="Arial" w:hAnsi="Arial"/>
          <w:sz w:val="17"/>
          <w:szCs w:val="17"/>
          <w:color w:val="auto"/>
        </w:rPr>
        <w:t>Stewart became a director of Kirby Corporation in 2008 and was a director of Lufkin Industries, Inc. from 2009 until its acquisition by GE Oil &amp; Gas in 2013. Mr. Stewart serves as chairman of the Compensation Committee of our Board of Directors.</w:t>
      </w:r>
    </w:p>
    <w:p>
      <w:pPr>
        <w:spacing w:after="0" w:line="90" w:lineRule="exact"/>
        <w:rPr>
          <w:sz w:val="20"/>
          <w:szCs w:val="20"/>
          <w:color w:val="auto"/>
        </w:rPr>
      </w:pPr>
    </w:p>
    <w:p>
      <w:pPr>
        <w:ind w:left="3660" w:right="160"/>
        <w:spacing w:after="0" w:line="261" w:lineRule="auto"/>
        <w:rPr>
          <w:sz w:val="20"/>
          <w:szCs w:val="20"/>
          <w:color w:val="auto"/>
        </w:rPr>
      </w:pPr>
      <w:r>
        <w:rPr>
          <w:rFonts w:ascii="Arial" w:cs="Arial" w:eastAsia="Arial" w:hAnsi="Arial"/>
          <w:sz w:val="17"/>
          <w:szCs w:val="17"/>
          <w:color w:val="auto"/>
        </w:rPr>
        <w:t>Mr. Stewart brings to the Board and the Compensation Committee his proven leadership and business experience as the former CEO of a manufacturing company. Mr. Stewart also brings corporate governance and compensation experience gained from membership on the boards of other public companies and as an officer with General Electric.</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2200" w:type="dxa"/>
            <w:vAlign w:val="bottom"/>
            <w:gridSpan w:val="4"/>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90"/>
        </w:trPr>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4"/>
          </w:tcPr>
          <w:p>
            <w:pPr>
              <w:ind w:left="380"/>
              <w:spacing w:after="0"/>
              <w:rPr>
                <w:sz w:val="20"/>
                <w:szCs w:val="20"/>
                <w:color w:val="auto"/>
              </w:rPr>
            </w:pPr>
            <w:r>
              <w:rPr>
                <w:rFonts w:ascii="Arial" w:cs="Arial" w:eastAsia="Arial" w:hAnsi="Arial"/>
                <w:sz w:val="17"/>
                <w:szCs w:val="17"/>
                <w:b w:val="1"/>
                <w:bCs w:val="1"/>
                <w:color w:val="auto"/>
              </w:rPr>
              <w:t>Continuing Directors Whose Terms Expire at our 2015 Annual Meeting</w:t>
            </w:r>
          </w:p>
        </w:tc>
      </w:tr>
      <w:tr>
        <w:trPr>
          <w:trHeight w:val="223"/>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20" w:type="dxa"/>
            <w:vAlign w:val="bottom"/>
            <w:gridSpan w:val="3"/>
          </w:tcPr>
          <w:p>
            <w:pPr>
              <w:ind w:left="1500"/>
              <w:spacing w:after="0"/>
              <w:rPr>
                <w:sz w:val="20"/>
                <w:szCs w:val="20"/>
                <w:color w:val="auto"/>
              </w:rPr>
            </w:pPr>
            <w:r>
              <w:rPr>
                <w:rFonts w:ascii="Arial" w:cs="Arial" w:eastAsia="Arial" w:hAnsi="Arial"/>
                <w:sz w:val="17"/>
                <w:szCs w:val="17"/>
                <w:b w:val="1"/>
                <w:bCs w:val="1"/>
                <w:color w:val="auto"/>
              </w:rPr>
              <w:t>(Class III Directors)</w:t>
            </w:r>
          </w:p>
        </w:tc>
      </w:tr>
      <w:tr>
        <w:trPr>
          <w:trHeight w:val="369"/>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1"/>
              </w:rPr>
              <w:t>Year First</w:t>
            </w:r>
          </w:p>
        </w:tc>
        <w:tc>
          <w:tcPr>
            <w:tcW w:w="1680" w:type="dxa"/>
            <w:vAlign w:val="bottom"/>
          </w:tcPr>
          <w:p>
            <w:pPr>
              <w:spacing w:after="0"/>
              <w:rPr>
                <w:sz w:val="24"/>
                <w:szCs w:val="24"/>
                <w:color w:val="auto"/>
              </w:rPr>
            </w:pPr>
          </w:p>
        </w:tc>
        <w:tc>
          <w:tcPr>
            <w:tcW w:w="6240" w:type="dxa"/>
            <w:vAlign w:val="bottom"/>
            <w:gridSpan w:val="2"/>
          </w:tcPr>
          <w:p>
            <w:pPr>
              <w:jc w:val="center"/>
              <w:ind w:right="1480"/>
              <w:spacing w:after="0"/>
              <w:rPr>
                <w:sz w:val="20"/>
                <w:szCs w:val="20"/>
                <w:color w:val="auto"/>
              </w:rPr>
            </w:pPr>
            <w:r>
              <w:rPr>
                <w:rFonts w:ascii="Arial" w:cs="Arial" w:eastAsia="Arial" w:hAnsi="Arial"/>
                <w:sz w:val="17"/>
                <w:szCs w:val="17"/>
                <w:b w:val="1"/>
                <w:bCs w:val="1"/>
                <w:color w:val="auto"/>
                <w:w w:val="90"/>
              </w:rPr>
              <w:t>Business Experience and Principal Occupation;</w:t>
            </w:r>
          </w:p>
        </w:tc>
      </w:tr>
      <w:tr>
        <w:trPr>
          <w:trHeight w:val="237"/>
        </w:trPr>
        <w:tc>
          <w:tcPr>
            <w:tcW w:w="8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Elected</w:t>
            </w:r>
          </w:p>
        </w:tc>
        <w:tc>
          <w:tcPr>
            <w:tcW w:w="7920" w:type="dxa"/>
            <w:vAlign w:val="bottom"/>
            <w:gridSpan w:val="3"/>
          </w:tcPr>
          <w:p>
            <w:pPr>
              <w:jc w:val="center"/>
              <w:ind w:left="114"/>
              <w:spacing w:after="0"/>
              <w:rPr>
                <w:sz w:val="20"/>
                <w:szCs w:val="20"/>
                <w:color w:val="auto"/>
              </w:rPr>
            </w:pPr>
            <w:r>
              <w:rPr>
                <w:rFonts w:ascii="Arial" w:cs="Arial" w:eastAsia="Arial" w:hAnsi="Arial"/>
                <w:sz w:val="17"/>
                <w:szCs w:val="17"/>
                <w:b w:val="1"/>
                <w:bCs w:val="1"/>
                <w:color w:val="auto"/>
                <w:w w:val="91"/>
              </w:rPr>
              <w:t>Directorships in Public Corporations and Investment Companies</w:t>
            </w:r>
          </w:p>
        </w:tc>
      </w:tr>
      <w:tr>
        <w:trPr>
          <w:trHeight w:val="20"/>
        </w:trPr>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2"/>
        </w:trPr>
        <w:tc>
          <w:tcPr>
            <w:tcW w:w="2200" w:type="dxa"/>
            <w:vAlign w:val="bottom"/>
            <w:gridSpan w:val="4"/>
          </w:tcPr>
          <w:p>
            <w:pPr>
              <w:spacing w:after="0"/>
              <w:rPr>
                <w:sz w:val="20"/>
                <w:szCs w:val="20"/>
                <w:color w:val="auto"/>
              </w:rPr>
            </w:pPr>
            <w:r>
              <w:rPr>
                <w:rFonts w:ascii="Arial" w:cs="Arial" w:eastAsia="Arial" w:hAnsi="Arial"/>
                <w:sz w:val="17"/>
                <w:szCs w:val="17"/>
                <w:b w:val="1"/>
                <w:bCs w:val="1"/>
                <w:color w:val="auto"/>
              </w:rPr>
              <w:t>F. William Barnett</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2003</w:t>
            </w: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3"/>
              </w:rPr>
              <w:t>Mr. Barnett retired in 2003 from his position as a Director in the Dallas office of McKinsey &amp; Company, Inc., an</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8"/>
              </w:rPr>
              <w:t>international consulting firm, after 23 years of employment, where he led the firm’s Strategy Practice. Mr.</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1"/>
              </w:rPr>
              <w:t>Barnett also served as a director of Papa John’s International, Inc. from 2003 until March 2009, and has been an</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3"/>
              </w:rPr>
              <w:t>Adjunct Professor at the Yale School of Management and the Jesse H. Jones Graduate School of Business at</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rPr>
              <w:t>Rice University. Mr. Barnett currently chairs our Governance Committee.</w:t>
            </w:r>
          </w:p>
        </w:tc>
      </w:tr>
      <w:tr>
        <w:trPr>
          <w:trHeight w:val="311"/>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9"/>
              </w:rPr>
              <w:t>Mr. Barnett brings to the Board and the Governance Committee his corporate governance and strategy</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5"/>
              </w:rPr>
              <w:t>development and implementation experience gained from his long career in management consulting and his</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rPr>
              <w:t>service on another board.</w:t>
            </w:r>
          </w:p>
        </w:tc>
      </w:tr>
      <w:tr>
        <w:trPr>
          <w:trHeight w:val="414"/>
        </w:trPr>
        <w:tc>
          <w:tcPr>
            <w:tcW w:w="2200" w:type="dxa"/>
            <w:vAlign w:val="bottom"/>
            <w:gridSpan w:val="4"/>
          </w:tcPr>
          <w:p>
            <w:pPr>
              <w:spacing w:after="0"/>
              <w:rPr>
                <w:sz w:val="20"/>
                <w:szCs w:val="20"/>
                <w:color w:val="auto"/>
              </w:rPr>
            </w:pPr>
            <w:r>
              <w:rPr>
                <w:rFonts w:ascii="Arial" w:cs="Arial" w:eastAsia="Arial" w:hAnsi="Arial"/>
                <w:sz w:val="17"/>
                <w:szCs w:val="17"/>
                <w:b w:val="1"/>
                <w:bCs w:val="1"/>
                <w:color w:val="auto"/>
              </w:rPr>
              <w:t>Ed H. Bowman</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84"/>
              </w:rPr>
              <w:t>2011</w:t>
            </w: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6"/>
              </w:rPr>
              <w:t>Mr. Bowman served as Chief Executive Officer, President and a director of SOURCECORP from 1996 until</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6"/>
              </w:rPr>
              <w:t>2011. Prior to 1996, Mr. Bowman was a senior executive at First Data Corporation. Mr. Bowman joined our</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2"/>
              </w:rPr>
              <w:t>Board in May 2011. Mr. Bowman serves on the advisory board of the J. Mack Robinson College of Business at</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rPr>
              <w:t>Georgia State University.</w:t>
            </w:r>
          </w:p>
        </w:tc>
      </w:tr>
      <w:tr>
        <w:trPr>
          <w:trHeight w:val="311"/>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2"/>
              </w:rPr>
              <w:t>Mr. Bowman brings to the Board his proven leadership and business experience as the recently retired CEO of</w:t>
            </w: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2"/>
              </w:rPr>
              <w:t>an expanding company. Mr. Bowman also brings corporate governance, finance and compensation knowledge</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rPr>
              <w:t>gained from his experience at other public companies.</w:t>
            </w:r>
          </w:p>
        </w:tc>
      </w:tr>
      <w:tr>
        <w:trPr>
          <w:trHeight w:val="414"/>
        </w:trPr>
        <w:tc>
          <w:tcPr>
            <w:tcW w:w="2200" w:type="dxa"/>
            <w:vAlign w:val="bottom"/>
            <w:gridSpan w:val="4"/>
          </w:tcPr>
          <w:p>
            <w:pPr>
              <w:spacing w:after="0"/>
              <w:rPr>
                <w:sz w:val="20"/>
                <w:szCs w:val="20"/>
                <w:color w:val="auto"/>
              </w:rPr>
            </w:pPr>
            <w:r>
              <w:rPr>
                <w:rFonts w:ascii="Arial" w:cs="Arial" w:eastAsia="Arial" w:hAnsi="Arial"/>
                <w:sz w:val="17"/>
                <w:szCs w:val="17"/>
                <w:b w:val="1"/>
                <w:bCs w:val="1"/>
                <w:color w:val="auto"/>
              </w:rPr>
              <w:t>David W. Quinn</w:t>
            </w:r>
          </w:p>
        </w:tc>
        <w:tc>
          <w:tcPr>
            <w:tcW w:w="300" w:type="dxa"/>
            <w:vAlign w:val="bottom"/>
          </w:tcPr>
          <w:p>
            <w:pPr>
              <w:jc w:val="center"/>
              <w:spacing w:after="0"/>
              <w:rPr>
                <w:sz w:val="20"/>
                <w:szCs w:val="20"/>
                <w:color w:val="auto"/>
              </w:rPr>
            </w:pPr>
            <w:r>
              <w:rPr>
                <w:rFonts w:ascii="Arial" w:cs="Arial" w:eastAsia="Arial" w:hAnsi="Arial"/>
                <w:sz w:val="17"/>
                <w:szCs w:val="17"/>
                <w:color w:val="auto"/>
                <w:w w:val="94"/>
              </w:rPr>
              <w:t>72</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1994</w:t>
            </w: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2"/>
              </w:rPr>
              <w:t>Mr. Quinn served as a director of Centex from 1989 until its merger with Pulte in 2009, as Vice Chairman of the</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7"/>
                <w:szCs w:val="17"/>
                <w:color w:val="auto"/>
                <w:w w:val="98"/>
              </w:rPr>
              <w:t>Board of Directors of Centex from May 1996 to March 2002, as Executive Vice President of Centex from</w:t>
            </w:r>
          </w:p>
        </w:tc>
      </w:tr>
    </w:tbl>
    <w:p>
      <w:pPr>
        <w:jc w:val="both"/>
        <w:ind w:left="3660" w:right="240"/>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February 1987 to May 1996, and Chief Financial Officer of Centex from February 1987 until June 1997 and again from October 1997 until May 2000. Mr. Quinn is the chairman of the Audit Committee of our Board of Directors.</w:t>
      </w:r>
    </w:p>
    <w:p>
      <w:pPr>
        <w:spacing w:after="0" w:line="90" w:lineRule="exact"/>
        <w:rPr>
          <w:sz w:val="20"/>
          <w:szCs w:val="20"/>
          <w:color w:val="auto"/>
        </w:rPr>
      </w:pPr>
    </w:p>
    <w:p>
      <w:pPr>
        <w:ind w:left="3660" w:right="120"/>
        <w:spacing w:after="0" w:line="307" w:lineRule="auto"/>
        <w:rPr>
          <w:sz w:val="20"/>
          <w:szCs w:val="20"/>
          <w:color w:val="auto"/>
        </w:rPr>
      </w:pPr>
      <w:r>
        <w:rPr>
          <w:rFonts w:ascii="Arial" w:cs="Arial" w:eastAsia="Arial" w:hAnsi="Arial"/>
          <w:sz w:val="15"/>
          <w:szCs w:val="15"/>
          <w:color w:val="auto"/>
        </w:rPr>
        <w:t>Mr. Quinn brings to the Board and the Audit Committee his extensive management, financial and audit experience gained from his 17 years as CFO and/or Vice Chairman of the Company’s former parent company and through prior experience as a partner with a major public accounting firm. Mr. Quinn also brings corporate governance experience gained from membership on the boards of other public and private companies.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33"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Continuing Directors Whose Terms Expire at our 2016 Annual Meeting</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(Class I Directors)</w:t>
      </w:r>
    </w:p>
    <w:p>
      <w:pPr>
        <w:sectPr>
          <w:pgSz w:w="11900" w:h="16838" w:orient="portrait"/>
          <w:cols w:equalWidth="0" w:num="1">
            <w:col w:w="11400"/>
          </w:cols>
          <w:pgMar w:left="240" w:top="444" w:right="25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1"/>
              </w:rPr>
              <w:t>Year First</w:t>
            </w:r>
          </w:p>
        </w:tc>
      </w:tr>
      <w:tr>
        <w:trPr>
          <w:trHeight w:val="230"/>
        </w:trPr>
        <w:tc>
          <w:tcPr>
            <w:tcW w:w="8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940" w:type="dxa"/>
            <w:vAlign w:val="bottom"/>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Elected</w:t>
            </w:r>
          </w:p>
        </w:tc>
      </w:tr>
      <w:tr>
        <w:trPr>
          <w:trHeight w:val="295"/>
        </w:trPr>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Robert L. Clarke</w:t>
            </w:r>
          </w:p>
        </w:tc>
        <w:tc>
          <w:tcPr>
            <w:tcW w:w="300" w:type="dxa"/>
            <w:vAlign w:val="bottom"/>
          </w:tcPr>
          <w:p>
            <w:pPr>
              <w:jc w:val="right"/>
              <w:spacing w:after="0"/>
              <w:rPr>
                <w:sz w:val="20"/>
                <w:szCs w:val="20"/>
                <w:color w:val="auto"/>
              </w:rPr>
            </w:pPr>
            <w:r>
              <w:rPr>
                <w:rFonts w:ascii="Arial" w:cs="Arial" w:eastAsia="Arial" w:hAnsi="Arial"/>
                <w:sz w:val="17"/>
                <w:szCs w:val="17"/>
                <w:color w:val="auto"/>
              </w:rPr>
              <w:t>71</w:t>
            </w:r>
          </w:p>
        </w:tc>
        <w:tc>
          <w:tcPr>
            <w:tcW w:w="9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1994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Pr>
          <w:p>
            <w:pPr>
              <w:spacing w:after="0"/>
              <w:rPr>
                <w:sz w:val="20"/>
                <w:szCs w:val="20"/>
                <w:color w:val="auto"/>
              </w:rPr>
            </w:pPr>
            <w:r>
              <w:rPr>
                <w:rFonts w:ascii="Arial" w:cs="Arial" w:eastAsia="Arial" w:hAnsi="Arial"/>
                <w:sz w:val="17"/>
                <w:szCs w:val="17"/>
                <w:b w:val="1"/>
                <w:bCs w:val="1"/>
                <w:color w:val="auto"/>
              </w:rPr>
              <w:t>Martin M. Ellen</w:t>
            </w:r>
          </w:p>
        </w:tc>
        <w:tc>
          <w:tcPr>
            <w:tcW w:w="940" w:type="dxa"/>
            <w:vAlign w:val="bottom"/>
          </w:tcPr>
          <w:p>
            <w:pPr>
              <w:jc w:val="right"/>
              <w:ind w:right="154"/>
              <w:spacing w:after="0"/>
              <w:rPr>
                <w:sz w:val="20"/>
                <w:szCs w:val="20"/>
                <w:color w:val="auto"/>
              </w:rPr>
            </w:pPr>
            <w:r>
              <w:rPr>
                <w:rFonts w:ascii="Arial" w:cs="Arial" w:eastAsia="Arial" w:hAnsi="Arial"/>
                <w:sz w:val="17"/>
                <w:szCs w:val="17"/>
                <w:color w:val="auto"/>
              </w:rPr>
              <w:t>60</w:t>
            </w:r>
          </w:p>
        </w:tc>
        <w:tc>
          <w:tcPr>
            <w:tcW w:w="600" w:type="dxa"/>
            <w:vAlign w:val="bottom"/>
          </w:tcPr>
          <w:p>
            <w:pPr>
              <w:jc w:val="right"/>
              <w:spacing w:after="0"/>
              <w:rPr>
                <w:sz w:val="20"/>
                <w:szCs w:val="20"/>
                <w:color w:val="auto"/>
              </w:rPr>
            </w:pPr>
            <w:r>
              <w:rPr>
                <w:rFonts w:ascii="Arial" w:cs="Arial" w:eastAsia="Arial" w:hAnsi="Arial"/>
                <w:sz w:val="17"/>
                <w:szCs w:val="17"/>
                <w:color w:val="auto"/>
              </w:rPr>
              <w:t>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7"/>
                <w:szCs w:val="17"/>
                <w:b w:val="1"/>
                <w:bCs w:val="1"/>
                <w:color w:val="auto"/>
              </w:rPr>
              <w:t>Steven R. Rowley</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61</w:t>
            </w:r>
          </w:p>
        </w:tc>
        <w:tc>
          <w:tcPr>
            <w:tcW w:w="600" w:type="dxa"/>
            <w:vAlign w:val="bottom"/>
          </w:tcPr>
          <w:p>
            <w:pPr>
              <w:jc w:val="right"/>
              <w:spacing w:after="0"/>
              <w:rPr>
                <w:sz w:val="20"/>
                <w:szCs w:val="20"/>
                <w:color w:val="auto"/>
              </w:rPr>
            </w:pPr>
            <w:r>
              <w:rPr>
                <w:rFonts w:ascii="Arial" w:cs="Arial" w:eastAsia="Arial" w:hAnsi="Arial"/>
                <w:sz w:val="17"/>
                <w:szCs w:val="17"/>
                <w:color w:val="auto"/>
              </w:rPr>
              <w:t>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Records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 Experience and Principal Occupation;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15875</wp:posOffset>
            </wp:positionV>
            <wp:extent cx="30175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Mr. Clarke was a partner in the law firm of Bracewell &amp; Giuliani LLP (formerly known as Bracewell &amp; Patterson) from 1971 to December 1985, returned to the firm as a partner in March 1992 and currently is a senior partner in that firm. From December 1985 to February 1992, he was Comptroller of the Currency of the United States. Mr. Clarke is also a director of Stewart Information Services Corporation. Mr. Clarke is a member of the Audit Committee and Governance Committee of our Board of Directors.</w:t>
      </w:r>
    </w:p>
    <w:p>
      <w:pPr>
        <w:spacing w:after="0" w:line="7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Mr. Clarke brings to the Board, the Audit Committee and the Governance Committee extensive financial and legal experience and knowledge of corporate governance and financial oversight gained from his long legal career, his membership on the boards of other public companies and his service as Comptroller of the Currency of the United States.</w:t>
      </w:r>
    </w:p>
    <w:p>
      <w:pPr>
        <w:spacing w:after="0" w:line="19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Mr. Ellen has been a member of our Board of Directors since May 2013. Mr. Ellen has served as Chief Financial Officer and Executive Vice President at Dr Pepper Snapple Group, Inc. since April 2010. Mr. Ellen also served as the Chief Financial Officer and Senior Vice President - Finance of Snap-on Inc. from November 2002 to March 2010. Mr. Ellen is a certified public accountant and serves on our Audit Committee.</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Mr. Ellen brings to the Board and the Audit Committee his extensive management, finance and audit experience gained from over 25 years serving as chief financial officer with public and private companies and prior experience with a major public accounting firm.</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Mr. Rowley has been the Company’s President and Chief Executive Officer and a member of our Board of Directors since September 2003. Mr. Rowley is also a member of the Executive Committee of our Board of Directors. Mr. Rowley joined the Company in 1991 as a plant manager at its Nevada cement operations and subsequently became Executive Vice President of the Company’s Illinois Cement Company subsidiary in June of 1995. Mr. Rowley was named the Company’s Executive Vice President-Cement in 1998. In 2001, Mr. Rowley’s operational responsibilities were expanded to include concrete and aggregates. Mr. Rowley was the Company’s Chief Operating Officer from October 2002 until September 2003.</w:t>
      </w:r>
    </w:p>
    <w:p>
      <w:pPr>
        <w:spacing w:after="0" w:line="8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Mr. Rowley brings to the Board his extensive executive and operations experience in the construction products industry, including over 20 years of service with the Company.</w:t>
      </w:r>
    </w:p>
    <w:p>
      <w:pPr>
        <w:spacing w:after="0" w:line="524" w:lineRule="exact"/>
        <w:rPr>
          <w:sz w:val="20"/>
          <w:szCs w:val="20"/>
          <w:color w:val="auto"/>
        </w:rPr>
      </w:pPr>
    </w:p>
    <w:p>
      <w:pPr>
        <w:sectPr>
          <w:pgSz w:w="11900" w:h="16838" w:orient="portrait"/>
          <w:cols w:equalWidth="0" w:num="2">
            <w:col w:w="3480" w:space="180"/>
            <w:col w:w="7740"/>
          </w:cols>
          <w:pgMar w:left="240" w:top="444" w:right="259" w:bottom="1440" w:gutter="0" w:footer="0" w:header="0"/>
          <w:type w:val="continuous"/>
        </w:sectPr>
      </w:pPr>
    </w:p>
    <w:p>
      <w:pPr>
        <w:ind w:firstLine="799"/>
        <w:spacing w:after="0" w:line="258" w:lineRule="auto"/>
        <w:rPr>
          <w:sz w:val="20"/>
          <w:szCs w:val="20"/>
          <w:color w:val="auto"/>
        </w:rPr>
      </w:pPr>
      <w:r>
        <w:rPr>
          <w:rFonts w:ascii="Arial" w:cs="Arial" w:eastAsia="Arial" w:hAnsi="Arial"/>
          <w:sz w:val="17"/>
          <w:szCs w:val="17"/>
          <w:color w:val="auto"/>
        </w:rPr>
        <w:t>During the Company’s fiscal year ended March 31, 2014, our Board of Directors held four regularly scheduled meetings and one special meeting. During such fiscal year, all of the incumbent directors attended at least 75% of the meetings of the Board and the committees of the Board on which they served. In accordance with our informal policy, we anticipate that all continuing directors and nominees will attend our 2014 annual stockholders meeting. All of our directors attended our 2013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44" w:right="25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COMPENSATION</w:t>
      </w:r>
    </w:p>
    <w:p>
      <w:pPr>
        <w:spacing w:after="0" w:line="197" w:lineRule="exact"/>
        <w:rPr>
          <w:sz w:val="20"/>
          <w:szCs w:val="20"/>
          <w:color w:val="auto"/>
        </w:rPr>
      </w:pPr>
    </w:p>
    <w:p>
      <w:pPr>
        <w:ind w:right="60" w:firstLine="799"/>
        <w:spacing w:after="0" w:line="283" w:lineRule="auto"/>
        <w:rPr>
          <w:sz w:val="20"/>
          <w:szCs w:val="20"/>
          <w:color w:val="auto"/>
        </w:rPr>
      </w:pPr>
      <w:r>
        <w:rPr>
          <w:rFonts w:ascii="Arial" w:cs="Arial" w:eastAsia="Arial" w:hAnsi="Arial"/>
          <w:sz w:val="16"/>
          <w:szCs w:val="16"/>
          <w:color w:val="auto"/>
        </w:rPr>
        <w:t>Board compensation for the 12-month period from August 2013 through July 2014 was approved by our Board of Directors in August 2013—at the same time long-term incentive compensation was approved for management. The Board approved the same compensation levels paid last year by adopting a director compensation structure in which directors who are not employees of the Company or any of our subsidiaries received compensation for their services during the 12-month period from August 2013 through July 2014 by electing one of the following two compensation package alternatives:</w:t>
      </w:r>
    </w:p>
    <w:p>
      <w:pPr>
        <w:spacing w:after="0" w:line="162" w:lineRule="exact"/>
        <w:rPr>
          <w:sz w:val="20"/>
          <w:szCs w:val="20"/>
          <w:color w:val="auto"/>
        </w:rPr>
      </w:pPr>
    </w:p>
    <w:p>
      <w:pPr>
        <w:ind w:left="1360" w:right="260" w:hanging="559"/>
        <w:spacing w:after="0" w:line="279"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compensation valued at $150,000, of which $75,000 is paid in cash and the remainder is provided in the form of an equity grant valued at $75,000; or</w:t>
      </w:r>
    </w:p>
    <w:p>
      <w:pPr>
        <w:spacing w:after="0" w:line="163" w:lineRule="exact"/>
        <w:rPr>
          <w:rFonts w:ascii="Arial" w:cs="Arial" w:eastAsia="Arial" w:hAnsi="Arial"/>
          <w:sz w:val="17"/>
          <w:szCs w:val="17"/>
          <w:color w:val="auto"/>
        </w:rPr>
      </w:pPr>
    </w:p>
    <w:p>
      <w:pPr>
        <w:ind w:left="1360" w:right="420" w:hanging="559"/>
        <w:spacing w:after="0" w:line="266"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equity grant valued at $170,000. 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36" w:lineRule="exact"/>
        <w:rPr>
          <w:sz w:val="20"/>
          <w:szCs w:val="20"/>
          <w:color w:val="auto"/>
        </w:rPr>
      </w:pPr>
    </w:p>
    <w:p>
      <w:pPr>
        <w:ind w:right="40" w:firstLine="799"/>
        <w:spacing w:after="0" w:line="307" w:lineRule="auto"/>
        <w:rPr>
          <w:sz w:val="20"/>
          <w:szCs w:val="20"/>
          <w:color w:val="auto"/>
        </w:rPr>
      </w:pPr>
      <w:r>
        <w:rPr>
          <w:rFonts w:ascii="Arial" w:cs="Arial" w:eastAsia="Arial" w:hAnsi="Arial"/>
          <w:sz w:val="15"/>
          <w:szCs w:val="15"/>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is determined as of the date of grant by using the Black-Scholes method, and the number of shares of restricted stock is determined as of the date of grant using the closing price of the Common Stock on the NYSE on the date of grant. All the options granted to directors in August 2013 were fully exercisable when granted and have a ten-year term.</w:t>
      </w:r>
    </w:p>
    <w:p>
      <w:pPr>
        <w:spacing w:after="0" w:line="109" w:lineRule="exact"/>
        <w:rPr>
          <w:sz w:val="20"/>
          <w:szCs w:val="20"/>
          <w:color w:val="auto"/>
        </w:rPr>
      </w:pPr>
    </w:p>
    <w:p>
      <w:pPr>
        <w:ind w:firstLine="799"/>
        <w:spacing w:after="0" w:line="279" w:lineRule="auto"/>
        <w:rPr>
          <w:sz w:val="20"/>
          <w:szCs w:val="20"/>
          <w:color w:val="auto"/>
        </w:rPr>
      </w:pPr>
      <w:r>
        <w:rPr>
          <w:rFonts w:ascii="Arial" w:cs="Arial" w:eastAsia="Arial" w:hAnsi="Arial"/>
          <w:sz w:val="16"/>
          <w:szCs w:val="16"/>
          <w:color w:val="auto"/>
        </w:rPr>
        <w:t>The restricted stock granted to directors in August 2013 was earned at the time of grant, but the restrictions will not lapse until the director’s service on the Board terminates because of the director’s death or the director’s retirement in accordance with the Company’s director retirement policy, or under such circumstances as are approved by the Compensation Committee. During the restriction period the director will have the right to vote the shares. In addition, the director will also be entitled to cash dividends as and when the Company issues a cash dividend on the Common Stock. Notwithstanding the above, the restricted shares issued to Mr. Hirsch do not have voting rights and are not entitled to cash dividends, but rather to a dividend-equivalent payment.</w:t>
      </w:r>
    </w:p>
    <w:p>
      <w:pPr>
        <w:spacing w:after="0" w:line="141" w:lineRule="exact"/>
        <w:rPr>
          <w:sz w:val="20"/>
          <w:szCs w:val="20"/>
          <w:color w:val="auto"/>
        </w:rPr>
      </w:pPr>
    </w:p>
    <w:p>
      <w:pPr>
        <w:ind w:right="80" w:firstLine="799"/>
        <w:spacing w:after="0" w:line="259" w:lineRule="auto"/>
        <w:rPr>
          <w:sz w:val="20"/>
          <w:szCs w:val="20"/>
          <w:color w:val="auto"/>
        </w:rPr>
      </w:pPr>
      <w:r>
        <w:rPr>
          <w:rFonts w:ascii="Arial" w:cs="Arial" w:eastAsia="Arial" w:hAnsi="Arial"/>
          <w:sz w:val="17"/>
          <w:szCs w:val="17"/>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elect to receive all Board compensation in the form of equity may also elect to receive this additional compensation in the form of options to purchase Common Stock, in which case a 26.67% premium is added to such fees when valuing the number of options to be received by such chairperson.</w:t>
      </w:r>
    </w:p>
    <w:p>
      <w:pPr>
        <w:spacing w:after="0" w:line="143" w:lineRule="exact"/>
        <w:rPr>
          <w:sz w:val="20"/>
          <w:szCs w:val="20"/>
          <w:color w:val="auto"/>
        </w:rPr>
      </w:pPr>
    </w:p>
    <w:p>
      <w:pPr>
        <w:ind w:right="40" w:firstLine="799"/>
        <w:spacing w:after="0" w:line="266" w:lineRule="auto"/>
        <w:rPr>
          <w:sz w:val="20"/>
          <w:szCs w:val="20"/>
          <w:color w:val="auto"/>
        </w:rPr>
      </w:pPr>
      <w:r>
        <w:rPr>
          <w:rFonts w:ascii="Arial" w:cs="Arial" w:eastAsia="Arial" w:hAnsi="Arial"/>
          <w:sz w:val="17"/>
          <w:szCs w:val="17"/>
          <w:color w:val="auto"/>
        </w:rPr>
        <w:t>If directors hold restricted stock units, which we refer to as “RSUs,” granted as part of director compensation in prior fiscal years (which currently includes Messrs. Barnett, Hirsch and Nicolais), these directors will receive dividend equivalent units as and when the Company pays a cash dividend on the Common Stock in accordance with the terms of the RSUs.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directors are reimbursed for reasonable expenses of attending meetings.</w:t>
      </w:r>
    </w:p>
    <w:p>
      <w:pPr>
        <w:spacing w:after="0" w:line="15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4"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Non-Employee Director Compensation for Fiscal Year 2014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compensation paid by the Company to our non-employee directors for the fiscal year ended March 31, 2014.</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Non-Equity</w:t>
            </w:r>
          </w:p>
        </w:tc>
        <w:tc>
          <w:tcPr>
            <w:tcW w:w="134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87"/>
              </w:rPr>
              <w:t>Change in Pension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Fees Earned</w:t>
            </w: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Value and</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180" w:type="dxa"/>
            <w:vAlign w:val="bottom"/>
            <w:gridSpan w:val="2"/>
          </w:tcPr>
          <w:p>
            <w:pPr>
              <w:jc w:val="center"/>
              <w:ind w:left="231"/>
              <w:spacing w:after="0" w:line="142" w:lineRule="exact"/>
              <w:rPr>
                <w:sz w:val="20"/>
                <w:szCs w:val="20"/>
                <w:color w:val="auto"/>
              </w:rPr>
            </w:pPr>
            <w:r>
              <w:rPr>
                <w:rFonts w:ascii="Arial" w:cs="Arial" w:eastAsia="Arial" w:hAnsi="Arial"/>
                <w:sz w:val="14"/>
                <w:szCs w:val="14"/>
                <w:b w:val="1"/>
                <w:bCs w:val="1"/>
                <w:color w:val="auto"/>
                <w:w w:val="89"/>
              </w:rPr>
              <w:t>Incentive Plan</w:t>
            </w:r>
          </w:p>
        </w:tc>
        <w:tc>
          <w:tcPr>
            <w:tcW w:w="2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Nonqualified</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10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or</w:t>
            </w:r>
          </w:p>
        </w:tc>
        <w:tc>
          <w:tcPr>
            <w:tcW w:w="8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Awards</w:t>
            </w:r>
          </w:p>
        </w:tc>
        <w:tc>
          <w:tcPr>
            <w:tcW w:w="1180" w:type="dxa"/>
            <w:vAlign w:val="bottom"/>
            <w:gridSpan w:val="2"/>
          </w:tcPr>
          <w:p>
            <w:pPr>
              <w:jc w:val="center"/>
              <w:ind w:left="251"/>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2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Deferred</w:t>
            </w:r>
          </w:p>
        </w:tc>
        <w:tc>
          <w:tcPr>
            <w:tcW w:w="15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Compensation</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Paid in Cash</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(1)</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(2)</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1"/>
        </w:trPr>
        <w:tc>
          <w:tcPr>
            <w:tcW w:w="2680" w:type="dxa"/>
            <w:vAlign w:val="bottom"/>
          </w:tcPr>
          <w:p>
            <w:pPr>
              <w:spacing w:after="0" w:line="291" w:lineRule="exact"/>
              <w:rPr>
                <w:sz w:val="20"/>
                <w:szCs w:val="20"/>
                <w:color w:val="auto"/>
              </w:rPr>
            </w:pPr>
            <w:r>
              <w:rPr>
                <w:rFonts w:ascii="Arial" w:cs="Arial" w:eastAsia="Arial" w:hAnsi="Arial"/>
                <w:sz w:val="15"/>
                <w:szCs w:val="15"/>
                <w:color w:val="auto"/>
              </w:rPr>
              <w:t>F. William Barnett</w:t>
            </w:r>
            <w:r>
              <w:rPr>
                <w:rFonts w:ascii="Arial" w:cs="Arial" w:eastAsia="Arial" w:hAnsi="Arial"/>
                <w:sz w:val="26"/>
                <w:szCs w:val="26"/>
                <w:color w:val="auto"/>
                <w:vertAlign w:val="superscript"/>
              </w:rPr>
              <w:t>(4)</w:t>
            </w:r>
          </w:p>
        </w:tc>
        <w:tc>
          <w:tcPr>
            <w:tcW w:w="2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$45,703</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2"/>
              </w:rPr>
              <w:t>$137,015</w:t>
            </w:r>
          </w:p>
        </w:tc>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$1,763</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5"/>
              </w:rPr>
              <w:t>$184,481</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Ed H. Bowman</w:t>
            </w:r>
            <w:r>
              <w:rPr>
                <w:rFonts w:ascii="Arial" w:cs="Arial" w:eastAsia="Arial" w:hAnsi="Arial"/>
                <w:sz w:val="26"/>
                <w:szCs w:val="26"/>
                <w:color w:val="auto"/>
                <w:vertAlign w:val="superscript"/>
              </w:rPr>
              <w:t>(5)</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42,544</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127,511</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1,640</w:t>
            </w:r>
          </w:p>
        </w:tc>
        <w:tc>
          <w:tcPr>
            <w:tcW w:w="4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171,695</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Robert L. Clarke</w:t>
            </w:r>
            <w:r>
              <w:rPr>
                <w:rFonts w:ascii="Arial" w:cs="Arial" w:eastAsia="Arial" w:hAnsi="Arial"/>
                <w:sz w:val="26"/>
                <w:szCs w:val="26"/>
                <w:color w:val="auto"/>
                <w:vertAlign w:val="superscript"/>
              </w:rPr>
              <w:t>(5)</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42,544</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127,511</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580" w:type="dxa"/>
            <w:vAlign w:val="bottom"/>
            <w:gridSpan w:val="3"/>
          </w:tcPr>
          <w:p>
            <w:pPr>
              <w:jc w:val="right"/>
              <w:ind w:right="340"/>
              <w:spacing w:after="0" w:line="257" w:lineRule="exact"/>
              <w:rPr>
                <w:sz w:val="20"/>
                <w:szCs w:val="20"/>
                <w:color w:val="auto"/>
              </w:rPr>
            </w:pPr>
            <w:r>
              <w:rPr>
                <w:rFonts w:ascii="Arial" w:cs="Arial" w:eastAsia="Arial" w:hAnsi="Arial"/>
                <w:sz w:val="15"/>
                <w:szCs w:val="15"/>
                <w:color w:val="auto"/>
              </w:rPr>
              <w:t>70,082</w:t>
            </w:r>
            <w:r>
              <w:rPr>
                <w:rFonts w:ascii="Arial" w:cs="Arial" w:eastAsia="Arial" w:hAnsi="Arial"/>
                <w:sz w:val="26"/>
                <w:szCs w:val="26"/>
                <w:color w:val="auto"/>
                <w:vertAlign w:val="superscript"/>
              </w:rPr>
              <w:t>(6)</w:t>
            </w:r>
          </w:p>
        </w:tc>
        <w:tc>
          <w:tcPr>
            <w:tcW w:w="620" w:type="dxa"/>
            <w:vAlign w:val="bottom"/>
          </w:tcPr>
          <w:p>
            <w:pPr>
              <w:jc w:val="right"/>
              <w:spacing w:after="0"/>
              <w:rPr>
                <w:sz w:val="20"/>
                <w:szCs w:val="20"/>
                <w:color w:val="auto"/>
              </w:rPr>
            </w:pPr>
            <w:r>
              <w:rPr>
                <w:rFonts w:ascii="Arial" w:cs="Arial" w:eastAsia="Arial" w:hAnsi="Arial"/>
                <w:sz w:val="15"/>
                <w:szCs w:val="15"/>
                <w:color w:val="auto"/>
              </w:rPr>
              <w:t>240,137</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Martin M. Ellen</w:t>
            </w:r>
            <w:r>
              <w:rPr>
                <w:rFonts w:ascii="Arial" w:cs="Arial" w:eastAsia="Arial" w:hAnsi="Arial"/>
                <w:sz w:val="26"/>
                <w:szCs w:val="26"/>
                <w:color w:val="auto"/>
                <w:vertAlign w:val="superscript"/>
              </w:rPr>
              <w:t>(7)(8)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$ 75,240</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18,752</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56,269</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4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150,317</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Laurence E. Hirsch</w:t>
            </w:r>
            <w:r>
              <w:rPr>
                <w:rFonts w:ascii="Arial" w:cs="Arial" w:eastAsia="Arial" w:hAnsi="Arial"/>
                <w:sz w:val="26"/>
                <w:szCs w:val="26"/>
                <w:color w:val="auto"/>
                <w:vertAlign w:val="superscript"/>
              </w:rPr>
              <w:t>(9)</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58,338</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175,005</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580" w:type="dxa"/>
            <w:vAlign w:val="bottom"/>
            <w:gridSpan w:val="3"/>
          </w:tcPr>
          <w:p>
            <w:pPr>
              <w:jc w:val="right"/>
              <w:ind w:right="280"/>
              <w:spacing w:after="0" w:line="257" w:lineRule="exact"/>
              <w:rPr>
                <w:sz w:val="20"/>
                <w:szCs w:val="20"/>
                <w:color w:val="auto"/>
              </w:rPr>
            </w:pPr>
            <w:r>
              <w:rPr>
                <w:rFonts w:ascii="Arial" w:cs="Arial" w:eastAsia="Arial" w:hAnsi="Arial"/>
                <w:sz w:val="15"/>
                <w:szCs w:val="15"/>
                <w:color w:val="auto"/>
              </w:rPr>
              <w:t>2,251</w:t>
            </w:r>
            <w:r>
              <w:rPr>
                <w:rFonts w:ascii="Arial" w:cs="Arial" w:eastAsia="Arial" w:hAnsi="Arial"/>
                <w:sz w:val="26"/>
                <w:szCs w:val="26"/>
                <w:color w:val="auto"/>
                <w:vertAlign w:val="superscript"/>
              </w:rPr>
              <w:t>(10)</w:t>
            </w:r>
          </w:p>
        </w:tc>
        <w:tc>
          <w:tcPr>
            <w:tcW w:w="620" w:type="dxa"/>
            <w:vAlign w:val="bottom"/>
          </w:tcPr>
          <w:p>
            <w:pPr>
              <w:jc w:val="right"/>
              <w:spacing w:after="0"/>
              <w:rPr>
                <w:sz w:val="20"/>
                <w:szCs w:val="20"/>
                <w:color w:val="auto"/>
              </w:rPr>
            </w:pPr>
            <w:r>
              <w:rPr>
                <w:rFonts w:ascii="Arial" w:cs="Arial" w:eastAsia="Arial" w:hAnsi="Arial"/>
                <w:sz w:val="15"/>
                <w:szCs w:val="15"/>
                <w:color w:val="auto"/>
              </w:rPr>
              <w:t>235,594</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Michael R. Nicolais</w:t>
            </w:r>
            <w:r>
              <w:rPr>
                <w:rFonts w:ascii="Arial" w:cs="Arial" w:eastAsia="Arial" w:hAnsi="Arial"/>
                <w:sz w:val="26"/>
                <w:szCs w:val="26"/>
                <w:color w:val="auto"/>
                <w:vertAlign w:val="superscript"/>
              </w:rPr>
              <w:t>(8)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75,000</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18,752</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56,269</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724</w:t>
            </w:r>
          </w:p>
        </w:tc>
        <w:tc>
          <w:tcPr>
            <w:tcW w:w="4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150,745</w:t>
            </w:r>
          </w:p>
        </w:tc>
        <w:tc>
          <w:tcPr>
            <w:tcW w:w="0" w:type="dxa"/>
            <w:vAlign w:val="bottom"/>
          </w:tcPr>
          <w:p>
            <w:pPr>
              <w:spacing w:after="0"/>
              <w:rPr>
                <w:sz w:val="1"/>
                <w:szCs w:val="1"/>
                <w:color w:val="auto"/>
              </w:rPr>
            </w:pPr>
          </w:p>
        </w:tc>
      </w:tr>
      <w:tr>
        <w:trPr>
          <w:trHeight w:val="258"/>
        </w:trPr>
        <w:tc>
          <w:tcPr>
            <w:tcW w:w="2680" w:type="dxa"/>
            <w:vAlign w:val="bottom"/>
          </w:tcPr>
          <w:p>
            <w:pPr>
              <w:spacing w:after="0" w:line="257" w:lineRule="exact"/>
              <w:rPr>
                <w:sz w:val="20"/>
                <w:szCs w:val="20"/>
                <w:color w:val="auto"/>
              </w:rPr>
            </w:pPr>
            <w:r>
              <w:rPr>
                <w:rFonts w:ascii="Arial" w:cs="Arial" w:eastAsia="Arial" w:hAnsi="Arial"/>
                <w:sz w:val="15"/>
                <w:szCs w:val="15"/>
                <w:color w:val="auto"/>
              </w:rPr>
              <w:t>David W. Quinn</w:t>
            </w:r>
            <w:r>
              <w:rPr>
                <w:rFonts w:ascii="Arial" w:cs="Arial" w:eastAsia="Arial" w:hAnsi="Arial"/>
                <w:sz w:val="26"/>
                <w:szCs w:val="26"/>
                <w:color w:val="auto"/>
                <w:vertAlign w:val="superscript"/>
              </w:rPr>
              <w:t>(11)</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141,813</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47,260</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2,105</w:t>
            </w:r>
          </w:p>
        </w:tc>
        <w:tc>
          <w:tcPr>
            <w:tcW w:w="4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191,178</w:t>
            </w:r>
          </w:p>
        </w:tc>
        <w:tc>
          <w:tcPr>
            <w:tcW w:w="0" w:type="dxa"/>
            <w:vAlign w:val="bottom"/>
          </w:tcPr>
          <w:p>
            <w:pPr>
              <w:spacing w:after="0"/>
              <w:rPr>
                <w:sz w:val="1"/>
                <w:szCs w:val="1"/>
                <w:color w:val="auto"/>
              </w:rPr>
            </w:pPr>
          </w:p>
        </w:tc>
      </w:tr>
      <w:tr>
        <w:trPr>
          <w:trHeight w:val="341"/>
        </w:trPr>
        <w:tc>
          <w:tcPr>
            <w:tcW w:w="2680" w:type="dxa"/>
            <w:vAlign w:val="bottom"/>
          </w:tcPr>
          <w:p>
            <w:pPr>
              <w:spacing w:after="0"/>
              <w:rPr>
                <w:sz w:val="20"/>
                <w:szCs w:val="20"/>
                <w:color w:val="auto"/>
              </w:rPr>
            </w:pPr>
            <w:r>
              <w:rPr>
                <w:rFonts w:ascii="Arial" w:cs="Arial" w:eastAsia="Arial" w:hAnsi="Arial"/>
                <w:sz w:val="15"/>
                <w:szCs w:val="15"/>
                <w:color w:val="auto"/>
              </w:rPr>
              <w:t>Richard R. Stewart</w:t>
            </w:r>
            <w:r>
              <w:rPr>
                <w:rFonts w:ascii="Arial" w:cs="Arial" w:eastAsia="Arial" w:hAnsi="Arial"/>
                <w:sz w:val="26"/>
                <w:szCs w:val="26"/>
                <w:color w:val="auto"/>
                <w:vertAlign w:val="superscript"/>
              </w:rPr>
              <w:t>(12)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90,000</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18,752</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56,269</w:t>
            </w:r>
          </w:p>
        </w:tc>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724</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165,745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889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ind w:left="460" w:right="60" w:hanging="457"/>
        <w:spacing w:after="0" w:line="294"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amounts in this column reflect the value of restricted stock awards made to the directors in the fiscal year ended March 31, 2014 and are consistent with the grant date fair value of the award computed in accordance with FASB ASC Topic 718. For assumptions used in determining these values, refer to footnote</w:t>
      </w:r>
    </w:p>
    <w:p>
      <w:pPr>
        <w:ind w:left="460" w:right="20"/>
        <w:spacing w:after="0" w:line="265" w:lineRule="auto"/>
        <w:rPr>
          <w:rFonts w:ascii="Arial" w:cs="Arial" w:eastAsia="Arial" w:hAnsi="Arial"/>
          <w:sz w:val="15"/>
          <w:szCs w:val="15"/>
          <w:color w:val="auto"/>
        </w:rPr>
      </w:pPr>
      <w:r>
        <w:rPr>
          <w:rFonts w:ascii="Arial" w:cs="Arial" w:eastAsia="Arial" w:hAnsi="Arial"/>
          <w:sz w:val="17"/>
          <w:szCs w:val="17"/>
          <w:color w:val="auto"/>
        </w:rPr>
        <w:t>(J) to the Company’s audited financial statements for the fiscal year ended March 31, 2014 included in the Company’s Annual Report on Form 10-K filed with the SEC on May 23, 2014, or “Fiscal 2014 Form 10-K.”</w:t>
      </w:r>
    </w:p>
    <w:p>
      <w:pPr>
        <w:spacing w:after="0" w:line="46" w:lineRule="exact"/>
        <w:rPr>
          <w:rFonts w:ascii="Arial" w:cs="Arial" w:eastAsia="Arial" w:hAnsi="Arial"/>
          <w:sz w:val="15"/>
          <w:szCs w:val="15"/>
          <w:color w:val="auto"/>
        </w:rPr>
      </w:pPr>
    </w:p>
    <w:p>
      <w:pPr>
        <w:ind w:left="460" w:right="60" w:hanging="457"/>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this column reflect the value of option awards made to the directors in the fiscal year ended March 31, 2014 and are consistent with the grant date fair value of the award computed in accordance with FASB ASC Topic 718. For assumptions used in determining these values, refer to footnote (J) to the Company’s audited financial statements for the fiscal year ended March 31, 2014 included in the Fiscal 2014 Form 10-K.</w:t>
      </w:r>
    </w:p>
    <w:p>
      <w:pPr>
        <w:spacing w:after="0" w:line="28" w:lineRule="exact"/>
        <w:rPr>
          <w:rFonts w:ascii="Arial" w:cs="Arial" w:eastAsia="Arial" w:hAnsi="Arial"/>
          <w:sz w:val="16"/>
          <w:szCs w:val="16"/>
          <w:color w:val="auto"/>
        </w:rPr>
      </w:pPr>
    </w:p>
    <w:p>
      <w:pPr>
        <w:ind w:left="460" w:right="80" w:hanging="457"/>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amounts in this column represent dividend payments made in fiscal 2014 to the directors with respect to restricted stock awarded in fiscal 2013 and fiscal 2014, except as otherwise noted.</w:t>
      </w:r>
    </w:p>
    <w:p>
      <w:pPr>
        <w:spacing w:after="0" w:line="34" w:lineRule="exact"/>
        <w:rPr>
          <w:rFonts w:ascii="Arial" w:cs="Arial" w:eastAsia="Arial" w:hAnsi="Arial"/>
          <w:sz w:val="17"/>
          <w:szCs w:val="17"/>
          <w:color w:val="auto"/>
        </w:rPr>
      </w:pPr>
    </w:p>
    <w:p>
      <w:pPr>
        <w:ind w:left="460" w:right="760" w:hanging="457"/>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Barnett is the Chair of the Governance Committee. He elected to receive 100% of his director compensation in the form of equity (including his chairperson fee).</w:t>
      </w:r>
    </w:p>
    <w:p>
      <w:pPr>
        <w:spacing w:after="0" w:line="34"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Messrs. Bowman and Clarke elected to receive 100% of their director compensation in the form of equity.</w:t>
      </w:r>
    </w:p>
    <w:p>
      <w:pPr>
        <w:spacing w:after="0" w:line="87" w:lineRule="exact"/>
        <w:rPr>
          <w:rFonts w:ascii="Arial" w:cs="Arial" w:eastAsia="Arial" w:hAnsi="Arial"/>
          <w:sz w:val="17"/>
          <w:szCs w:val="17"/>
          <w:color w:val="auto"/>
        </w:rPr>
      </w:pPr>
    </w:p>
    <w:p>
      <w:pPr>
        <w:ind w:left="460" w:hanging="457"/>
        <w:spacing w:after="0" w:line="261"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the value of Common Stock paid during such fiscal year for dividend equivalent units accruing under RSUs. Dividend equivalent units are credited as additional RSUs to holders of our earned RSUs at any time we pay a cash dividend on our Common Stock. In fiscal 2014, Mr. Clarke was paid Common Stock for dividend equivalent units valued at $68,442. Dividend equivalent units credited to the other directors in fiscal 2014 in additional RSUs are included in the amounts reflected in the “RSUs” column of the chart immediately below.</w:t>
      </w:r>
    </w:p>
    <w:p>
      <w:pPr>
        <w:spacing w:after="0" w:line="51" w:lineRule="exact"/>
        <w:rPr>
          <w:rFonts w:ascii="Arial" w:cs="Arial" w:eastAsia="Arial" w:hAnsi="Arial"/>
          <w:sz w:val="17"/>
          <w:szCs w:val="17"/>
          <w:color w:val="auto"/>
        </w:rPr>
      </w:pPr>
    </w:p>
    <w:p>
      <w:pPr>
        <w:ind w:left="460" w:right="20" w:hanging="457"/>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Ellen was appointed to the Board in May 2013 and received cash compensation for his services as a director from the date of his appointment through July 2013.</w:t>
      </w:r>
    </w:p>
    <w:p>
      <w:pPr>
        <w:spacing w:after="0" w:line="34"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Messrs. Ellen and Nicolais elected to receive 50% of their director compensation in the form of equity and 50% in cash.</w:t>
      </w:r>
    </w:p>
    <w:p>
      <w:pPr>
        <w:spacing w:after="0" w:line="87"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Hirsch is the Chairman of the Board. He elected to receive 100% of his director compensation in the form of equity (including his chairperson fee).</w:t>
      </w:r>
    </w:p>
    <w:p>
      <w:pPr>
        <w:spacing w:after="0" w:line="99" w:lineRule="exact"/>
        <w:rPr>
          <w:rFonts w:ascii="Arial" w:cs="Arial" w:eastAsia="Arial" w:hAnsi="Arial"/>
          <w:sz w:val="16"/>
          <w:szCs w:val="16"/>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$174 of dividend equivalent cash payments made to Mr. Hirsch in connection with restricted stock awarded to Mr. Hirsch in fiscal 2014.</w:t>
      </w:r>
    </w:p>
    <w:p>
      <w:pPr>
        <w:spacing w:after="0" w:line="87"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Mr. Quinn is the Chair of the Audit Committee. He elected to receive 100% of his director compensation in the form of equity (including his chairperson fee).</w:t>
      </w:r>
    </w:p>
    <w:p>
      <w:pPr>
        <w:spacing w:after="0" w:line="110" w:lineRule="exact"/>
        <w:rPr>
          <w:rFonts w:ascii="Arial" w:cs="Arial" w:eastAsia="Arial" w:hAnsi="Arial"/>
          <w:sz w:val="15"/>
          <w:szCs w:val="15"/>
          <w:color w:val="auto"/>
        </w:rPr>
      </w:pPr>
    </w:p>
    <w:p>
      <w:pPr>
        <w:ind w:left="460" w:right="20" w:hanging="457"/>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Stewart is the Chair of the Compensation Committee. He elected to receive 50% of his director compensation in the form of equity and 50% in the form of cash. Mr. Stewart also elected to receive his committee chairperson fee in cash.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444" w:right="2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shows the number of outstanding stock options, RSUs and shares of restricted stock held by each director as of March 31, 2014.</w:t>
      </w:r>
    </w:p>
    <w:p>
      <w:pPr>
        <w:spacing w:after="0" w:line="232" w:lineRule="exact"/>
        <w:rPr>
          <w:sz w:val="20"/>
          <w:szCs w:val="20"/>
          <w:color w:val="auto"/>
        </w:rPr>
      </w:pPr>
    </w:p>
    <w:tbl>
      <w:tblPr>
        <w:tblLayout w:type="fixed"/>
        <w:tblInd w:w="258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5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7"/>
                <w:szCs w:val="7"/>
                <w:color w:val="auto"/>
              </w:rPr>
              <w:t>(1)</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7"/>
                <w:szCs w:val="7"/>
                <w:color w:val="auto"/>
              </w:rPr>
              <w:t>(2)</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 Stock</w:t>
            </w:r>
            <w:r>
              <w:rPr>
                <w:rFonts w:ascii="Arial" w:cs="Arial" w:eastAsia="Arial" w:hAnsi="Arial"/>
                <w:sz w:val="7"/>
                <w:szCs w:val="7"/>
                <w:color w:val="auto"/>
                <w:w w:val="87"/>
              </w:rPr>
              <w:t>(3)</w:t>
            </w: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88"/>
        </w:trPr>
        <w:tc>
          <w:tcPr>
            <w:tcW w:w="3060" w:type="dxa"/>
            <w:vAlign w:val="bottom"/>
            <w:gridSpan w:val="3"/>
          </w:tcPr>
          <w:p>
            <w:pPr>
              <w:spacing w:after="0"/>
              <w:rPr>
                <w:sz w:val="20"/>
                <w:szCs w:val="20"/>
                <w:color w:val="auto"/>
              </w:rPr>
            </w:pPr>
            <w:r>
              <w:rPr>
                <w:rFonts w:ascii="Arial" w:cs="Arial" w:eastAsia="Arial" w:hAnsi="Arial"/>
                <w:sz w:val="17"/>
                <w:szCs w:val="17"/>
                <w:color w:val="auto"/>
              </w:rPr>
              <w:t>F. William Barnett</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113,536</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8,569</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3,391</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Ed H. Bowman</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4,897</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3,156</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Robert L. Clarke</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106,995</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3,156</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Martin M. Ellen</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2,161</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16"/>
              <w:spacing w:after="0"/>
              <w:rPr>
                <w:sz w:val="20"/>
                <w:szCs w:val="20"/>
                <w:color w:val="auto"/>
              </w:rPr>
            </w:pPr>
            <w:r>
              <w:rPr>
                <w:rFonts w:ascii="Arial" w:cs="Arial" w:eastAsia="Arial" w:hAnsi="Arial"/>
                <w:sz w:val="17"/>
                <w:szCs w:val="17"/>
                <w:color w:val="auto"/>
              </w:rPr>
              <w:t>279</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Laurence E. Hirsch</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126,730</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11,119</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4,331</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Michael R. Nicolais</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31,470</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3,769</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1,392</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David W. Quinn</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30,058</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4,915</w:t>
            </w:r>
          </w:p>
        </w:tc>
      </w:tr>
      <w:tr>
        <w:trPr>
          <w:trHeight w:val="309"/>
        </w:trPr>
        <w:tc>
          <w:tcPr>
            <w:tcW w:w="3060" w:type="dxa"/>
            <w:vAlign w:val="bottom"/>
            <w:gridSpan w:val="3"/>
          </w:tcPr>
          <w:p>
            <w:pPr>
              <w:spacing w:after="0"/>
              <w:rPr>
                <w:sz w:val="20"/>
                <w:szCs w:val="20"/>
                <w:color w:val="auto"/>
              </w:rPr>
            </w:pPr>
            <w:r>
              <w:rPr>
                <w:rFonts w:ascii="Arial" w:cs="Arial" w:eastAsia="Arial" w:hAnsi="Arial"/>
                <w:sz w:val="17"/>
                <w:szCs w:val="17"/>
                <w:color w:val="auto"/>
              </w:rPr>
              <w:t>Richard R. Stewart</w:t>
            </w:r>
          </w:p>
        </w:tc>
        <w:tc>
          <w:tcPr>
            <w:tcW w:w="900" w:type="dxa"/>
            <w:vAlign w:val="bottom"/>
          </w:tcPr>
          <w:p>
            <w:pPr>
              <w:jc w:val="right"/>
              <w:ind w:right="96"/>
              <w:spacing w:after="0"/>
              <w:rPr>
                <w:sz w:val="20"/>
                <w:szCs w:val="20"/>
                <w:color w:val="auto"/>
              </w:rPr>
            </w:pPr>
            <w:r>
              <w:rPr>
                <w:rFonts w:ascii="Arial" w:cs="Arial" w:eastAsia="Arial" w:hAnsi="Arial"/>
                <w:sz w:val="17"/>
                <w:szCs w:val="17"/>
                <w:color w:val="auto"/>
              </w:rPr>
              <w:t>13,049</w:t>
            </w:r>
          </w:p>
        </w:tc>
        <w:tc>
          <w:tcPr>
            <w:tcW w:w="32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1,392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115570</wp:posOffset>
            </wp:positionV>
            <wp:extent cx="1529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59" w:lineRule="exact"/>
        <w:rPr>
          <w:sz w:val="20"/>
          <w:szCs w:val="20"/>
          <w:color w:val="auto"/>
        </w:rPr>
      </w:pPr>
    </w:p>
    <w:p>
      <w:pPr>
        <w:ind w:left="1700" w:hanging="332"/>
        <w:spacing w:after="0"/>
        <w:tabs>
          <w:tab w:leader="none" w:pos="1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of these stock options are fully exercisable.</w:t>
      </w:r>
    </w:p>
    <w:p>
      <w:pPr>
        <w:spacing w:after="0" w:line="57" w:lineRule="exact"/>
        <w:rPr>
          <w:rFonts w:ascii="Arial" w:cs="Arial" w:eastAsia="Arial" w:hAnsi="Arial"/>
          <w:sz w:val="14"/>
          <w:szCs w:val="14"/>
          <w:color w:val="auto"/>
        </w:rPr>
      </w:pPr>
    </w:p>
    <w:p>
      <w:pPr>
        <w:ind w:left="1700" w:right="100" w:hanging="332"/>
        <w:spacing w:after="0"/>
        <w:tabs>
          <w:tab w:leader="none" w:pos="17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RSUs granted to non-employee directors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1,057 RSUs; Mr. Hirsch – 1,376 RSUs; and Mr. Nicolais – 469 RSUs.</w:t>
      </w:r>
    </w:p>
    <w:p>
      <w:pPr>
        <w:spacing w:after="0" w:line="45" w:lineRule="exact"/>
        <w:rPr>
          <w:rFonts w:ascii="Arial" w:cs="Arial" w:eastAsia="Arial" w:hAnsi="Arial"/>
          <w:sz w:val="13"/>
          <w:szCs w:val="13"/>
          <w:color w:val="auto"/>
        </w:rPr>
      </w:pPr>
    </w:p>
    <w:p>
      <w:pPr>
        <w:ind w:left="1700" w:right="260" w:hanging="332"/>
        <w:spacing w:after="0" w:line="247" w:lineRule="auto"/>
        <w:tabs>
          <w:tab w:leader="none" w:pos="17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restrictions on the restricted stock granted to non-employee directors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 and Role in Risk Oversight</w:t>
      </w:r>
    </w:p>
    <w:p>
      <w:pPr>
        <w:spacing w:after="0" w:line="184" w:lineRule="exact"/>
        <w:rPr>
          <w:sz w:val="20"/>
          <w:szCs w:val="20"/>
          <w:color w:val="auto"/>
        </w:rPr>
      </w:pPr>
    </w:p>
    <w:p>
      <w:pPr>
        <w:jc w:val="both"/>
        <w:ind w:right="140" w:firstLine="799"/>
        <w:spacing w:after="0" w:line="266" w:lineRule="auto"/>
        <w:rPr>
          <w:sz w:val="20"/>
          <w:szCs w:val="20"/>
          <w:color w:val="auto"/>
        </w:rPr>
      </w:pPr>
      <w:r>
        <w:rPr>
          <w:rFonts w:ascii="Arial" w:cs="Arial" w:eastAsia="Arial" w:hAnsi="Arial"/>
          <w:sz w:val="17"/>
          <w:szCs w:val="17"/>
          <w:color w:val="auto"/>
        </w:rPr>
        <w:t>The positions of Chairman of the Board and CEO are performed by two different persons. Mr. Rowley, our CEO, focuses on the day-to-day operation of the Company’s businesses and participates in both operational and long-term strategy and development. Mr. Hirsch, our Chairman, oversees the Company’s general strategic direction and leads and manages the Board.</w:t>
      </w:r>
    </w:p>
    <w:p>
      <w:pPr>
        <w:spacing w:after="0" w:line="136" w:lineRule="exact"/>
        <w:rPr>
          <w:sz w:val="20"/>
          <w:szCs w:val="20"/>
          <w:color w:val="auto"/>
        </w:rPr>
      </w:pPr>
    </w:p>
    <w:p>
      <w:pPr>
        <w:ind w:right="20" w:firstLine="799"/>
        <w:spacing w:after="0" w:line="299" w:lineRule="auto"/>
        <w:rPr>
          <w:sz w:val="20"/>
          <w:szCs w:val="20"/>
          <w:color w:val="auto"/>
        </w:rPr>
      </w:pPr>
      <w:r>
        <w:rPr>
          <w:rFonts w:ascii="Arial" w:cs="Arial" w:eastAsia="Arial" w:hAnsi="Arial"/>
          <w:sz w:val="15"/>
          <w:szCs w:val="15"/>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Risk Assessment in Compensation Programs</w:t>
      </w:r>
    </w:p>
    <w:p>
      <w:pPr>
        <w:spacing w:after="0" w:line="178" w:lineRule="exact"/>
        <w:rPr>
          <w:sz w:val="20"/>
          <w:szCs w:val="20"/>
          <w:color w:val="auto"/>
        </w:rPr>
      </w:pPr>
    </w:p>
    <w:p>
      <w:pPr>
        <w:ind w:firstLine="799"/>
        <w:spacing w:after="0" w:line="274"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 This assessment was overseen by the Compensation Committee, in consultation with management. We reviewed the compensation policies and practices in effect for our executive officers, senior management and other employees and assessed the features we have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44"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97" w:lineRule="exact"/>
        <w:rPr>
          <w:sz w:val="20"/>
          <w:szCs w:val="20"/>
          <w:color w:val="auto"/>
        </w:rPr>
      </w:pPr>
    </w:p>
    <w:p>
      <w:pPr>
        <w:ind w:right="260" w:firstLine="799"/>
        <w:spacing w:after="0" w:line="266" w:lineRule="auto"/>
        <w:rPr>
          <w:sz w:val="20"/>
          <w:szCs w:val="20"/>
          <w:color w:val="auto"/>
        </w:rPr>
      </w:pPr>
      <w:r>
        <w:rPr>
          <w:rFonts w:ascii="Arial" w:cs="Arial" w:eastAsia="Arial" w:hAnsi="Arial"/>
          <w:sz w:val="17"/>
          <w:szCs w:val="17"/>
          <w:color w:val="auto"/>
        </w:rPr>
        <w:t>The standing committees of our Board of Directors include the Audit Committee, the Compensation Committee, the Governance Committee and the Executive Committee. The following table lists the chairpersons and members of each committee as of March 31, 2014, and the number of meetings held by each committee during the fiscal year ended March 31, 2014:</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72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860" w:type="dxa"/>
            <w:vAlign w:val="bottom"/>
          </w:tcPr>
          <w:p>
            <w:pPr>
              <w:ind w:left="800"/>
              <w:spacing w:after="0"/>
              <w:rPr>
                <w:sz w:val="20"/>
                <w:szCs w:val="20"/>
                <w:color w:val="auto"/>
              </w:rPr>
            </w:pPr>
            <w:r>
              <w:rPr>
                <w:rFonts w:ascii="Arial" w:cs="Arial" w:eastAsia="Arial" w:hAnsi="Arial"/>
                <w:sz w:val="14"/>
                <w:szCs w:val="14"/>
                <w:b w:val="1"/>
                <w:bCs w:val="1"/>
                <w:color w:val="auto"/>
              </w:rPr>
              <w:t>Audit</w:t>
            </w:r>
          </w:p>
        </w:tc>
        <w:tc>
          <w:tcPr>
            <w:tcW w:w="2040" w:type="dxa"/>
            <w:vAlign w:val="bottom"/>
          </w:tcPr>
          <w:p>
            <w:pPr>
              <w:ind w:left="600"/>
              <w:spacing w:after="0"/>
              <w:rPr>
                <w:sz w:val="20"/>
                <w:szCs w:val="20"/>
                <w:color w:val="auto"/>
              </w:rPr>
            </w:pPr>
            <w:r>
              <w:rPr>
                <w:rFonts w:ascii="Arial" w:cs="Arial" w:eastAsia="Arial" w:hAnsi="Arial"/>
                <w:sz w:val="14"/>
                <w:szCs w:val="14"/>
                <w:b w:val="1"/>
                <w:bCs w:val="1"/>
                <w:color w:val="auto"/>
              </w:rPr>
              <w:t>Compensation</w:t>
            </w:r>
          </w:p>
        </w:tc>
        <w:tc>
          <w:tcPr>
            <w:tcW w:w="1900" w:type="dxa"/>
            <w:vAlign w:val="bottom"/>
          </w:tcPr>
          <w:p>
            <w:pPr>
              <w:ind w:left="600"/>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ind w:left="600"/>
              <w:spacing w:after="0"/>
              <w:rPr>
                <w:sz w:val="20"/>
                <w:szCs w:val="20"/>
                <w:color w:val="auto"/>
              </w:rPr>
            </w:pPr>
            <w:r>
              <w:rPr>
                <w:rFonts w:ascii="Arial" w:cs="Arial" w:eastAsia="Arial" w:hAnsi="Arial"/>
                <w:sz w:val="14"/>
                <w:szCs w:val="14"/>
                <w:b w:val="1"/>
                <w:bCs w:val="1"/>
                <w:color w:val="auto"/>
                <w:w w:val="85"/>
              </w:rPr>
              <w:t>Executive</w:t>
            </w:r>
          </w:p>
        </w:tc>
      </w:tr>
      <w:tr>
        <w:trPr>
          <w:trHeight w:val="76"/>
        </w:trPr>
        <w:tc>
          <w:tcPr>
            <w:tcW w:w="272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99"/>
        </w:trPr>
        <w:tc>
          <w:tcPr>
            <w:tcW w:w="2720" w:type="dxa"/>
            <w:vAlign w:val="bottom"/>
            <w:shd w:val="clear" w:color="auto" w:fill="E5E5E5"/>
          </w:tcPr>
          <w:p>
            <w:pPr>
              <w:spacing w:after="0"/>
              <w:rPr>
                <w:sz w:val="20"/>
                <w:szCs w:val="20"/>
                <w:color w:val="auto"/>
              </w:rPr>
            </w:pPr>
            <w:r>
              <w:rPr>
                <w:rFonts w:ascii="Arial" w:cs="Arial" w:eastAsia="Arial" w:hAnsi="Arial"/>
                <w:sz w:val="17"/>
                <w:szCs w:val="17"/>
                <w:color w:val="auto"/>
              </w:rPr>
              <w:t>F. William Barnett</w:t>
            </w:r>
          </w:p>
        </w:tc>
        <w:tc>
          <w:tcPr>
            <w:tcW w:w="1860" w:type="dxa"/>
            <w:vAlign w:val="bottom"/>
            <w:shd w:val="clear" w:color="auto" w:fill="E5E5E5"/>
          </w:tcPr>
          <w:p>
            <w:pPr>
              <w:spacing w:after="0"/>
              <w:rPr>
                <w:sz w:val="17"/>
                <w:szCs w:val="17"/>
                <w:color w:val="auto"/>
              </w:rPr>
            </w:pPr>
          </w:p>
        </w:tc>
        <w:tc>
          <w:tcPr>
            <w:tcW w:w="2040" w:type="dxa"/>
            <w:vAlign w:val="bottom"/>
            <w:shd w:val="clear" w:color="auto" w:fill="E5E5E5"/>
          </w:tcPr>
          <w:p>
            <w:pPr>
              <w:spacing w:after="0"/>
              <w:rPr>
                <w:sz w:val="17"/>
                <w:szCs w:val="17"/>
                <w:color w:val="auto"/>
              </w:rPr>
            </w:pPr>
          </w:p>
        </w:tc>
        <w:tc>
          <w:tcPr>
            <w:tcW w:w="1900" w:type="dxa"/>
            <w:vAlign w:val="bottom"/>
            <w:shd w:val="clear" w:color="auto" w:fill="E5E5E5"/>
          </w:tcPr>
          <w:p>
            <w:pPr>
              <w:ind w:left="580"/>
              <w:spacing w:after="0"/>
              <w:rPr>
                <w:sz w:val="20"/>
                <w:szCs w:val="20"/>
                <w:color w:val="auto"/>
              </w:rPr>
            </w:pPr>
            <w:r>
              <w:rPr>
                <w:rFonts w:ascii="Arial" w:cs="Arial" w:eastAsia="Arial" w:hAnsi="Arial"/>
                <w:sz w:val="17"/>
                <w:szCs w:val="17"/>
                <w:color w:val="auto"/>
              </w:rPr>
              <w:t>Chair</w:t>
            </w:r>
          </w:p>
        </w:tc>
        <w:tc>
          <w:tcPr>
            <w:tcW w:w="1180" w:type="dxa"/>
            <w:vAlign w:val="bottom"/>
            <w:shd w:val="clear" w:color="auto" w:fill="E5E5E5"/>
          </w:tcPr>
          <w:p>
            <w:pPr>
              <w:spacing w:after="0"/>
              <w:rPr>
                <w:sz w:val="17"/>
                <w:szCs w:val="17"/>
                <w:color w:val="auto"/>
              </w:rPr>
            </w:pPr>
          </w:p>
        </w:tc>
      </w:tr>
      <w:tr>
        <w:trPr>
          <w:trHeight w:val="308"/>
        </w:trPr>
        <w:tc>
          <w:tcPr>
            <w:tcW w:w="2720" w:type="dxa"/>
            <w:vAlign w:val="bottom"/>
          </w:tcPr>
          <w:p>
            <w:pPr>
              <w:spacing w:after="0"/>
              <w:rPr>
                <w:sz w:val="20"/>
                <w:szCs w:val="20"/>
                <w:color w:val="auto"/>
              </w:rPr>
            </w:pPr>
            <w:r>
              <w:rPr>
                <w:rFonts w:ascii="Arial" w:cs="Arial" w:eastAsia="Arial" w:hAnsi="Arial"/>
                <w:sz w:val="17"/>
                <w:szCs w:val="17"/>
                <w:color w:val="auto"/>
              </w:rPr>
              <w:t>Ed H. Bowman</w:t>
            </w:r>
          </w:p>
        </w:tc>
        <w:tc>
          <w:tcPr>
            <w:tcW w:w="1860" w:type="dxa"/>
            <w:vAlign w:val="bottom"/>
          </w:tcPr>
          <w:p>
            <w:pPr>
              <w:ind w:left="680"/>
              <w:spacing w:after="0"/>
              <w:rPr>
                <w:sz w:val="20"/>
                <w:szCs w:val="20"/>
                <w:color w:val="auto"/>
              </w:rPr>
            </w:pPr>
            <w:r>
              <w:rPr>
                <w:rFonts w:ascii="Arial" w:cs="Arial" w:eastAsia="Arial" w:hAnsi="Arial"/>
                <w:sz w:val="17"/>
                <w:szCs w:val="17"/>
                <w:color w:val="auto"/>
              </w:rPr>
              <w:t>Member</w:t>
            </w:r>
          </w:p>
        </w:tc>
        <w:tc>
          <w:tcPr>
            <w:tcW w:w="2040" w:type="dxa"/>
            <w:vAlign w:val="bottom"/>
          </w:tcPr>
          <w:p>
            <w:pPr>
              <w:ind w:left="580"/>
              <w:spacing w:after="0"/>
              <w:rPr>
                <w:sz w:val="20"/>
                <w:szCs w:val="20"/>
                <w:color w:val="auto"/>
              </w:rPr>
            </w:pPr>
            <w:r>
              <w:rPr>
                <w:rFonts w:ascii="Arial" w:cs="Arial" w:eastAsia="Arial" w:hAnsi="Arial"/>
                <w:sz w:val="17"/>
                <w:szCs w:val="17"/>
                <w:color w:val="auto"/>
              </w:rPr>
              <w:t>Member</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2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6"/>
        </w:trPr>
        <w:tc>
          <w:tcPr>
            <w:tcW w:w="2720" w:type="dxa"/>
            <w:vAlign w:val="bottom"/>
            <w:shd w:val="clear" w:color="auto" w:fill="E5E5E5"/>
          </w:tcPr>
          <w:p>
            <w:pPr>
              <w:spacing w:after="0"/>
              <w:rPr>
                <w:sz w:val="20"/>
                <w:szCs w:val="20"/>
                <w:color w:val="auto"/>
              </w:rPr>
            </w:pPr>
            <w:r>
              <w:rPr>
                <w:rFonts w:ascii="Arial" w:cs="Arial" w:eastAsia="Arial" w:hAnsi="Arial"/>
                <w:sz w:val="17"/>
                <w:szCs w:val="17"/>
                <w:color w:val="auto"/>
              </w:rPr>
              <w:t>Robert L. Clarke</w:t>
            </w:r>
          </w:p>
        </w:tc>
        <w:tc>
          <w:tcPr>
            <w:tcW w:w="1860" w:type="dxa"/>
            <w:vAlign w:val="bottom"/>
            <w:shd w:val="clear" w:color="auto" w:fill="E5E5E5"/>
          </w:tcPr>
          <w:p>
            <w:pPr>
              <w:ind w:left="680"/>
              <w:spacing w:after="0"/>
              <w:rPr>
                <w:sz w:val="20"/>
                <w:szCs w:val="20"/>
                <w:color w:val="auto"/>
              </w:rPr>
            </w:pPr>
            <w:r>
              <w:rPr>
                <w:rFonts w:ascii="Arial" w:cs="Arial" w:eastAsia="Arial" w:hAnsi="Arial"/>
                <w:sz w:val="17"/>
                <w:szCs w:val="17"/>
                <w:color w:val="auto"/>
              </w:rPr>
              <w:t>Member</w:t>
            </w:r>
          </w:p>
        </w:tc>
        <w:tc>
          <w:tcPr>
            <w:tcW w:w="2040" w:type="dxa"/>
            <w:vAlign w:val="bottom"/>
            <w:shd w:val="clear" w:color="auto" w:fill="E5E5E5"/>
          </w:tcPr>
          <w:p>
            <w:pPr>
              <w:spacing w:after="0"/>
              <w:rPr>
                <w:sz w:val="17"/>
                <w:szCs w:val="17"/>
                <w:color w:val="auto"/>
              </w:rPr>
            </w:pPr>
          </w:p>
        </w:tc>
        <w:tc>
          <w:tcPr>
            <w:tcW w:w="1900" w:type="dxa"/>
            <w:vAlign w:val="bottom"/>
            <w:shd w:val="clear" w:color="auto" w:fill="E5E5E5"/>
          </w:tcPr>
          <w:p>
            <w:pPr>
              <w:ind w:left="580"/>
              <w:spacing w:after="0"/>
              <w:rPr>
                <w:sz w:val="20"/>
                <w:szCs w:val="20"/>
                <w:color w:val="auto"/>
              </w:rPr>
            </w:pPr>
            <w:r>
              <w:rPr>
                <w:rFonts w:ascii="Arial" w:cs="Arial" w:eastAsia="Arial" w:hAnsi="Arial"/>
                <w:sz w:val="17"/>
                <w:szCs w:val="17"/>
                <w:color w:val="auto"/>
              </w:rPr>
              <w:t>Member</w:t>
            </w:r>
          </w:p>
        </w:tc>
        <w:tc>
          <w:tcPr>
            <w:tcW w:w="1180" w:type="dxa"/>
            <w:vAlign w:val="bottom"/>
            <w:shd w:val="clear" w:color="auto" w:fill="E5E5E5"/>
          </w:tcPr>
          <w:p>
            <w:pPr>
              <w:spacing w:after="0"/>
              <w:rPr>
                <w:sz w:val="17"/>
                <w:szCs w:val="17"/>
                <w:color w:val="auto"/>
              </w:rPr>
            </w:pPr>
          </w:p>
        </w:tc>
      </w:tr>
      <w:tr>
        <w:trPr>
          <w:trHeight w:val="308"/>
        </w:trPr>
        <w:tc>
          <w:tcPr>
            <w:tcW w:w="2720" w:type="dxa"/>
            <w:vAlign w:val="bottom"/>
          </w:tcPr>
          <w:p>
            <w:pPr>
              <w:spacing w:after="0"/>
              <w:rPr>
                <w:sz w:val="20"/>
                <w:szCs w:val="20"/>
                <w:color w:val="auto"/>
              </w:rPr>
            </w:pPr>
            <w:r>
              <w:rPr>
                <w:rFonts w:ascii="Arial" w:cs="Arial" w:eastAsia="Arial" w:hAnsi="Arial"/>
                <w:sz w:val="17"/>
                <w:szCs w:val="17"/>
                <w:color w:val="auto"/>
              </w:rPr>
              <w:t>Martin M. Ellen</w:t>
            </w:r>
          </w:p>
        </w:tc>
        <w:tc>
          <w:tcPr>
            <w:tcW w:w="1860" w:type="dxa"/>
            <w:vAlign w:val="bottom"/>
          </w:tcPr>
          <w:p>
            <w:pPr>
              <w:ind w:left="680"/>
              <w:spacing w:after="0"/>
              <w:rPr>
                <w:sz w:val="20"/>
                <w:szCs w:val="20"/>
                <w:color w:val="auto"/>
              </w:rPr>
            </w:pPr>
            <w:r>
              <w:rPr>
                <w:rFonts w:ascii="Arial" w:cs="Arial" w:eastAsia="Arial" w:hAnsi="Arial"/>
                <w:sz w:val="17"/>
                <w:szCs w:val="17"/>
                <w:color w:val="auto"/>
              </w:rPr>
              <w:t>Member</w:t>
            </w: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2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6"/>
        </w:trPr>
        <w:tc>
          <w:tcPr>
            <w:tcW w:w="2720" w:type="dxa"/>
            <w:vAlign w:val="bottom"/>
            <w:shd w:val="clear" w:color="auto" w:fill="E5E5E5"/>
          </w:tcPr>
          <w:p>
            <w:pPr>
              <w:spacing w:after="0"/>
              <w:rPr>
                <w:sz w:val="20"/>
                <w:szCs w:val="20"/>
                <w:color w:val="auto"/>
              </w:rPr>
            </w:pPr>
            <w:r>
              <w:rPr>
                <w:rFonts w:ascii="Arial" w:cs="Arial" w:eastAsia="Arial" w:hAnsi="Arial"/>
                <w:sz w:val="17"/>
                <w:szCs w:val="17"/>
                <w:color w:val="auto"/>
              </w:rPr>
              <w:t>Laurence E. Hirsch</w:t>
            </w:r>
          </w:p>
        </w:tc>
        <w:tc>
          <w:tcPr>
            <w:tcW w:w="1860" w:type="dxa"/>
            <w:vAlign w:val="bottom"/>
            <w:shd w:val="clear" w:color="auto" w:fill="E5E5E5"/>
          </w:tcPr>
          <w:p>
            <w:pPr>
              <w:spacing w:after="0"/>
              <w:rPr>
                <w:sz w:val="17"/>
                <w:szCs w:val="17"/>
                <w:color w:val="auto"/>
              </w:rPr>
            </w:pPr>
          </w:p>
        </w:tc>
        <w:tc>
          <w:tcPr>
            <w:tcW w:w="204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180" w:type="dxa"/>
            <w:vAlign w:val="bottom"/>
            <w:shd w:val="clear" w:color="auto" w:fill="E5E5E5"/>
          </w:tcPr>
          <w:p>
            <w:pPr>
              <w:ind w:left="580"/>
              <w:spacing w:after="0"/>
              <w:rPr>
                <w:sz w:val="20"/>
                <w:szCs w:val="20"/>
                <w:color w:val="auto"/>
              </w:rPr>
            </w:pPr>
            <w:r>
              <w:rPr>
                <w:rFonts w:ascii="Arial" w:cs="Arial" w:eastAsia="Arial" w:hAnsi="Arial"/>
                <w:sz w:val="17"/>
                <w:szCs w:val="17"/>
                <w:color w:val="auto"/>
              </w:rPr>
              <w:t>Chair</w:t>
            </w:r>
          </w:p>
        </w:tc>
      </w:tr>
      <w:tr>
        <w:trPr>
          <w:trHeight w:val="308"/>
        </w:trPr>
        <w:tc>
          <w:tcPr>
            <w:tcW w:w="2720" w:type="dxa"/>
            <w:vAlign w:val="bottom"/>
          </w:tcPr>
          <w:p>
            <w:pPr>
              <w:spacing w:after="0"/>
              <w:rPr>
                <w:sz w:val="20"/>
                <w:szCs w:val="20"/>
                <w:color w:val="auto"/>
              </w:rPr>
            </w:pPr>
            <w:r>
              <w:rPr>
                <w:rFonts w:ascii="Arial" w:cs="Arial" w:eastAsia="Arial" w:hAnsi="Arial"/>
                <w:sz w:val="17"/>
                <w:szCs w:val="17"/>
                <w:color w:val="auto"/>
              </w:rPr>
              <w:t>Michael R. Nicolais</w:t>
            </w:r>
          </w:p>
        </w:tc>
        <w:tc>
          <w:tcPr>
            <w:tcW w:w="186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7"/>
                <w:szCs w:val="17"/>
                <w:color w:val="auto"/>
              </w:rPr>
              <w:t>Member</w:t>
            </w:r>
          </w:p>
        </w:tc>
        <w:tc>
          <w:tcPr>
            <w:tcW w:w="1900" w:type="dxa"/>
            <w:vAlign w:val="bottom"/>
          </w:tcPr>
          <w:p>
            <w:pPr>
              <w:ind w:left="580"/>
              <w:spacing w:after="0"/>
              <w:rPr>
                <w:sz w:val="20"/>
                <w:szCs w:val="20"/>
                <w:color w:val="auto"/>
              </w:rPr>
            </w:pPr>
            <w:r>
              <w:rPr>
                <w:rFonts w:ascii="Arial" w:cs="Arial" w:eastAsia="Arial" w:hAnsi="Arial"/>
                <w:sz w:val="17"/>
                <w:szCs w:val="17"/>
                <w:color w:val="auto"/>
              </w:rPr>
              <w:t>Member</w:t>
            </w:r>
          </w:p>
        </w:tc>
        <w:tc>
          <w:tcPr>
            <w:tcW w:w="1180" w:type="dxa"/>
            <w:vAlign w:val="bottom"/>
          </w:tcPr>
          <w:p>
            <w:pPr>
              <w:spacing w:after="0"/>
              <w:rPr>
                <w:sz w:val="24"/>
                <w:szCs w:val="24"/>
                <w:color w:val="auto"/>
              </w:rPr>
            </w:pPr>
          </w:p>
        </w:tc>
      </w:tr>
      <w:tr>
        <w:trPr>
          <w:trHeight w:val="105"/>
        </w:trPr>
        <w:tc>
          <w:tcPr>
            <w:tcW w:w="2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6"/>
        </w:trPr>
        <w:tc>
          <w:tcPr>
            <w:tcW w:w="2720" w:type="dxa"/>
            <w:vAlign w:val="bottom"/>
            <w:shd w:val="clear" w:color="auto" w:fill="E5E5E5"/>
          </w:tcPr>
          <w:p>
            <w:pPr>
              <w:spacing w:after="0"/>
              <w:rPr>
                <w:sz w:val="20"/>
                <w:szCs w:val="20"/>
                <w:color w:val="auto"/>
              </w:rPr>
            </w:pPr>
            <w:r>
              <w:rPr>
                <w:rFonts w:ascii="Arial" w:cs="Arial" w:eastAsia="Arial" w:hAnsi="Arial"/>
                <w:sz w:val="17"/>
                <w:szCs w:val="17"/>
                <w:color w:val="auto"/>
              </w:rPr>
              <w:t>David W. Quinn</w:t>
            </w:r>
          </w:p>
        </w:tc>
        <w:tc>
          <w:tcPr>
            <w:tcW w:w="1860" w:type="dxa"/>
            <w:vAlign w:val="bottom"/>
            <w:shd w:val="clear" w:color="auto" w:fill="E5E5E5"/>
          </w:tcPr>
          <w:p>
            <w:pPr>
              <w:ind w:left="680"/>
              <w:spacing w:after="0"/>
              <w:rPr>
                <w:sz w:val="20"/>
                <w:szCs w:val="20"/>
                <w:color w:val="auto"/>
              </w:rPr>
            </w:pPr>
            <w:r>
              <w:rPr>
                <w:rFonts w:ascii="Arial" w:cs="Arial" w:eastAsia="Arial" w:hAnsi="Arial"/>
                <w:sz w:val="17"/>
                <w:szCs w:val="17"/>
                <w:color w:val="auto"/>
              </w:rPr>
              <w:t>Chair</w:t>
            </w:r>
          </w:p>
        </w:tc>
        <w:tc>
          <w:tcPr>
            <w:tcW w:w="204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308"/>
        </w:trPr>
        <w:tc>
          <w:tcPr>
            <w:tcW w:w="2720" w:type="dxa"/>
            <w:vAlign w:val="bottom"/>
          </w:tcPr>
          <w:p>
            <w:pPr>
              <w:spacing w:after="0"/>
              <w:rPr>
                <w:sz w:val="20"/>
                <w:szCs w:val="20"/>
                <w:color w:val="auto"/>
              </w:rPr>
            </w:pPr>
            <w:r>
              <w:rPr>
                <w:rFonts w:ascii="Arial" w:cs="Arial" w:eastAsia="Arial" w:hAnsi="Arial"/>
                <w:sz w:val="17"/>
                <w:szCs w:val="17"/>
                <w:color w:val="auto"/>
              </w:rPr>
              <w:t>Steven R. Rowley</w:t>
            </w: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ind w:left="580"/>
              <w:spacing w:after="0"/>
              <w:rPr>
                <w:sz w:val="20"/>
                <w:szCs w:val="20"/>
                <w:color w:val="auto"/>
              </w:rPr>
            </w:pPr>
            <w:r>
              <w:rPr>
                <w:rFonts w:ascii="Arial" w:cs="Arial" w:eastAsia="Arial" w:hAnsi="Arial"/>
                <w:sz w:val="17"/>
                <w:szCs w:val="17"/>
                <w:color w:val="auto"/>
                <w:w w:val="92"/>
              </w:rPr>
              <w:t>Member</w:t>
            </w:r>
          </w:p>
        </w:tc>
      </w:tr>
      <w:tr>
        <w:trPr>
          <w:trHeight w:val="105"/>
        </w:trPr>
        <w:tc>
          <w:tcPr>
            <w:tcW w:w="27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06"/>
        </w:trPr>
        <w:tc>
          <w:tcPr>
            <w:tcW w:w="2720" w:type="dxa"/>
            <w:vAlign w:val="bottom"/>
            <w:shd w:val="clear" w:color="auto" w:fill="E5E5E5"/>
          </w:tcPr>
          <w:p>
            <w:pPr>
              <w:spacing w:after="0"/>
              <w:rPr>
                <w:sz w:val="20"/>
                <w:szCs w:val="20"/>
                <w:color w:val="auto"/>
              </w:rPr>
            </w:pPr>
            <w:r>
              <w:rPr>
                <w:rFonts w:ascii="Arial" w:cs="Arial" w:eastAsia="Arial" w:hAnsi="Arial"/>
                <w:sz w:val="17"/>
                <w:szCs w:val="17"/>
                <w:color w:val="auto"/>
              </w:rPr>
              <w:t>Richard R. Stewart</w:t>
            </w:r>
          </w:p>
        </w:tc>
        <w:tc>
          <w:tcPr>
            <w:tcW w:w="1860" w:type="dxa"/>
            <w:vAlign w:val="bottom"/>
            <w:shd w:val="clear" w:color="auto" w:fill="E5E5E5"/>
          </w:tcPr>
          <w:p>
            <w:pPr>
              <w:spacing w:after="0"/>
              <w:rPr>
                <w:sz w:val="17"/>
                <w:szCs w:val="17"/>
                <w:color w:val="auto"/>
              </w:rPr>
            </w:pPr>
          </w:p>
        </w:tc>
        <w:tc>
          <w:tcPr>
            <w:tcW w:w="2040" w:type="dxa"/>
            <w:vAlign w:val="bottom"/>
            <w:shd w:val="clear" w:color="auto" w:fill="E5E5E5"/>
          </w:tcPr>
          <w:p>
            <w:pPr>
              <w:ind w:left="580"/>
              <w:spacing w:after="0"/>
              <w:rPr>
                <w:sz w:val="20"/>
                <w:szCs w:val="20"/>
                <w:color w:val="auto"/>
              </w:rPr>
            </w:pPr>
            <w:r>
              <w:rPr>
                <w:rFonts w:ascii="Arial" w:cs="Arial" w:eastAsia="Arial" w:hAnsi="Arial"/>
                <w:sz w:val="17"/>
                <w:szCs w:val="17"/>
                <w:color w:val="auto"/>
              </w:rPr>
              <w:t>Chair</w:t>
            </w:r>
          </w:p>
        </w:tc>
        <w:tc>
          <w:tcPr>
            <w:tcW w:w="19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297"/>
        </w:trPr>
        <w:tc>
          <w:tcPr>
            <w:tcW w:w="2720" w:type="dxa"/>
            <w:vAlign w:val="bottom"/>
          </w:tcPr>
          <w:p>
            <w:pPr>
              <w:spacing w:after="0"/>
              <w:rPr>
                <w:sz w:val="20"/>
                <w:szCs w:val="20"/>
                <w:color w:val="auto"/>
              </w:rPr>
            </w:pPr>
            <w:r>
              <w:rPr>
                <w:rFonts w:ascii="Arial" w:cs="Arial" w:eastAsia="Arial" w:hAnsi="Arial"/>
                <w:sz w:val="17"/>
                <w:szCs w:val="17"/>
                <w:color w:val="auto"/>
              </w:rPr>
              <w:t>Number of Meetings in Fiscal</w:t>
            </w: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7"/>
        </w:trPr>
        <w:tc>
          <w:tcPr>
            <w:tcW w:w="2720" w:type="dxa"/>
            <w:vAlign w:val="bottom"/>
          </w:tcPr>
          <w:p>
            <w:pPr>
              <w:ind w:left="180"/>
              <w:spacing w:after="0"/>
              <w:rPr>
                <w:sz w:val="20"/>
                <w:szCs w:val="20"/>
                <w:color w:val="auto"/>
              </w:rPr>
            </w:pPr>
            <w:r>
              <w:rPr>
                <w:rFonts w:ascii="Arial" w:cs="Arial" w:eastAsia="Arial" w:hAnsi="Arial"/>
                <w:sz w:val="17"/>
                <w:szCs w:val="17"/>
                <w:color w:val="auto"/>
              </w:rPr>
              <w:t>2014</w:t>
            </w:r>
          </w:p>
        </w:tc>
        <w:tc>
          <w:tcPr>
            <w:tcW w:w="1860" w:type="dxa"/>
            <w:vAlign w:val="bottom"/>
          </w:tcPr>
          <w:p>
            <w:pPr>
              <w:ind w:left="680"/>
              <w:spacing w:after="0"/>
              <w:rPr>
                <w:sz w:val="20"/>
                <w:szCs w:val="20"/>
                <w:color w:val="auto"/>
              </w:rPr>
            </w:pPr>
            <w:r>
              <w:rPr>
                <w:rFonts w:ascii="Arial" w:cs="Arial" w:eastAsia="Arial" w:hAnsi="Arial"/>
                <w:sz w:val="17"/>
                <w:szCs w:val="17"/>
                <w:color w:val="auto"/>
              </w:rPr>
              <w:t>6</w:t>
            </w:r>
          </w:p>
        </w:tc>
        <w:tc>
          <w:tcPr>
            <w:tcW w:w="2040" w:type="dxa"/>
            <w:vAlign w:val="bottom"/>
          </w:tcPr>
          <w:p>
            <w:pPr>
              <w:ind w:left="580"/>
              <w:spacing w:after="0"/>
              <w:rPr>
                <w:sz w:val="20"/>
                <w:szCs w:val="20"/>
                <w:color w:val="auto"/>
              </w:rPr>
            </w:pPr>
            <w:r>
              <w:rPr>
                <w:rFonts w:ascii="Arial" w:cs="Arial" w:eastAsia="Arial" w:hAnsi="Arial"/>
                <w:sz w:val="17"/>
                <w:szCs w:val="17"/>
                <w:color w:val="auto"/>
              </w:rPr>
              <w:t>6</w:t>
            </w:r>
          </w:p>
        </w:tc>
        <w:tc>
          <w:tcPr>
            <w:tcW w:w="1900" w:type="dxa"/>
            <w:vAlign w:val="bottom"/>
          </w:tcPr>
          <w:p>
            <w:pPr>
              <w:ind w:left="580"/>
              <w:spacing w:after="0"/>
              <w:rPr>
                <w:sz w:val="20"/>
                <w:szCs w:val="20"/>
                <w:color w:val="auto"/>
              </w:rPr>
            </w:pPr>
            <w:r>
              <w:rPr>
                <w:rFonts w:ascii="Arial" w:cs="Arial" w:eastAsia="Arial" w:hAnsi="Arial"/>
                <w:sz w:val="17"/>
                <w:szCs w:val="17"/>
                <w:color w:val="auto"/>
              </w:rPr>
              <w:t>5</w:t>
            </w:r>
          </w:p>
        </w:tc>
        <w:tc>
          <w:tcPr>
            <w:tcW w:w="1180" w:type="dxa"/>
            <w:vAlign w:val="bottom"/>
          </w:tcPr>
          <w:p>
            <w:pPr>
              <w:ind w:left="580"/>
              <w:spacing w:after="0"/>
              <w:rPr>
                <w:sz w:val="20"/>
                <w:szCs w:val="20"/>
                <w:color w:val="auto"/>
              </w:rPr>
            </w:pPr>
            <w:r>
              <w:rPr>
                <w:rFonts w:ascii="Arial" w:cs="Arial" w:eastAsia="Arial" w:hAnsi="Arial"/>
                <w:sz w:val="17"/>
                <w:szCs w:val="17"/>
                <w:color w:val="auto"/>
              </w:rPr>
              <w:t>0</w:t>
            </w:r>
          </w:p>
        </w:tc>
      </w:tr>
    </w:tbl>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Audit Committee</w:t>
      </w:r>
    </w:p>
    <w:p>
      <w:pPr>
        <w:spacing w:after="0" w:line="178"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56"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seventeen (17) years as CFO and/or Vice Chairman of the Company’s former parent company and through prior experience as a partner with a major public accounting firm, Mr. Quinn is an “audit committee financial expert” within the meaning of the rules of the SEC.</w:t>
      </w:r>
    </w:p>
    <w:p>
      <w:pPr>
        <w:spacing w:after="0" w:line="143" w:lineRule="exact"/>
        <w:rPr>
          <w:sz w:val="20"/>
          <w:szCs w:val="20"/>
          <w:color w:val="auto"/>
        </w:rPr>
      </w:pPr>
    </w:p>
    <w:p>
      <w:pPr>
        <w:ind w:right="260" w:firstLine="799"/>
        <w:spacing w:after="0" w:line="279" w:lineRule="auto"/>
        <w:rPr>
          <w:sz w:val="20"/>
          <w:szCs w:val="20"/>
          <w:color w:val="auto"/>
        </w:rPr>
      </w:pPr>
      <w:r>
        <w:rPr>
          <w:rFonts w:ascii="Arial" w:cs="Arial" w:eastAsia="Arial" w:hAnsi="Arial"/>
          <w:sz w:val="17"/>
          <w:szCs w:val="17"/>
          <w:color w:val="auto"/>
        </w:rPr>
        <w:t>Unless otherwise determined by the Board, no member of our Audit Committee may serve as a member of an audit committee of more than two other public companies.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Certain key functions and responsibilities of our Audit Committee are to:</w:t>
      </w:r>
    </w:p>
    <w:p>
      <w:pPr>
        <w:spacing w:after="0" w:line="126" w:lineRule="exact"/>
        <w:rPr>
          <w:sz w:val="20"/>
          <w:szCs w:val="20"/>
          <w:color w:val="auto"/>
        </w:rPr>
      </w:pPr>
    </w:p>
    <w:p>
      <w:pPr>
        <w:ind w:left="1120" w:right="280" w:hanging="319"/>
        <w:spacing w:after="0" w:line="279"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34" w:lineRule="exact"/>
        <w:rPr>
          <w:rFonts w:ascii="Arial" w:cs="Arial" w:eastAsia="Arial" w:hAnsi="Arial"/>
          <w:sz w:val="17"/>
          <w:szCs w:val="17"/>
          <w:color w:val="auto"/>
        </w:rPr>
      </w:pPr>
    </w:p>
    <w:p>
      <w:pPr>
        <w:jc w:val="both"/>
        <w:ind w:left="1120" w:right="140" w:hanging="319"/>
        <w:spacing w:after="0" w:line="266"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45" w:lineRule="exact"/>
        <w:rPr>
          <w:rFonts w:ascii="Arial" w:cs="Arial" w:eastAsia="Arial" w:hAnsi="Arial"/>
          <w:sz w:val="17"/>
          <w:szCs w:val="17"/>
          <w:color w:val="auto"/>
        </w:rPr>
      </w:pPr>
    </w:p>
    <w:p>
      <w:pPr>
        <w:ind w:left="1120" w:right="240" w:hanging="319"/>
        <w:spacing w:after="0" w:line="279"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34" w:lineRule="exact"/>
        <w:rPr>
          <w:rFonts w:ascii="Arial" w:cs="Arial" w:eastAsia="Arial" w:hAnsi="Arial"/>
          <w:sz w:val="17"/>
          <w:szCs w:val="17"/>
          <w:color w:val="auto"/>
        </w:rPr>
      </w:pPr>
    </w:p>
    <w:p>
      <w:pPr>
        <w:ind w:left="1120" w:right="260" w:hanging="319"/>
        <w:spacing w:after="0" w:line="266"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60"/>
          </w:cols>
          <w:pgMar w:left="240" w:top="444" w:right="2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120" w:right="200" w:hanging="319"/>
        <w:spacing w:after="0" w:line="279"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 our annual audited financial statements, quarterly financial statements and other significant financial disclosures with management and our independent auditors;</w:t>
      </w:r>
    </w:p>
    <w:p>
      <w:pPr>
        <w:spacing w:after="0" w:line="34" w:lineRule="exact"/>
        <w:rPr>
          <w:rFonts w:ascii="Arial" w:cs="Arial" w:eastAsia="Arial" w:hAnsi="Arial"/>
          <w:sz w:val="17"/>
          <w:szCs w:val="17"/>
          <w:color w:val="auto"/>
        </w:rPr>
      </w:pPr>
    </w:p>
    <w:p>
      <w:pPr>
        <w:ind w:left="1120" w:right="60" w:hanging="319"/>
        <w:spacing w:after="0" w:line="279"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34" w:lineRule="exact"/>
        <w:rPr>
          <w:rFonts w:ascii="Arial" w:cs="Arial" w:eastAsia="Arial" w:hAnsi="Arial"/>
          <w:sz w:val="17"/>
          <w:szCs w:val="17"/>
          <w:color w:val="auto"/>
        </w:rPr>
      </w:pPr>
    </w:p>
    <w:p>
      <w:pPr>
        <w:ind w:left="1120" w:hanging="319"/>
        <w:spacing w:after="0"/>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annually review and assess the performance of the Audit Committee and the adequacy of its charter;</w:t>
      </w:r>
    </w:p>
    <w:p>
      <w:pPr>
        <w:spacing w:after="0" w:line="87" w:lineRule="exact"/>
        <w:rPr>
          <w:rFonts w:ascii="Arial" w:cs="Arial" w:eastAsia="Arial" w:hAnsi="Arial"/>
          <w:sz w:val="17"/>
          <w:szCs w:val="17"/>
          <w:color w:val="auto"/>
        </w:rPr>
      </w:pPr>
    </w:p>
    <w:p>
      <w:pPr>
        <w:ind w:left="1120" w:hanging="319"/>
        <w:spacing w:after="0"/>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 policies with respect to risk assessment and risk management; and</w:t>
      </w:r>
    </w:p>
    <w:p>
      <w:pPr>
        <w:spacing w:after="0" w:line="87" w:lineRule="exact"/>
        <w:rPr>
          <w:rFonts w:ascii="Arial" w:cs="Arial" w:eastAsia="Arial" w:hAnsi="Arial"/>
          <w:sz w:val="17"/>
          <w:szCs w:val="17"/>
          <w:color w:val="auto"/>
        </w:rPr>
      </w:pPr>
    </w:p>
    <w:p>
      <w:pPr>
        <w:ind w:left="1120" w:hanging="319"/>
        <w:spacing w:after="0"/>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prepare the report that is required to be included in our annual proxy statement regarding review of financial statements and auditor independence.</w:t>
      </w:r>
    </w:p>
    <w:p>
      <w:pPr>
        <w:spacing w:after="0" w:line="214" w:lineRule="exact"/>
        <w:rPr>
          <w:sz w:val="20"/>
          <w:szCs w:val="20"/>
          <w:color w:val="auto"/>
        </w:rPr>
      </w:pPr>
    </w:p>
    <w:p>
      <w:pPr>
        <w:ind w:right="680" w:firstLine="799"/>
        <w:spacing w:after="0" w:line="279" w:lineRule="auto"/>
        <w:rPr>
          <w:sz w:val="20"/>
          <w:szCs w:val="20"/>
          <w:color w:val="auto"/>
        </w:rPr>
      </w:pPr>
      <w:r>
        <w:rPr>
          <w:rFonts w:ascii="Arial" w:cs="Arial" w:eastAsia="Arial" w:hAnsi="Arial"/>
          <w:sz w:val="17"/>
          <w:szCs w:val="17"/>
          <w:color w:val="auto"/>
        </w:rPr>
        <w:t>Our Audit Committee’s report on our financial statements for the fiscal year ended March 31, 2014 is presented below under the heading “Audit Committee Report.”</w:t>
      </w:r>
    </w:p>
    <w:p>
      <w:pPr>
        <w:spacing w:after="0" w:line="125" w:lineRule="exact"/>
        <w:rPr>
          <w:sz w:val="20"/>
          <w:szCs w:val="20"/>
          <w:color w:val="auto"/>
        </w:rPr>
      </w:pPr>
    </w:p>
    <w:p>
      <w:pPr>
        <w:ind w:right="40" w:firstLine="799"/>
        <w:spacing w:after="0" w:line="266" w:lineRule="auto"/>
        <w:rPr>
          <w:sz w:val="20"/>
          <w:szCs w:val="20"/>
          <w:color w:val="auto"/>
        </w:rPr>
      </w:pPr>
      <w:r>
        <w:rPr>
          <w:rFonts w:ascii="Arial" w:cs="Arial" w:eastAsia="Arial" w:hAnsi="Arial"/>
          <w:sz w:val="17"/>
          <w:szCs w:val="17"/>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Compensation Committee</w:t>
      </w:r>
    </w:p>
    <w:p>
      <w:pPr>
        <w:spacing w:after="0" w:line="191" w:lineRule="exact"/>
        <w:rPr>
          <w:sz w:val="20"/>
          <w:szCs w:val="20"/>
          <w:color w:val="auto"/>
        </w:rPr>
      </w:pPr>
    </w:p>
    <w:p>
      <w:pPr>
        <w:ind w:right="240" w:firstLine="799"/>
        <w:spacing w:after="0" w:line="294" w:lineRule="auto"/>
        <w:rPr>
          <w:sz w:val="20"/>
          <w:szCs w:val="20"/>
          <w:color w:val="auto"/>
        </w:rPr>
      </w:pPr>
      <w:r>
        <w:rPr>
          <w:rFonts w:ascii="Arial" w:cs="Arial" w:eastAsia="Arial" w:hAnsi="Arial"/>
          <w:sz w:val="15"/>
          <w:szCs w:val="15"/>
          <w:color w:val="auto"/>
        </w:rPr>
        <w:t>Our Board’s Compensation Committee is composed of independent directors who meet the corporate governance standards of the NYSE including the additional NYSE independence requirements for directors serving on compensation committees, qualify as “non-employee directors” within the meaning of Rule</w:t>
      </w:r>
    </w:p>
    <w:p>
      <w:pPr>
        <w:spacing w:after="0" w:line="273" w:lineRule="auto"/>
        <w:rPr>
          <w:sz w:val="20"/>
          <w:szCs w:val="20"/>
          <w:color w:val="auto"/>
        </w:rPr>
      </w:pPr>
      <w:r>
        <w:rPr>
          <w:rFonts w:ascii="Arial" w:cs="Arial" w:eastAsia="Arial" w:hAnsi="Arial"/>
          <w:sz w:val="16"/>
          <w:szCs w:val="16"/>
          <w:color w:val="auto"/>
        </w:rPr>
        <w:t xml:space="preserve">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18 of this proxy statement.</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Certain key functions and responsibilities of our Compensation Committee are to:</w:t>
      </w:r>
    </w:p>
    <w:p>
      <w:pPr>
        <w:spacing w:after="0" w:line="88" w:lineRule="exact"/>
        <w:rPr>
          <w:sz w:val="20"/>
          <w:szCs w:val="20"/>
          <w:color w:val="auto"/>
        </w:rPr>
      </w:pPr>
    </w:p>
    <w:p>
      <w:pPr>
        <w:jc w:val="both"/>
        <w:ind w:left="1120" w:right="440" w:hanging="319"/>
        <w:spacing w:after="0" w:line="266"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45" w:lineRule="exact"/>
        <w:rPr>
          <w:rFonts w:ascii="Arial" w:cs="Arial" w:eastAsia="Arial" w:hAnsi="Arial"/>
          <w:sz w:val="17"/>
          <w:szCs w:val="17"/>
          <w:color w:val="auto"/>
        </w:rPr>
      </w:pPr>
    </w:p>
    <w:p>
      <w:pPr>
        <w:ind w:left="1120" w:right="340" w:hanging="319"/>
        <w:spacing w:after="0" w:line="266"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45" w:lineRule="exact"/>
        <w:rPr>
          <w:rFonts w:ascii="Arial" w:cs="Arial" w:eastAsia="Arial" w:hAnsi="Arial"/>
          <w:sz w:val="17"/>
          <w:szCs w:val="17"/>
          <w:color w:val="auto"/>
        </w:rPr>
      </w:pPr>
    </w:p>
    <w:p>
      <w:pPr>
        <w:ind w:left="1120" w:right="220" w:hanging="319"/>
        <w:spacing w:after="0" w:line="340"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ind w:left="1120" w:hanging="319"/>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administer the Company’s compensation plans for which it is named as plan administrator, including our Incentive Plan;</w:t>
      </w:r>
    </w:p>
    <w:p>
      <w:pPr>
        <w:spacing w:after="0" w:line="87" w:lineRule="exact"/>
        <w:rPr>
          <w:rFonts w:ascii="Arial" w:cs="Arial" w:eastAsia="Arial" w:hAnsi="Arial"/>
          <w:sz w:val="17"/>
          <w:szCs w:val="17"/>
          <w:color w:val="auto"/>
        </w:rPr>
      </w:pPr>
    </w:p>
    <w:p>
      <w:pPr>
        <w:ind w:left="1120" w:hanging="319"/>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 on compensation policies and practices with respect to our executive officers as required by SEC rules; and</w:t>
      </w:r>
    </w:p>
    <w:p>
      <w:pPr>
        <w:spacing w:after="0" w:line="126" w:lineRule="exact"/>
        <w:rPr>
          <w:rFonts w:ascii="Arial" w:cs="Arial" w:eastAsia="Arial" w:hAnsi="Arial"/>
          <w:sz w:val="17"/>
          <w:szCs w:val="17"/>
          <w:color w:val="auto"/>
        </w:rPr>
      </w:pPr>
    </w:p>
    <w:p>
      <w:pPr>
        <w:ind w:left="1120" w:right="140" w:hanging="319"/>
        <w:spacing w:after="0" w:line="279"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and assess the performance of the Compensation Committee and the adequacy of its charter annually and recommend any proposed changes to the Board.</w:t>
      </w:r>
    </w:p>
    <w:p>
      <w:pPr>
        <w:spacing w:after="0" w:line="125" w:lineRule="exact"/>
        <w:rPr>
          <w:sz w:val="20"/>
          <w:szCs w:val="20"/>
          <w:color w:val="auto"/>
        </w:rPr>
      </w:pPr>
    </w:p>
    <w:p>
      <w:pPr>
        <w:ind w:right="60" w:firstLine="799"/>
        <w:spacing w:after="0" w:line="257" w:lineRule="auto"/>
        <w:rPr>
          <w:sz w:val="20"/>
          <w:szCs w:val="20"/>
          <w:color w:val="auto"/>
        </w:rPr>
      </w:pPr>
      <w:r>
        <w:rPr>
          <w:rFonts w:ascii="Arial" w:cs="Arial" w:eastAsia="Arial" w:hAnsi="Arial"/>
          <w:sz w:val="17"/>
          <w:szCs w:val="17"/>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2015, which expires on May 31, 2015,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2014, 20,000 stock options were granted to employees under this authority out of a maximum of 60,000.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4"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Our Compensation Committee’s report for the fiscal year ended March 31, 2014 is presented below under the heading “Compensation Committee Report” beginning on page 17 of this proxy statement.</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Compensation Committee meets as often as it deems appropriate, but no less than twice per year.</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Governance Committee</w:t>
      </w:r>
    </w:p>
    <w:p>
      <w:pPr>
        <w:spacing w:after="0" w:line="178" w:lineRule="exact"/>
        <w:rPr>
          <w:sz w:val="20"/>
          <w:szCs w:val="20"/>
          <w:color w:val="auto"/>
        </w:rPr>
      </w:pPr>
    </w:p>
    <w:p>
      <w:pPr>
        <w:ind w:right="180" w:firstLine="799"/>
        <w:spacing w:after="0" w:line="258" w:lineRule="auto"/>
        <w:rPr>
          <w:sz w:val="20"/>
          <w:szCs w:val="20"/>
          <w:color w:val="auto"/>
        </w:rPr>
      </w:pPr>
      <w:r>
        <w:rPr>
          <w:rFonts w:ascii="Arial" w:cs="Arial" w:eastAsia="Arial" w:hAnsi="Arial"/>
          <w:sz w:val="17"/>
          <w:szCs w:val="17"/>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Certain key functions and responsibilities of our Governance Committee are to:</w:t>
      </w:r>
    </w:p>
    <w:p>
      <w:pPr>
        <w:spacing w:after="0" w:line="217" w:lineRule="exact"/>
        <w:rPr>
          <w:sz w:val="20"/>
          <w:szCs w:val="20"/>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periodically review and recommend a set of corporate governance guidelines for the Company to the Board;</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periodically review corporate governance matters generally and recommend action to the Board where appropriate;</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 and assess the adequacy of its charter annually and recommend any proposed changes to our Board for approval;</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monitor the quality and sufficiency of information furnished by management to our Board;</w:t>
      </w:r>
    </w:p>
    <w:p>
      <w:pPr>
        <w:spacing w:after="0" w:line="74" w:lineRule="exact"/>
        <w:rPr>
          <w:rFonts w:ascii="Arial" w:cs="Arial" w:eastAsia="Arial" w:hAnsi="Arial"/>
          <w:sz w:val="17"/>
          <w:szCs w:val="17"/>
          <w:color w:val="auto"/>
        </w:rPr>
      </w:pPr>
    </w:p>
    <w:p>
      <w:pPr>
        <w:ind w:left="1120" w:right="20" w:hanging="319"/>
        <w:spacing w:after="0" w:line="279"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actively seek, recruit, screen, and interview individuals qualified to become members of the Board, and consider management’s recommendations for director candidates;</w:t>
      </w:r>
    </w:p>
    <w:p>
      <w:pPr>
        <w:spacing w:after="0" w:line="21"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 the qualifications and performance of incumbent directors and determine whether to recommend them for re-election to the Board;</w:t>
      </w:r>
    </w:p>
    <w:p>
      <w:pPr>
        <w:spacing w:after="0" w:line="86" w:lineRule="exact"/>
        <w:rPr>
          <w:rFonts w:ascii="Arial" w:cs="Arial" w:eastAsia="Arial" w:hAnsi="Arial"/>
          <w:sz w:val="16"/>
          <w:szCs w:val="16"/>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and periodically re-evaluate criteria for Board membership;</w:t>
      </w:r>
    </w:p>
    <w:p>
      <w:pPr>
        <w:spacing w:after="0" w:line="126"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recommend to the Board the director nominees for each annual stockholders’ meeting; and</w:t>
      </w:r>
    </w:p>
    <w:p>
      <w:pPr>
        <w:spacing w:after="0" w:line="126" w:lineRule="exact"/>
        <w:rPr>
          <w:rFonts w:ascii="Arial" w:cs="Arial" w:eastAsia="Arial" w:hAnsi="Arial"/>
          <w:sz w:val="17"/>
          <w:szCs w:val="17"/>
          <w:color w:val="auto"/>
        </w:rPr>
      </w:pPr>
    </w:p>
    <w:p>
      <w:pPr>
        <w:ind w:left="1120" w:hanging="319"/>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recommend to the Board nominees for each committee of the Board.</w:t>
      </w:r>
    </w:p>
    <w:p>
      <w:pPr>
        <w:spacing w:after="0" w:line="178" w:lineRule="exact"/>
        <w:rPr>
          <w:sz w:val="20"/>
          <w:szCs w:val="20"/>
          <w:color w:val="auto"/>
        </w:rPr>
      </w:pPr>
    </w:p>
    <w:p>
      <w:pPr>
        <w:jc w:val="both"/>
        <w:ind w:right="40" w:firstLine="799"/>
        <w:spacing w:after="0" w:line="261" w:lineRule="auto"/>
        <w:rPr>
          <w:sz w:val="20"/>
          <w:szCs w:val="20"/>
          <w:color w:val="auto"/>
        </w:rPr>
      </w:pPr>
      <w:r>
        <w:rPr>
          <w:rFonts w:ascii="Arial" w:cs="Arial" w:eastAsia="Arial" w:hAnsi="Arial"/>
          <w:sz w:val="17"/>
          <w:szCs w:val="17"/>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41" w:lineRule="exact"/>
        <w:rPr>
          <w:sz w:val="20"/>
          <w:szCs w:val="20"/>
          <w:color w:val="auto"/>
        </w:rPr>
      </w:pPr>
    </w:p>
    <w:p>
      <w:pPr>
        <w:ind w:right="100" w:firstLine="799"/>
        <w:spacing w:after="0" w:line="279"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41" w:lineRule="exact"/>
        <w:rPr>
          <w:sz w:val="20"/>
          <w:szCs w:val="20"/>
          <w:color w:val="auto"/>
        </w:rPr>
      </w:pPr>
    </w:p>
    <w:p>
      <w:pPr>
        <w:ind w:firstLine="799"/>
        <w:spacing w:after="0" w:line="261" w:lineRule="auto"/>
        <w:rPr>
          <w:sz w:val="20"/>
          <w:szCs w:val="20"/>
          <w:color w:val="auto"/>
        </w:rPr>
      </w:pPr>
      <w:r>
        <w:rPr>
          <w:rFonts w:ascii="Arial" w:cs="Arial" w:eastAsia="Arial" w:hAnsi="Arial"/>
          <w:sz w:val="17"/>
          <w:szCs w:val="17"/>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41" w:lineRule="exact"/>
        <w:rPr>
          <w:sz w:val="20"/>
          <w:szCs w:val="20"/>
          <w:color w:val="auto"/>
        </w:rPr>
      </w:pPr>
    </w:p>
    <w:p>
      <w:pPr>
        <w:ind w:right="20" w:firstLine="799"/>
        <w:spacing w:after="0" w:line="261" w:lineRule="auto"/>
        <w:rPr>
          <w:sz w:val="20"/>
          <w:szCs w:val="20"/>
          <w:color w:val="auto"/>
        </w:rPr>
      </w:pPr>
      <w:r>
        <w:rPr>
          <w:rFonts w:ascii="Arial" w:cs="Arial" w:eastAsia="Arial" w:hAnsi="Arial"/>
          <w:sz w:val="17"/>
          <w:szCs w:val="17"/>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41" w:lineRule="exact"/>
        <w:rPr>
          <w:sz w:val="20"/>
          <w:szCs w:val="20"/>
          <w:color w:val="auto"/>
        </w:rPr>
      </w:pPr>
    </w:p>
    <w:p>
      <w:pPr>
        <w:jc w:val="both"/>
        <w:ind w:right="180" w:firstLine="799"/>
        <w:spacing w:after="0" w:line="261" w:lineRule="auto"/>
        <w:rPr>
          <w:sz w:val="20"/>
          <w:szCs w:val="20"/>
          <w:color w:val="auto"/>
        </w:rPr>
      </w:pPr>
      <w:r>
        <w:rPr>
          <w:rFonts w:ascii="Arial" w:cs="Arial" w:eastAsia="Arial" w:hAnsi="Arial"/>
          <w:sz w:val="17"/>
          <w:szCs w:val="17"/>
          <w:color w:val="auto"/>
        </w:rPr>
        <w:t>Our Bylaws provide that, to be considered at the 2015 annual meeting, stockholder nominations for the Board of Directors must be submitted in writing and received by our Secretary at the executive offices of the Company during the period beginning on February 8, 2015 and ending May 9, 2015,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4"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No nominees for election to the Board at our 2014 annual meeting of stockholders were submitted by stockholders or groups of stockholders owning more than 5% of our Common Stock.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Executive Committee</w:t>
      </w:r>
    </w:p>
    <w:p>
      <w:pPr>
        <w:spacing w:after="0" w:line="178" w:lineRule="exact"/>
        <w:rPr>
          <w:sz w:val="20"/>
          <w:szCs w:val="20"/>
          <w:color w:val="auto"/>
        </w:rPr>
      </w:pPr>
    </w:p>
    <w:p>
      <w:pPr>
        <w:ind w:right="260" w:firstLine="799"/>
        <w:spacing w:after="0" w:line="259"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97" w:lineRule="exact"/>
        <w:rPr>
          <w:sz w:val="20"/>
          <w:szCs w:val="20"/>
          <w:color w:val="auto"/>
        </w:rPr>
      </w:pPr>
    </w:p>
    <w:p>
      <w:pPr>
        <w:ind w:right="180" w:firstLine="799"/>
        <w:spacing w:after="0" w:line="279" w:lineRule="auto"/>
        <w:rPr>
          <w:sz w:val="20"/>
          <w:szCs w:val="20"/>
          <w:color w:val="auto"/>
        </w:rPr>
      </w:pPr>
      <w:r>
        <w:rPr>
          <w:rFonts w:ascii="Arial" w:cs="Arial" w:eastAsia="Arial" w:hAnsi="Arial"/>
          <w:sz w:val="17"/>
          <w:szCs w:val="17"/>
          <w:color w:val="auto"/>
        </w:rPr>
        <w:t>No member of our Compensation Committee had a relationship during the fiscal year ended March 31, 2014 that requires disclosure as a Compensation Committee interlock.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Contact Our Board</w:t>
      </w:r>
    </w:p>
    <w:p>
      <w:pPr>
        <w:spacing w:after="0" w:line="184" w:lineRule="exact"/>
        <w:rPr>
          <w:sz w:val="20"/>
          <w:szCs w:val="20"/>
          <w:color w:val="auto"/>
        </w:rPr>
      </w:pPr>
    </w:p>
    <w:p>
      <w:pPr>
        <w:ind w:right="100" w:firstLine="799"/>
        <w:spacing w:after="0" w:line="259" w:lineRule="auto"/>
        <w:rPr>
          <w:sz w:val="20"/>
          <w:szCs w:val="20"/>
          <w:color w:val="auto"/>
        </w:rPr>
      </w:pPr>
      <w:r>
        <w:rPr>
          <w:rFonts w:ascii="Arial" w:cs="Arial" w:eastAsia="Arial" w:hAnsi="Arial"/>
          <w:sz w:val="17"/>
          <w:szCs w:val="17"/>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4"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197"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2014 and who is not also a member of our Board. Except as noted below, all of these persons have been elected to serve until the next annual meeting of our Board or until their earlier resignation or removal.</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7960" w:type="dxa"/>
            <w:vAlign w:val="bottom"/>
            <w:gridSpan w:val="3"/>
          </w:tcPr>
          <w:p>
            <w:pPr>
              <w:ind w:left="3960"/>
              <w:spacing w:after="0"/>
              <w:rPr>
                <w:sz w:val="20"/>
                <w:szCs w:val="20"/>
                <w:color w:val="auto"/>
              </w:rPr>
            </w:pPr>
            <w:r>
              <w:rPr>
                <w:rFonts w:ascii="Arial" w:cs="Arial" w:eastAsia="Arial" w:hAnsi="Arial"/>
                <w:sz w:val="14"/>
                <w:szCs w:val="14"/>
                <w:b w:val="1"/>
                <w:bCs w:val="1"/>
                <w:color w:val="auto"/>
              </w:rPr>
              <w:t>Title</w:t>
            </w:r>
          </w:p>
        </w:tc>
      </w:tr>
      <w:tr>
        <w:trPr>
          <w:trHeight w:val="348"/>
        </w:trPr>
        <w:tc>
          <w:tcPr>
            <w:tcW w:w="1660" w:type="dxa"/>
            <w:vAlign w:val="bottom"/>
            <w:gridSpan w:val="3"/>
          </w:tcPr>
          <w:p>
            <w:pPr>
              <w:spacing w:after="0"/>
              <w:rPr>
                <w:sz w:val="20"/>
                <w:szCs w:val="20"/>
                <w:color w:val="auto"/>
              </w:rPr>
            </w:pPr>
            <w:r>
              <w:rPr>
                <w:rFonts w:ascii="Arial" w:cs="Arial" w:eastAsia="Arial" w:hAnsi="Arial"/>
                <w:sz w:val="17"/>
                <w:szCs w:val="17"/>
                <w:color w:val="auto"/>
              </w:rPr>
              <w:t>D. Craig Kesler</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38</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2"/>
              </w:rPr>
              <w:t>Executive Vice President – Finance and Administration and Chief Financial Officer (has held current office since</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2"/>
              </w:rPr>
              <w:t>August 2009; Vice President – Investor Relations and Corporate Development from March 2005 through August</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2009; Audit Manager of Ernst &amp; Young LLP from April 2002 through September 2004).</w:t>
            </w:r>
          </w:p>
        </w:tc>
      </w:tr>
      <w:tr>
        <w:trPr>
          <w:trHeight w:val="363"/>
        </w:trPr>
        <w:tc>
          <w:tcPr>
            <w:tcW w:w="1660" w:type="dxa"/>
            <w:vAlign w:val="bottom"/>
            <w:gridSpan w:val="3"/>
          </w:tcPr>
          <w:p>
            <w:pPr>
              <w:spacing w:after="0"/>
              <w:rPr>
                <w:sz w:val="20"/>
                <w:szCs w:val="20"/>
                <w:color w:val="auto"/>
              </w:rPr>
            </w:pPr>
            <w:r>
              <w:rPr>
                <w:rFonts w:ascii="Arial" w:cs="Arial" w:eastAsia="Arial" w:hAnsi="Arial"/>
                <w:sz w:val="17"/>
                <w:szCs w:val="17"/>
                <w:color w:val="auto"/>
              </w:rPr>
              <w:t>Gerald J. Essl</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64</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Executive Vice President – Cement/Aggregates and Concrete</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4"/>
              </w:rPr>
              <w:t>(has held current office since January 2003; President of Texas Lehigh Cement Company from 1985 through</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December 2002).</w:t>
            </w:r>
          </w:p>
        </w:tc>
      </w:tr>
      <w:tr>
        <w:trPr>
          <w:trHeight w:val="375"/>
        </w:trPr>
        <w:tc>
          <w:tcPr>
            <w:tcW w:w="1660" w:type="dxa"/>
            <w:vAlign w:val="bottom"/>
            <w:gridSpan w:val="3"/>
          </w:tcPr>
          <w:p>
            <w:pPr>
              <w:spacing w:after="0"/>
              <w:rPr>
                <w:sz w:val="20"/>
                <w:szCs w:val="20"/>
                <w:color w:val="auto"/>
              </w:rPr>
            </w:pPr>
            <w:r>
              <w:rPr>
                <w:rFonts w:ascii="Arial" w:cs="Arial" w:eastAsia="Arial" w:hAnsi="Arial"/>
                <w:sz w:val="17"/>
                <w:szCs w:val="17"/>
                <w:color w:val="auto"/>
              </w:rPr>
              <w:t>James H. Graass</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56</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Executive Vice President, General Counsel and Secretary</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2"/>
              </w:rPr>
              <w:t>(Executive Vice President and General Counsel since November 2000; Mr. Graass was named Secretary of the</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Company in July 2001).</w:t>
            </w:r>
          </w:p>
        </w:tc>
      </w:tr>
      <w:tr>
        <w:trPr>
          <w:trHeight w:val="375"/>
        </w:trPr>
        <w:tc>
          <w:tcPr>
            <w:tcW w:w="1660" w:type="dxa"/>
            <w:vAlign w:val="bottom"/>
            <w:gridSpan w:val="3"/>
          </w:tcPr>
          <w:p>
            <w:pPr>
              <w:spacing w:after="0"/>
              <w:rPr>
                <w:sz w:val="20"/>
                <w:szCs w:val="20"/>
                <w:color w:val="auto"/>
              </w:rPr>
            </w:pPr>
            <w:r>
              <w:rPr>
                <w:rFonts w:ascii="Arial" w:cs="Arial" w:eastAsia="Arial" w:hAnsi="Arial"/>
                <w:sz w:val="17"/>
                <w:szCs w:val="17"/>
                <w:color w:val="auto"/>
              </w:rPr>
              <w:t>David B. Powers</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64</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Executive Vice President – Gypsum and President of American Gypsum Company</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5"/>
              </w:rPr>
              <w:t>(has held current office since January 2005; Executive Vice President – Marketing, Sales and Distribution of</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5"/>
              </w:rPr>
              <w:t>American Gypsum Company from June 2002 through December 2004; Vice President, Customer Service of</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8"/>
              </w:rPr>
              <w:t>USG Corporation from 2000 through 2002; Vice President, Specialty Products and Architectural Systems</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Business of USG Corporation from 1998 through 2000).</w:t>
            </w:r>
          </w:p>
        </w:tc>
      </w:tr>
      <w:tr>
        <w:trPr>
          <w:trHeight w:val="375"/>
        </w:trPr>
        <w:tc>
          <w:tcPr>
            <w:tcW w:w="1660" w:type="dxa"/>
            <w:vAlign w:val="bottom"/>
            <w:gridSpan w:val="3"/>
          </w:tcPr>
          <w:p>
            <w:pPr>
              <w:spacing w:after="0"/>
              <w:rPr>
                <w:sz w:val="20"/>
                <w:szCs w:val="20"/>
                <w:color w:val="auto"/>
              </w:rPr>
            </w:pPr>
            <w:r>
              <w:rPr>
                <w:rFonts w:ascii="Arial" w:cs="Arial" w:eastAsia="Arial" w:hAnsi="Arial"/>
                <w:sz w:val="17"/>
                <w:szCs w:val="17"/>
                <w:color w:val="auto"/>
              </w:rPr>
              <w:t>Robert S. Stewart</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60</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Executive Vice President – Strategy, Corporate Development and Communications</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6"/>
              </w:rPr>
              <w:t>(has held current office since August 2009; Senior Vice President of Centex Corporation from 2000 through</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August 2009).</w:t>
            </w:r>
          </w:p>
        </w:tc>
      </w:tr>
      <w:tr>
        <w:trPr>
          <w:trHeight w:val="375"/>
        </w:trPr>
        <w:tc>
          <w:tcPr>
            <w:tcW w:w="1660" w:type="dxa"/>
            <w:vAlign w:val="bottom"/>
            <w:gridSpan w:val="3"/>
          </w:tcPr>
          <w:p>
            <w:pPr>
              <w:spacing w:after="0"/>
              <w:rPr>
                <w:sz w:val="20"/>
                <w:szCs w:val="20"/>
                <w:color w:val="auto"/>
              </w:rPr>
            </w:pPr>
            <w:r>
              <w:rPr>
                <w:rFonts w:ascii="Arial" w:cs="Arial" w:eastAsia="Arial" w:hAnsi="Arial"/>
                <w:sz w:val="17"/>
                <w:szCs w:val="17"/>
                <w:color w:val="auto"/>
              </w:rPr>
              <w:t>William R. Devlin</w:t>
            </w:r>
          </w:p>
        </w:tc>
        <w:tc>
          <w:tcPr>
            <w:tcW w:w="620" w:type="dxa"/>
            <w:vAlign w:val="bottom"/>
            <w:gridSpan w:val="2"/>
          </w:tcPr>
          <w:p>
            <w:pPr>
              <w:jc w:val="center"/>
              <w:ind w:left="294"/>
              <w:spacing w:after="0"/>
              <w:rPr>
                <w:sz w:val="20"/>
                <w:szCs w:val="20"/>
                <w:color w:val="auto"/>
              </w:rPr>
            </w:pPr>
            <w:r>
              <w:rPr>
                <w:rFonts w:ascii="Arial" w:cs="Arial" w:eastAsia="Arial" w:hAnsi="Arial"/>
                <w:sz w:val="17"/>
                <w:szCs w:val="17"/>
                <w:color w:val="auto"/>
                <w:w w:val="84"/>
              </w:rPr>
              <w:t>48</w:t>
            </w: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Senior Vice President, Controller and Chief Accounting Officer</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w w:val="95"/>
              </w:rPr>
              <w:t>(has held current office since August 2009; Vice President and Controller from October 2005 through August</w:t>
            </w:r>
          </w:p>
        </w:tc>
      </w:tr>
      <w:tr>
        <w:trPr>
          <w:trHeight w:val="206"/>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2009; Director of Internal Audit from September 2004 through September 2005; Senior Manager of</w:t>
            </w:r>
          </w:p>
        </w:tc>
      </w:tr>
      <w:tr>
        <w:trPr>
          <w:trHeight w:val="217"/>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60" w:type="dxa"/>
            <w:vAlign w:val="bottom"/>
            <w:gridSpan w:val="3"/>
          </w:tcPr>
          <w:p>
            <w:pPr>
              <w:ind w:left="180"/>
              <w:spacing w:after="0"/>
              <w:rPr>
                <w:sz w:val="20"/>
                <w:szCs w:val="20"/>
                <w:color w:val="auto"/>
              </w:rPr>
            </w:pPr>
            <w:r>
              <w:rPr>
                <w:rFonts w:ascii="Arial" w:cs="Arial" w:eastAsia="Arial" w:hAnsi="Arial"/>
                <w:sz w:val="17"/>
                <w:szCs w:val="17"/>
                <w:color w:val="auto"/>
              </w:rPr>
              <w:t>PricewaterhouseCoopers LLP from July 1999 through August 2004).</w:t>
            </w:r>
          </w:p>
        </w:tc>
      </w:tr>
      <w:tr>
        <w:trPr>
          <w:trHeight w:val="361"/>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ind w:left="2760"/>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300"/>
          </w:cols>
          <w:pgMar w:left="240" w:top="444" w:right="3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COMPENSATION COMMITTEE REPORT</w:t>
      </w:r>
    </w:p>
    <w:p>
      <w:pPr>
        <w:spacing w:after="0" w:line="19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b w:val="1"/>
          <w:bCs w:val="1"/>
          <w:u w:val="single" w:color="auto"/>
          <w:color w:val="auto"/>
        </w:rPr>
        <w:t>Compensation Committee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Richard R. Stewart, </w:t>
      </w:r>
      <w:r>
        <w:rPr>
          <w:rFonts w:ascii="Arial" w:cs="Arial" w:eastAsia="Arial" w:hAnsi="Arial"/>
          <w:sz w:val="17"/>
          <w:szCs w:val="17"/>
          <w:i w:val="1"/>
          <w:iCs w:val="1"/>
          <w:color w:val="auto"/>
        </w:rPr>
        <w:t>Chairman</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Ed H. Bowman</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Michael R. Nicolais</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20"/>
          </w:cols>
          <w:pgMar w:left="240" w:top="444" w:right="8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82180" cy="6709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180" cy="670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Our Strong Performance</w:t>
      </w:r>
    </w:p>
    <w:p>
      <w:pPr>
        <w:spacing w:after="0" w:line="197" w:lineRule="exact"/>
        <w:rPr>
          <w:sz w:val="20"/>
          <w:szCs w:val="20"/>
          <w:color w:val="auto"/>
        </w:rPr>
      </w:pPr>
    </w:p>
    <w:p>
      <w:pPr>
        <w:ind w:left="200" w:right="140" w:firstLine="775"/>
        <w:spacing w:after="0" w:line="302" w:lineRule="auto"/>
        <w:rPr>
          <w:sz w:val="20"/>
          <w:szCs w:val="20"/>
          <w:color w:val="auto"/>
        </w:rPr>
      </w:pPr>
      <w:r>
        <w:rPr>
          <w:rFonts w:ascii="Arial" w:cs="Arial" w:eastAsia="Arial" w:hAnsi="Arial"/>
          <w:sz w:val="15"/>
          <w:szCs w:val="15"/>
          <w:color w:val="auto"/>
        </w:rPr>
        <w:t>Because Eagle Materials operates in the highly cyclical construction products industry,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that has bearing on management rewards. For purposes of the discussion that follows, our “direct peers” are four domestic public company competitors, our “industry peers” are the direct peers plus international industry participants, and our “compensation peers” are the direct peers plus supplemental peers, in each case as described more fully in the “Benchmarking” section below.</w:t>
      </w:r>
    </w:p>
    <w:p>
      <w:pPr>
        <w:spacing w:after="0" w:line="112" w:lineRule="exact"/>
        <w:rPr>
          <w:sz w:val="20"/>
          <w:szCs w:val="20"/>
          <w:color w:val="auto"/>
        </w:rPr>
      </w:pPr>
    </w:p>
    <w:p>
      <w:pPr>
        <w:ind w:left="200" w:right="40" w:firstLine="775"/>
        <w:spacing w:after="0" w:line="274" w:lineRule="auto"/>
        <w:rPr>
          <w:sz w:val="20"/>
          <w:szCs w:val="20"/>
          <w:color w:val="auto"/>
        </w:rPr>
      </w:pPr>
      <w:r>
        <w:rPr>
          <w:rFonts w:ascii="Arial" w:cs="Arial" w:eastAsia="Arial" w:hAnsi="Arial"/>
          <w:sz w:val="16"/>
          <w:szCs w:val="16"/>
          <w:color w:val="auto"/>
        </w:rPr>
        <w:t xml:space="preserve">The Compensation Committee believes that certain operational/financial metrics, including those that are relevant to a company’s position as a low-cost producer, are important to maintaining a long-term competitive advantage in commodity businesses like those in which Eagle participates and are key factors in assessing the Company’s performance against its industry peers. In line with our belief, in setting compensation for our fiscal year ended March 31, 2014, our Compensation Committee reviewed (at the beginning of such fiscal year) the Company’s performance against its direct peers and industry peers using several different metrics, including net income growth (five-, three- and one-year), revenue growth (five-, three- and one-year), return on equity (five- and three-year), return on assets (five- and three-year), earnings per share, and total shareholder return (ten-, five-, three- and one-year and since the Company’s initial public offering in 1994). </w:t>
      </w:r>
      <w:r>
        <w:rPr>
          <w:rFonts w:ascii="Arial" w:cs="Arial" w:eastAsia="Arial" w:hAnsi="Arial"/>
          <w:sz w:val="16"/>
          <w:szCs w:val="16"/>
          <w:b w:val="1"/>
          <w:bCs w:val="1"/>
          <w:i w:val="1"/>
          <w:iCs w:val="1"/>
          <w:color w:val="auto"/>
        </w:rPr>
        <w:t>The Company outperformed all of the direct peer group in nine of the 16 categories, including every measure of total shareholder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return and revenue growth, and was below the median in only two categories. The Company outperformed all of the industry peer group in eight of the 16 categories and was above the median in all but four categories.</w:t>
      </w:r>
    </w:p>
    <w:p>
      <w:pPr>
        <w:spacing w:after="0" w:line="131" w:lineRule="exact"/>
        <w:rPr>
          <w:sz w:val="20"/>
          <w:szCs w:val="20"/>
          <w:color w:val="auto"/>
        </w:rPr>
      </w:pPr>
    </w:p>
    <w:p>
      <w:pPr>
        <w:ind w:left="200" w:right="440" w:firstLine="775"/>
        <w:spacing w:after="0" w:line="279" w:lineRule="auto"/>
        <w:rPr>
          <w:sz w:val="20"/>
          <w:szCs w:val="20"/>
          <w:color w:val="auto"/>
        </w:rPr>
      </w:pPr>
      <w:r>
        <w:rPr>
          <w:rFonts w:ascii="Arial" w:cs="Arial" w:eastAsia="Arial" w:hAnsi="Arial"/>
          <w:sz w:val="17"/>
          <w:szCs w:val="17"/>
          <w:color w:val="auto"/>
        </w:rPr>
        <w:t>During our fiscal year ended March 31, 2014, the Company continued its strong performance relative to its industry peers. The following graph demonstrates Eagle’s superior performance as measured by total shareholder return relative to its industry peers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Source: Longnecker &amp; Associates. All measures are for the periods ended as of March 31, 2014.</w:t>
      </w:r>
    </w:p>
    <w:p>
      <w:pPr>
        <w:spacing w:after="0" w:line="158" w:lineRule="exact"/>
        <w:rPr>
          <w:sz w:val="20"/>
          <w:szCs w:val="20"/>
          <w:color w:val="auto"/>
        </w:rPr>
      </w:pPr>
    </w:p>
    <w:p>
      <w:pPr>
        <w:ind w:left="200"/>
        <w:spacing w:after="0" w:line="250" w:lineRule="auto"/>
        <w:rPr>
          <w:sz w:val="20"/>
          <w:szCs w:val="20"/>
          <w:color w:val="auto"/>
        </w:rPr>
      </w:pPr>
      <w:r>
        <w:rPr>
          <w:rFonts w:ascii="Arial" w:cs="Arial" w:eastAsia="Arial" w:hAnsi="Arial"/>
          <w:sz w:val="12"/>
          <w:szCs w:val="12"/>
          <w:color w:val="auto"/>
        </w:rPr>
        <w:t>Industry Peers: Martin Marietta Materials Inc., Texas Industries Inc., USG Corp., Vulcan Materials Company, Titan Cement Co. S.A., CRH, Buzzi Unicem S.p.A., Holcim Ltd., HeidelbergCement AG, Lafarge S.A., Cementos Bio-Bio S.A., Cementos Portland Valderrivas, Cemex S.A.B. de C.V., Italcementi S.p.A., Cementos Argos S.A., Headwaters Incorporated</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60"/>
          </w:cols>
          <w:pgMar w:left="240" w:top="444" w:right="3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82180" cy="6824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180" cy="682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right="220" w:firstLine="775"/>
        <w:spacing w:after="0" w:line="290" w:lineRule="auto"/>
        <w:rPr>
          <w:sz w:val="20"/>
          <w:szCs w:val="20"/>
          <w:color w:val="auto"/>
        </w:rPr>
      </w:pPr>
      <w:r>
        <w:rPr>
          <w:rFonts w:ascii="Arial" w:cs="Arial" w:eastAsia="Arial" w:hAnsi="Arial"/>
          <w:sz w:val="16"/>
          <w:szCs w:val="16"/>
          <w:color w:val="auto"/>
        </w:rPr>
        <w:t>The Company’s prudent use of debt and its low-cost position in its markets left Eagle well-positioned to capitalize during fiscal 2014 on new opportunities in the emerging construction recovery, including the ongoing integration of the assets acquired from Lafarge North America in November 2012, the ongoing development of its frac sand line of business, and the expansion of its oil well cement production capabilities.</w:t>
      </w:r>
    </w:p>
    <w:p>
      <w:pPr>
        <w:spacing w:after="0" w:line="113"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Our Compensation Practices</w:t>
      </w:r>
    </w:p>
    <w:p>
      <w:pPr>
        <w:spacing w:after="0" w:line="184" w:lineRule="exact"/>
        <w:rPr>
          <w:sz w:val="20"/>
          <w:szCs w:val="20"/>
          <w:color w:val="auto"/>
        </w:rPr>
      </w:pPr>
    </w:p>
    <w:p>
      <w:pPr>
        <w:ind w:left="200" w:right="260" w:firstLine="775"/>
        <w:spacing w:after="0" w:line="348" w:lineRule="auto"/>
        <w:rPr>
          <w:sz w:val="20"/>
          <w:szCs w:val="20"/>
          <w:color w:val="auto"/>
        </w:rPr>
      </w:pPr>
      <w:r>
        <w:rPr>
          <w:rFonts w:ascii="Arial" w:cs="Arial" w:eastAsia="Arial" w:hAnsi="Arial"/>
          <w:sz w:val="15"/>
          <w:szCs w:val="15"/>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118" w:lineRule="exact"/>
        <w:rPr>
          <w:sz w:val="20"/>
          <w:szCs w:val="20"/>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employment agreements with our executives.</w:t>
      </w:r>
    </w:p>
    <w:p>
      <w:pPr>
        <w:spacing w:after="0" w:line="216"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tax gross-up agreements with our executives.</w:t>
      </w:r>
    </w:p>
    <w:p>
      <w:pPr>
        <w:spacing w:after="0" w:line="216"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defined benefit plans are provided to our executives.</w:t>
      </w:r>
    </w:p>
    <w:p>
      <w:pPr>
        <w:spacing w:after="0" w:line="216"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incentive plan prohibits the re-pricing of options.</w:t>
      </w:r>
    </w:p>
    <w:p>
      <w:pPr>
        <w:spacing w:after="0" w:line="216"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substantial portion of our annual long-term compensation awards are performance-based.</w:t>
      </w:r>
    </w:p>
    <w:p>
      <w:pPr>
        <w:spacing w:after="0" w:line="216"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executives are provided very limited perquisites.</w:t>
      </w:r>
    </w:p>
    <w:p>
      <w:pPr>
        <w:spacing w:after="0" w:line="216" w:lineRule="exact"/>
        <w:rPr>
          <w:rFonts w:ascii="Arial" w:cs="Arial" w:eastAsia="Arial" w:hAnsi="Arial"/>
          <w:sz w:val="17"/>
          <w:szCs w:val="17"/>
          <w:color w:val="auto"/>
        </w:rPr>
      </w:pPr>
    </w:p>
    <w:p>
      <w:pPr>
        <w:ind w:left="1280" w:right="180" w:hanging="316"/>
        <w:spacing w:after="0" w:line="279"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benefits provided to our executives under the defined contribution Profit Sharing and Retirement Plan are determined on the same basis as the benefits provided all salaried employees.</w:t>
      </w:r>
    </w:p>
    <w:p>
      <w:pPr>
        <w:spacing w:after="0" w:line="163" w:lineRule="exact"/>
        <w:rPr>
          <w:rFonts w:ascii="Arial" w:cs="Arial" w:eastAsia="Arial" w:hAnsi="Arial"/>
          <w:sz w:val="17"/>
          <w:szCs w:val="17"/>
          <w:color w:val="auto"/>
        </w:rPr>
      </w:pPr>
    </w:p>
    <w:p>
      <w:pPr>
        <w:ind w:left="1280" w:hanging="316"/>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stock ownership guidelines require management to align their long-term interests with those of our stockholders.</w:t>
      </w:r>
    </w:p>
    <w:p>
      <w:pPr>
        <w:spacing w:after="0" w:line="216" w:lineRule="exact"/>
        <w:rPr>
          <w:rFonts w:ascii="Arial" w:cs="Arial" w:eastAsia="Arial" w:hAnsi="Arial"/>
          <w:sz w:val="17"/>
          <w:szCs w:val="17"/>
          <w:color w:val="auto"/>
        </w:rPr>
      </w:pPr>
    </w:p>
    <w:p>
      <w:pPr>
        <w:ind w:left="1280" w:hanging="316"/>
        <w:spacing w:after="0" w:line="279"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our insider trading policy, employees and executives are prohibited from speculating in our securities or engaging in transactions designed to hedge their ownership interests.</w:t>
      </w:r>
    </w:p>
    <w:p>
      <w:pPr>
        <w:spacing w:after="0" w:line="138" w:lineRule="exact"/>
        <w:rPr>
          <w:sz w:val="20"/>
          <w:szCs w:val="20"/>
          <w:color w:val="auto"/>
        </w:rPr>
      </w:pPr>
    </w:p>
    <w:p>
      <w:pPr>
        <w:ind w:left="200" w:right="500" w:firstLine="775"/>
        <w:spacing w:after="0" w:line="279" w:lineRule="auto"/>
        <w:rPr>
          <w:sz w:val="20"/>
          <w:szCs w:val="20"/>
          <w:color w:val="auto"/>
        </w:rPr>
      </w:pPr>
      <w:r>
        <w:rPr>
          <w:rFonts w:ascii="Arial" w:cs="Arial" w:eastAsia="Arial" w:hAnsi="Arial"/>
          <w:sz w:val="17"/>
          <w:szCs w:val="17"/>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Fiscal 2014 Compensation Highlights</w:t>
      </w:r>
    </w:p>
    <w:p>
      <w:pPr>
        <w:spacing w:after="0" w:line="184" w:lineRule="exact"/>
        <w:rPr>
          <w:sz w:val="20"/>
          <w:szCs w:val="20"/>
          <w:color w:val="auto"/>
        </w:rPr>
      </w:pPr>
    </w:p>
    <w:p>
      <w:pPr>
        <w:ind w:left="200" w:right="300" w:firstLine="775"/>
        <w:spacing w:after="0" w:line="279" w:lineRule="auto"/>
        <w:rPr>
          <w:sz w:val="20"/>
          <w:szCs w:val="20"/>
          <w:color w:val="auto"/>
        </w:rPr>
      </w:pPr>
      <w:r>
        <w:rPr>
          <w:rFonts w:ascii="Arial" w:cs="Arial" w:eastAsia="Arial" w:hAnsi="Arial"/>
          <w:sz w:val="17"/>
          <w:szCs w:val="17"/>
          <w:color w:val="auto"/>
        </w:rPr>
        <w:t>The following highlights of our executive compensation program in fiscal 2014 exemplify our long-standing commitment to sound compensation practices, including pay-for-performance.</w:t>
      </w:r>
    </w:p>
    <w:p>
      <w:pPr>
        <w:spacing w:after="0" w:line="164" w:lineRule="exact"/>
        <w:rPr>
          <w:sz w:val="20"/>
          <w:szCs w:val="20"/>
          <w:color w:val="auto"/>
        </w:rPr>
      </w:pPr>
    </w:p>
    <w:p>
      <w:pPr>
        <w:ind w:left="1280" w:hanging="316"/>
        <w:spacing w:after="0"/>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various components of the compensation payable to our Named Executive Officers, or “NEOs,” during fiscal 2014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240" w:top="444" w:right="3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82180" cy="6644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180"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80" w:right="120" w:hanging="316"/>
        <w:spacing w:after="0" w:line="280"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base salaries for fiscal 2014 for our NEOs are on average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base salary of our compensation peer group.</w:t>
      </w:r>
    </w:p>
    <w:p>
      <w:pPr>
        <w:spacing w:after="0" w:line="162" w:lineRule="exact"/>
        <w:rPr>
          <w:rFonts w:ascii="Arial" w:cs="Arial" w:eastAsia="Arial" w:hAnsi="Arial"/>
          <w:sz w:val="17"/>
          <w:szCs w:val="17"/>
          <w:color w:val="auto"/>
        </w:rPr>
      </w:pPr>
    </w:p>
    <w:p>
      <w:pPr>
        <w:ind w:left="1280" w:hanging="316"/>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Approximately 47% of the total compensation of our NEOs, on average, for fiscal 2014 was performance-based.</w:t>
      </w:r>
    </w:p>
    <w:p>
      <w:pPr>
        <w:spacing w:after="0" w:line="216" w:lineRule="exact"/>
        <w:rPr>
          <w:rFonts w:ascii="Arial" w:cs="Arial" w:eastAsia="Arial" w:hAnsi="Arial"/>
          <w:sz w:val="17"/>
          <w:szCs w:val="17"/>
          <w:color w:val="auto"/>
        </w:rPr>
      </w:pPr>
    </w:p>
    <w:p>
      <w:pPr>
        <w:ind w:left="1280" w:right="40" w:hanging="316"/>
        <w:spacing w:after="0" w:line="266"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100% of our cash annual incentive bonus for our NEOs for fiscal 2014 was performance-based in that the bonus pool amount is tied to, and varies with, our operating earnings. Also, cash annual incentive bonuses were structured in all cases so that they could be adjusted downward by the Compensation Committee at the end of the fiscal year based on an individual NEO’s performance.</w:t>
      </w:r>
    </w:p>
    <w:p>
      <w:pPr>
        <w:spacing w:after="0" w:line="174" w:lineRule="exact"/>
        <w:rPr>
          <w:rFonts w:ascii="Arial" w:cs="Arial" w:eastAsia="Arial" w:hAnsi="Arial"/>
          <w:sz w:val="17"/>
          <w:szCs w:val="17"/>
          <w:color w:val="auto"/>
        </w:rPr>
      </w:pPr>
    </w:p>
    <w:p>
      <w:pPr>
        <w:ind w:left="1280" w:hanging="316"/>
        <w:spacing w:after="0" w:line="296" w:lineRule="auto"/>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significant portion of the value of our annual long-term awards made during fiscal 2014 was in the form of performance-based restricted stock —approximately 42% on average among our NEOs. This grant was to be earned if the Company attained a target level average return on invested capital for the ten years ended March 31, 2014. In the event the performance target was satisfied, each NEO’s grant was structured so that it could be adjusted downward by the Compensation Committee at the end of the fiscal year based on an individual NEO’s performance. In May 2014, the Compensation Committee determined that the performance target had been satisfied, and the Committee did not exercise negative discretion with respect to any NEO’s grant. One fifth of the earned shares vested upon the certification by the Compensation Committee, and the remaining shares will vest ratably on March 31 of 2015, 2016, 2017 and 2018 (assuming continued service by the relevant officer).</w:t>
      </w:r>
    </w:p>
    <w:p>
      <w:pPr>
        <w:spacing w:after="0" w:line="159" w:lineRule="exact"/>
        <w:rPr>
          <w:rFonts w:ascii="Arial" w:cs="Arial" w:eastAsia="Arial" w:hAnsi="Arial"/>
          <w:sz w:val="15"/>
          <w:szCs w:val="15"/>
          <w:color w:val="auto"/>
        </w:rPr>
      </w:pPr>
    </w:p>
    <w:p>
      <w:pPr>
        <w:ind w:left="1280" w:hanging="316"/>
        <w:spacing w:after="0" w:line="279" w:lineRule="auto"/>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portion of the value of our annual long-term awards made during fiscal 2014 was in the form of time-vesting stock options—approximately 58% on average among our NEOs. One-third of the stock options will vest in August 2014, one-third will vest in August 2015 and one-third will vest in August 2016 (assuming continued service by the relevant officer). Eagle views time-vesting stock options as pay-for-performance awards because they are of value only if and to the extent that the share price at the time of exercise exceeds the market price on the date of grant— executives receive nothing if the price of our stock does not rise above the exercise price.</w:t>
      </w:r>
    </w:p>
    <w:p>
      <w:pPr>
        <w:spacing w:after="0" w:line="166" w:lineRule="exact"/>
        <w:rPr>
          <w:rFonts w:ascii="Arial" w:cs="Arial" w:eastAsia="Arial" w:hAnsi="Arial"/>
          <w:sz w:val="16"/>
          <w:szCs w:val="16"/>
          <w:color w:val="auto"/>
        </w:rPr>
      </w:pPr>
    </w:p>
    <w:p>
      <w:pPr>
        <w:ind w:left="1280" w:hanging="316"/>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Some key features of our CEO’s fiscal 2014 compensation:</w:t>
      </w:r>
    </w:p>
    <w:p>
      <w:pPr>
        <w:spacing w:after="0" w:line="21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Our CEO’s base salary in fiscal 2014 was increased 2.9%, after having remained unchanged for fiscal 2013.</w:t>
      </w:r>
    </w:p>
    <w:p>
      <w:pPr>
        <w:spacing w:after="0" w:line="21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Our CEO’s total compensation disclosed in the Summary Compensation Table on page 34 increased 10% from fiscal 2013.</w:t>
      </w:r>
    </w:p>
    <w:p>
      <w:pPr>
        <w:spacing w:after="0" w:line="21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Approximately 36% of our CEO’s total compensation for fiscal 2014 was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240" w:top="444" w:right="4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Advisory Vote on Executive Compensation</w:t>
      </w:r>
    </w:p>
    <w:p>
      <w:pPr>
        <w:spacing w:after="0" w:line="191" w:lineRule="exact"/>
        <w:rPr>
          <w:sz w:val="20"/>
          <w:szCs w:val="20"/>
          <w:color w:val="auto"/>
        </w:rPr>
      </w:pPr>
    </w:p>
    <w:p>
      <w:pPr>
        <w:ind w:right="60" w:firstLine="799"/>
        <w:spacing w:after="0" w:line="261" w:lineRule="auto"/>
        <w:rPr>
          <w:sz w:val="20"/>
          <w:szCs w:val="20"/>
          <w:color w:val="auto"/>
        </w:rPr>
      </w:pPr>
      <w:r>
        <w:rPr>
          <w:rFonts w:ascii="Arial" w:cs="Arial" w:eastAsia="Arial" w:hAnsi="Arial"/>
          <w:sz w:val="17"/>
          <w:szCs w:val="17"/>
          <w:color w:val="auto"/>
        </w:rPr>
        <w:t>At the 2013 Annual Meeting of Stockholders, the Company’s stockholders voted to approve a non-binding advisory resolution approving the compensation paid to our Named Executive Officers as disclosed in the proxy statement for the 2013 Annual Meeting of Stockholders. The vote was 96.8% in favor, 2.0% against (with 1.2% abstaining). In light of the significant stockholder support of the executive compensation program, no substantive changes were made to the executive compensation program for fiscal 2014 as a result of the stockholder vote.</w:t>
      </w:r>
    </w:p>
    <w:p>
      <w:pPr>
        <w:spacing w:after="0" w:line="141"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Named Executive Officers</w:t>
      </w:r>
    </w:p>
    <w:p>
      <w:pPr>
        <w:spacing w:after="0" w:line="191" w:lineRule="exact"/>
        <w:rPr>
          <w:sz w:val="20"/>
          <w:szCs w:val="20"/>
          <w:color w:val="auto"/>
        </w:rPr>
      </w:pPr>
    </w:p>
    <w:p>
      <w:pPr>
        <w:ind w:right="460" w:firstLine="799"/>
        <w:spacing w:after="0" w:line="279" w:lineRule="auto"/>
        <w:rPr>
          <w:sz w:val="20"/>
          <w:szCs w:val="20"/>
          <w:color w:val="auto"/>
        </w:rPr>
      </w:pPr>
      <w:r>
        <w:rPr>
          <w:rFonts w:ascii="Arial" w:cs="Arial" w:eastAsia="Arial" w:hAnsi="Arial"/>
          <w:sz w:val="17"/>
          <w:szCs w:val="17"/>
          <w:color w:val="auto"/>
        </w:rPr>
        <w:t>This Compensation Discussion and Analysis is intended to provide investors with a more complete understanding of our compensation policies and decisions during fiscal 2014 for the following persons who were “Named Executive Officers” during such fiscal year:</w:t>
      </w:r>
    </w:p>
    <w:p>
      <w:pPr>
        <w:sectPr>
          <w:pgSz w:w="11900" w:h="16838" w:orient="portrait"/>
          <w:cols w:equalWidth="0" w:num="1">
            <w:col w:w="11400"/>
          </w:cols>
          <w:pgMar w:left="240" w:top="444" w:right="259" w:bottom="1440" w:gutter="0" w:footer="0" w:header="0"/>
        </w:sectPr>
      </w:pPr>
    </w:p>
    <w:p>
      <w:pPr>
        <w:spacing w:after="0" w:line="164"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Steven R. Rowley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2340" w:space="720"/>
            <w:col w:w="8340"/>
          </w:cols>
          <w:pgMar w:left="240" w:top="444" w:right="259" w:bottom="1440" w:gutter="0" w:footer="0" w:header="0"/>
          <w:type w:val="continuous"/>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Finance and Administration and Chief Financial Officer</w:t>
      </w:r>
    </w:p>
    <w:p>
      <w:pPr>
        <w:spacing w:after="0" w:line="200" w:lineRule="exact"/>
        <w:rPr>
          <w:sz w:val="20"/>
          <w:szCs w:val="20"/>
          <w:color w:val="auto"/>
        </w:rPr>
      </w:pPr>
    </w:p>
    <w:p>
      <w:pPr>
        <w:sectPr>
          <w:pgSz w:w="11900" w:h="16838" w:orient="portrait"/>
          <w:cols w:equalWidth="0" w:num="2">
            <w:col w:w="2340" w:space="720"/>
            <w:col w:w="8340"/>
          </w:cols>
          <w:pgMar w:left="240" w:top="444" w:right="259" w:bottom="1440" w:gutter="0" w:footer="0" w:header="0"/>
          <w:type w:val="continuous"/>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Cement/Aggregates and Concrete</w:t>
      </w:r>
    </w:p>
    <w:p>
      <w:pPr>
        <w:spacing w:after="0" w:line="200" w:lineRule="exact"/>
        <w:rPr>
          <w:sz w:val="20"/>
          <w:szCs w:val="20"/>
          <w:color w:val="auto"/>
        </w:rPr>
      </w:pPr>
    </w:p>
    <w:p>
      <w:pPr>
        <w:sectPr>
          <w:pgSz w:w="11900" w:h="16838" w:orient="portrait"/>
          <w:cols w:equalWidth="0" w:num="2">
            <w:col w:w="2340" w:space="720"/>
            <w:col w:w="8340"/>
          </w:cols>
          <w:pgMar w:left="240" w:top="444" w:right="259" w:bottom="1440" w:gutter="0" w:footer="0" w:header="0"/>
          <w:type w:val="continuous"/>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David B.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Gypsum</w:t>
      </w:r>
    </w:p>
    <w:p>
      <w:pPr>
        <w:spacing w:after="0" w:line="200" w:lineRule="exact"/>
        <w:rPr>
          <w:sz w:val="20"/>
          <w:szCs w:val="20"/>
          <w:color w:val="auto"/>
        </w:rPr>
      </w:pPr>
    </w:p>
    <w:p>
      <w:pPr>
        <w:sectPr>
          <w:pgSz w:w="11900" w:h="16838" w:orient="portrait"/>
          <w:cols w:equalWidth="0" w:num="2">
            <w:col w:w="2340" w:space="720"/>
            <w:col w:w="8340"/>
          </w:cols>
          <w:pgMar w:left="240" w:top="444" w:right="259" w:bottom="1440" w:gutter="0" w:footer="0" w:header="0"/>
          <w:type w:val="continuous"/>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James H.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General Counsel and Secretary</w:t>
      </w:r>
    </w:p>
    <w:p>
      <w:pPr>
        <w:spacing w:after="0" w:line="200" w:lineRule="exact"/>
        <w:rPr>
          <w:sz w:val="20"/>
          <w:szCs w:val="20"/>
          <w:color w:val="auto"/>
        </w:rPr>
      </w:pPr>
    </w:p>
    <w:p>
      <w:pPr>
        <w:sectPr>
          <w:pgSz w:w="11900" w:h="16838" w:orient="portrait"/>
          <w:cols w:equalWidth="0" w:num="2">
            <w:col w:w="2340" w:space="720"/>
            <w:col w:w="8340"/>
          </w:cols>
          <w:pgMar w:left="240" w:top="444" w:right="2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compensation philosophy is based on the principles that executive compensation should:</w:t>
      </w:r>
    </w:p>
    <w:p>
      <w:pPr>
        <w:spacing w:after="0" w:line="217" w:lineRule="exact"/>
        <w:rPr>
          <w:sz w:val="20"/>
          <w:szCs w:val="20"/>
          <w:color w:val="auto"/>
        </w:rPr>
      </w:pPr>
    </w:p>
    <w:p>
      <w:pPr>
        <w:ind w:left="1120" w:hanging="319"/>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Align the interests of our executives with those of our stockholders,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 the Company’s performance as well as the executive’s individual performance,</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Motivate management to achieve the Company’s operational and strategic goals,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Reward performance by both our executives and the Company relative to our peers’ performance in light of business conditions, and</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designed to attract, retain and motivate highly qualified and talented executives over time.</w:t>
      </w:r>
    </w:p>
    <w:p>
      <w:pPr>
        <w:spacing w:after="0" w:line="191" w:lineRule="exact"/>
        <w:rPr>
          <w:sz w:val="20"/>
          <w:szCs w:val="20"/>
          <w:color w:val="auto"/>
        </w:rPr>
      </w:pPr>
    </w:p>
    <w:p>
      <w:pPr>
        <w:ind w:right="800" w:firstLine="799"/>
        <w:spacing w:after="0" w:line="279"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164" w:lineRule="exact"/>
        <w:rPr>
          <w:sz w:val="20"/>
          <w:szCs w:val="20"/>
          <w:color w:val="auto"/>
        </w:rPr>
      </w:pPr>
    </w:p>
    <w:p>
      <w:pPr>
        <w:ind w:left="1360" w:hanging="559"/>
        <w:spacing w:after="0"/>
        <w:tabs>
          <w:tab w:leader="none" w:pos="1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seek to align the interests of executives with those of our stockholders by:</w:t>
      </w:r>
    </w:p>
    <w:p>
      <w:pPr>
        <w:spacing w:after="0" w:line="216" w:lineRule="exact"/>
        <w:rPr>
          <w:rFonts w:ascii="Arial" w:cs="Arial" w:eastAsia="Arial" w:hAnsi="Arial"/>
          <w:sz w:val="17"/>
          <w:szCs w:val="17"/>
          <w:color w:val="auto"/>
        </w:rPr>
      </w:pPr>
    </w:p>
    <w:p>
      <w:pPr>
        <w:ind w:left="1700" w:hanging="332"/>
        <w:spacing w:after="0"/>
        <w:tabs>
          <w:tab w:leader="none" w:pos="17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228" w:lineRule="exact"/>
        <w:rPr>
          <w:rFonts w:ascii="Arial" w:cs="Arial" w:eastAsia="Arial" w:hAnsi="Arial"/>
          <w:sz w:val="16"/>
          <w:szCs w:val="16"/>
          <w:color w:val="auto"/>
        </w:rPr>
      </w:pPr>
    </w:p>
    <w:p>
      <w:pPr>
        <w:ind w:left="1700" w:right="280" w:hanging="332"/>
        <w:spacing w:after="0" w:line="279" w:lineRule="auto"/>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Structuring long-term compensation as predominantly equity awards, so that executives have an appropriate incentive to contribute to the creation of long-term stockholder value, and</w:t>
      </w:r>
    </w:p>
    <w:p>
      <w:pPr>
        <w:spacing w:after="0" w:line="163" w:lineRule="exact"/>
        <w:rPr>
          <w:rFonts w:ascii="Arial" w:cs="Arial" w:eastAsia="Arial" w:hAnsi="Arial"/>
          <w:sz w:val="17"/>
          <w:szCs w:val="17"/>
          <w:color w:val="auto"/>
        </w:rPr>
      </w:pPr>
    </w:p>
    <w:p>
      <w:pPr>
        <w:ind w:left="1700" w:right="720" w:hanging="332"/>
        <w:spacing w:after="0" w:line="279" w:lineRule="auto"/>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Requiring executives to meet stock ownership guidelines that will result in each executive holding a meaningful equity stake in the Company.</w:t>
      </w:r>
    </w:p>
    <w:p>
      <w:pPr>
        <w:spacing w:after="0" w:line="163" w:lineRule="exact"/>
        <w:rPr>
          <w:rFonts w:ascii="Arial" w:cs="Arial" w:eastAsia="Arial" w:hAnsi="Arial"/>
          <w:sz w:val="17"/>
          <w:szCs w:val="17"/>
          <w:color w:val="auto"/>
        </w:rPr>
      </w:pPr>
    </w:p>
    <w:p>
      <w:pPr>
        <w:ind w:left="1360" w:hanging="559"/>
        <w:spacing w:after="0"/>
        <w:tabs>
          <w:tab w:leader="none" w:pos="1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seek to encourage improved performance by:</w:t>
      </w:r>
    </w:p>
    <w:p>
      <w:pPr>
        <w:spacing w:after="0" w:line="216" w:lineRule="exact"/>
        <w:rPr>
          <w:rFonts w:ascii="Arial" w:cs="Arial" w:eastAsia="Arial" w:hAnsi="Arial"/>
          <w:sz w:val="17"/>
          <w:szCs w:val="17"/>
          <w:color w:val="auto"/>
        </w:rPr>
      </w:pPr>
    </w:p>
    <w:p>
      <w:pPr>
        <w:ind w:left="1700" w:hanging="332"/>
        <w:spacing w:after="0"/>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Basing our annual incentive bonus on both our earnings and individual performance, and</w:t>
      </w:r>
    </w:p>
    <w:p>
      <w:pPr>
        <w:spacing w:after="0" w:line="216" w:lineRule="exact"/>
        <w:rPr>
          <w:rFonts w:ascii="Arial" w:cs="Arial" w:eastAsia="Arial" w:hAnsi="Arial"/>
          <w:sz w:val="17"/>
          <w:szCs w:val="17"/>
          <w:color w:val="auto"/>
        </w:rPr>
      </w:pPr>
    </w:p>
    <w:p>
      <w:pPr>
        <w:ind w:left="1700" w:hanging="332"/>
        <w:spacing w:after="0"/>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Tying the vesting of a substantial majority of our equity-based awards to the achievement of financial and/or operating goals.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4" w:right="25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To achieve our compensation objectives for fiscal 2014, our executive compensation program used a combination of short-term and long-term elements:</w:t>
      </w:r>
    </w:p>
    <w:p>
      <w:pPr>
        <w:spacing w:after="0" w:line="44" w:lineRule="exact"/>
        <w:rPr>
          <w:sz w:val="20"/>
          <w:szCs w:val="20"/>
          <w:color w:val="auto"/>
        </w:rPr>
      </w:pPr>
    </w:p>
    <w:p>
      <w:pPr>
        <w:ind w:right="160" w:firstLine="3"/>
        <w:spacing w:after="0" w:line="265" w:lineRule="auto"/>
        <w:tabs>
          <w:tab w:leader="none" w:pos="2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150" w:lineRule="exact"/>
        <w:rPr>
          <w:sz w:val="20"/>
          <w:szCs w:val="20"/>
          <w:color w:val="auto"/>
        </w:rPr>
      </w:pPr>
    </w:p>
    <w:p>
      <w:pPr>
        <w:ind w:right="80" w:firstLine="799"/>
        <w:spacing w:after="0" w:line="266" w:lineRule="auto"/>
        <w:rPr>
          <w:sz w:val="20"/>
          <w:szCs w:val="20"/>
          <w:color w:val="auto"/>
        </w:rPr>
      </w:pPr>
      <w:r>
        <w:rPr>
          <w:rFonts w:ascii="Arial" w:cs="Arial" w:eastAsia="Arial" w:hAnsi="Arial"/>
          <w:sz w:val="17"/>
          <w:szCs w:val="17"/>
          <w:u w:val="single" w:color="auto"/>
          <w:color w:val="auto"/>
        </w:rPr>
        <w:t>No Employment Agreements; No Change-in-Control Agreements</w:t>
      </w:r>
      <w:r>
        <w:rPr>
          <w:rFonts w:ascii="Arial" w:cs="Arial" w:eastAsia="Arial" w:hAnsi="Arial"/>
          <w:sz w:val="17"/>
          <w:szCs w:val="17"/>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Risk</w:t>
      </w:r>
    </w:p>
    <w:p>
      <w:pPr>
        <w:spacing w:after="0" w:line="178" w:lineRule="exact"/>
        <w:rPr>
          <w:sz w:val="20"/>
          <w:szCs w:val="20"/>
          <w:color w:val="auto"/>
        </w:rPr>
      </w:pPr>
    </w:p>
    <w:p>
      <w:pPr>
        <w:ind w:firstLine="799"/>
        <w:spacing w:after="0" w:line="261" w:lineRule="auto"/>
        <w:rPr>
          <w:sz w:val="20"/>
          <w:szCs w:val="20"/>
          <w:color w:val="auto"/>
        </w:rPr>
      </w:pPr>
      <w:r>
        <w:rPr>
          <w:rFonts w:ascii="Arial" w:cs="Arial" w:eastAsia="Arial" w:hAnsi="Arial"/>
          <w:sz w:val="17"/>
          <w:szCs w:val="17"/>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the Compensation Committee and Management in Executive Compensation</w:t>
      </w:r>
    </w:p>
    <w:p>
      <w:pPr>
        <w:spacing w:after="0" w:line="178" w:lineRule="exact"/>
        <w:rPr>
          <w:sz w:val="20"/>
          <w:szCs w:val="20"/>
          <w:color w:val="auto"/>
        </w:rPr>
      </w:pPr>
    </w:p>
    <w:p>
      <w:pPr>
        <w:jc w:val="both"/>
        <w:ind w:right="60" w:firstLine="799"/>
        <w:spacing w:after="0" w:line="266" w:lineRule="auto"/>
        <w:rPr>
          <w:sz w:val="20"/>
          <w:szCs w:val="20"/>
          <w:color w:val="auto"/>
        </w:rPr>
      </w:pPr>
      <w:r>
        <w:rPr>
          <w:rFonts w:ascii="Arial" w:cs="Arial" w:eastAsia="Arial" w:hAnsi="Arial"/>
          <w:sz w:val="17"/>
          <w:szCs w:val="17"/>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174" w:lineRule="exact"/>
        <w:rPr>
          <w:sz w:val="20"/>
          <w:szCs w:val="20"/>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 and make recommendations regarding our general compensation philosophy and structure,</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the compensation of our CEO,</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 our CEO’s performance in light of such goals and objectives,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Set the salary and other cash and equity compensation for our CEO based on such evaluation,</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 and approve the compensation of our other senior executive officers,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Administer each of our plans for which our Compensation Committee has administrative responsibility,</w:t>
      </w:r>
    </w:p>
    <w:p>
      <w:pPr>
        <w:spacing w:after="0" w:line="216" w:lineRule="exact"/>
        <w:rPr>
          <w:rFonts w:ascii="Arial" w:cs="Arial" w:eastAsia="Arial" w:hAnsi="Arial"/>
          <w:sz w:val="17"/>
          <w:szCs w:val="17"/>
          <w:color w:val="auto"/>
        </w:rPr>
      </w:pPr>
    </w:p>
    <w:p>
      <w:pPr>
        <w:ind w:left="1120" w:right="100" w:hanging="319"/>
        <w:spacing w:after="0" w:line="279"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163"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 and recommend to the Board the compensation of our non-employee directors, and</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Recommend to the Board stock ownership guidelines for our executive officers.</w:t>
      </w:r>
    </w:p>
    <w:p>
      <w:pPr>
        <w:spacing w:after="0" w:line="178"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color w:val="auto"/>
        </w:rPr>
        <w:t xml:space="preserve">The Compensation Committee consists solely of directors who are independent under the NYSE listing standards (including the recently adopted amendments to those standards that enhanced the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7"/>
          <w:szCs w:val="17"/>
          <w:i w:val="1"/>
          <w:iCs w:val="1"/>
          <w:color w:val="auto"/>
        </w:rPr>
        <w:t>www.eaglematerials.com</w:t>
      </w:r>
      <w:r>
        <w:rPr>
          <w:rFonts w:ascii="Arial" w:cs="Arial" w:eastAsia="Arial" w:hAnsi="Arial"/>
          <w:sz w:val="17"/>
          <w:szCs w:val="17"/>
          <w:color w:val="auto"/>
        </w:rPr>
        <w:t>.</w:t>
      </w:r>
    </w:p>
    <w:p>
      <w:pPr>
        <w:spacing w:after="0" w:line="156" w:lineRule="exact"/>
        <w:rPr>
          <w:sz w:val="20"/>
          <w:szCs w:val="20"/>
          <w:color w:val="auto"/>
        </w:rPr>
      </w:pPr>
    </w:p>
    <w:p>
      <w:pPr>
        <w:ind w:right="180" w:firstLine="799"/>
        <w:spacing w:after="0" w:line="279" w:lineRule="auto"/>
        <w:rPr>
          <w:sz w:val="20"/>
          <w:szCs w:val="20"/>
          <w:color w:val="auto"/>
        </w:rPr>
      </w:pPr>
      <w:r>
        <w:rPr>
          <w:rFonts w:ascii="Arial" w:cs="Arial" w:eastAsia="Arial" w:hAnsi="Arial"/>
          <w:sz w:val="17"/>
          <w:szCs w:val="17"/>
          <w:color w:val="auto"/>
        </w:rPr>
        <w:t>The Compensation Committee sets compensation for the Named Executive Officers on an annual basis. In general, the process for setting compensation involves the following steps:</w:t>
      </w:r>
    </w:p>
    <w:p>
      <w:pPr>
        <w:spacing w:after="0" w:line="164" w:lineRule="exact"/>
        <w:rPr>
          <w:sz w:val="20"/>
          <w:szCs w:val="20"/>
          <w:color w:val="auto"/>
        </w:rPr>
      </w:pPr>
    </w:p>
    <w:p>
      <w:pPr>
        <w:ind w:left="1120" w:right="420" w:hanging="319"/>
        <w:spacing w:after="0" w:line="291" w:lineRule="auto"/>
        <w:tabs>
          <w:tab w:leader="none" w:pos="11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1" w:lineRule="exact"/>
        <w:rPr>
          <w:rFonts w:ascii="Arial" w:cs="Arial" w:eastAsia="Arial" w:hAnsi="Arial"/>
          <w:sz w:val="15"/>
          <w:szCs w:val="15"/>
          <w:color w:val="auto"/>
        </w:rPr>
      </w:pPr>
    </w:p>
    <w:p>
      <w:pPr>
        <w:ind w:left="1120" w:right="40"/>
        <w:spacing w:after="0" w:line="273" w:lineRule="auto"/>
        <w:rPr>
          <w:rFonts w:ascii="Arial" w:cs="Arial" w:eastAsia="Arial" w:hAnsi="Arial"/>
          <w:sz w:val="15"/>
          <w:szCs w:val="15"/>
          <w:color w:val="auto"/>
        </w:rPr>
      </w:pPr>
      <w:r>
        <w:rPr>
          <w:rFonts w:ascii="Arial" w:cs="Arial" w:eastAsia="Arial" w:hAnsi="Arial"/>
          <w:sz w:val="16"/>
          <w:szCs w:val="16"/>
          <w:color w:val="auto"/>
        </w:rPr>
        <w:t>(3) whether the Compensation Committee will make any long-term incentive compensation awards in such fiscal year, (4) if the Compensation Committee decides to make long-term compensation awards for such fiscal year, the nature of and terms applicable to such awards, including the form any such awards will take (e.g., options, restricted stock, restricted stock units and/or cash), the individual long-term compensation potential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2014, the Compensation Committee made these determinations at five separate meetings held in March, April, May and August 2013.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4"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120" w:hanging="319"/>
        <w:spacing w:after="0" w:line="279"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After the end of the fiscal year, the Compensation Committee (1) reviews and approves the annual incentive bonus pools,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2014 at three separate meetings held in April and May 2014.</w:t>
      </w:r>
    </w:p>
    <w:p>
      <w:pPr>
        <w:spacing w:after="0" w:line="141" w:lineRule="exact"/>
        <w:rPr>
          <w:sz w:val="20"/>
          <w:szCs w:val="20"/>
          <w:color w:val="auto"/>
        </w:rPr>
      </w:pPr>
    </w:p>
    <w:p>
      <w:pPr>
        <w:ind w:right="120" w:firstLine="799"/>
        <w:spacing w:after="0" w:line="274"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Named Executive Officers, other than himself. At the end of each fiscal year, Mr. Rowley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Engagement of a Compensation Consultant</w:t>
      </w:r>
    </w:p>
    <w:p>
      <w:pPr>
        <w:spacing w:after="0" w:line="178" w:lineRule="exact"/>
        <w:rPr>
          <w:sz w:val="20"/>
          <w:szCs w:val="20"/>
          <w:color w:val="auto"/>
        </w:rPr>
      </w:pPr>
    </w:p>
    <w:p>
      <w:pPr>
        <w:ind w:right="60" w:firstLine="799"/>
        <w:spacing w:after="0" w:line="275" w:lineRule="auto"/>
        <w:rPr>
          <w:sz w:val="20"/>
          <w:szCs w:val="20"/>
          <w:color w:val="auto"/>
        </w:rPr>
      </w:pPr>
      <w:r>
        <w:rPr>
          <w:rFonts w:ascii="Arial" w:cs="Arial" w:eastAsia="Arial" w:hAnsi="Arial"/>
          <w:sz w:val="16"/>
          <w:szCs w:val="16"/>
          <w:color w:val="auto"/>
        </w:rPr>
        <w:t>In early 2013,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L&amp;A also provided assistance in reviewing this Compensation Discussion &amp; Analysis. The Compensation Committee has assessed the independence of L&amp;A pursuant to SEC and NYSE rules and concluded that no conflict of interest exists that would prevent L&amp;A from independently advising the Compensation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Benchmarking</w:t>
      </w:r>
    </w:p>
    <w:p>
      <w:pPr>
        <w:spacing w:after="0" w:line="178" w:lineRule="exact"/>
        <w:rPr>
          <w:sz w:val="20"/>
          <w:szCs w:val="20"/>
          <w:color w:val="auto"/>
        </w:rPr>
      </w:pPr>
    </w:p>
    <w:p>
      <w:pPr>
        <w:ind w:right="160" w:firstLine="799"/>
        <w:spacing w:after="0" w:line="311" w:lineRule="auto"/>
        <w:rPr>
          <w:sz w:val="20"/>
          <w:szCs w:val="20"/>
          <w:color w:val="auto"/>
        </w:rPr>
      </w:pPr>
      <w:r>
        <w:rPr>
          <w:rFonts w:ascii="Arial" w:cs="Arial" w:eastAsia="Arial" w:hAnsi="Arial"/>
          <w:sz w:val="16"/>
          <w:szCs w:val="16"/>
          <w:color w:val="auto"/>
        </w:rPr>
        <w:t>The data used by L&amp;A in its survey of the compensation peer group, which we refer to as our benchmarking study, was weighted so that 50% was from published surveys from Towers Watson, ERI and Mercer, and 50% was from disclosure in compensation peer group proxy statements.</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Compensation Peers</w:t>
      </w:r>
    </w:p>
    <w:p>
      <w:pPr>
        <w:spacing w:after="0" w:line="197"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color w:val="auto"/>
        </w:rPr>
        <w:t>At the beginning of fiscal 2014 (spring of 2013) L&amp;A identified multiple compensation peer candidates based on (1) prior peer groups used by the Company, (2) companies of similar size within industries related to the Company’s industry, and (3) other similar companies in the construction materials and related industries. L&amp;A then analyzed each company based on revenue, assets, net income, market capitalization, enterprise value, and EBITDA. L&amp;A recommended removing a few peers utilized in evaluating fiscal 2013 compensation because they were either substantially smaller than the Company in terms of market capitalization and enterprise value or were financially troubled companies. L&amp;A also recommended adding James Hardie Industries as a peer for fiscal 2014 because it operates in a similar sector, competes for the same talent and is similar in size to the Company in terms of market capitalization and enterprise value. Based on this analysis, L&amp;A recommended a compensation peer group to the Compensation Committee that contained fewer companies than the equivalent peer group for fiscal 2013.</w:t>
      </w:r>
    </w:p>
    <w:p>
      <w:pPr>
        <w:spacing w:after="0" w:line="148" w:lineRule="exact"/>
        <w:rPr>
          <w:sz w:val="20"/>
          <w:szCs w:val="20"/>
          <w:color w:val="auto"/>
        </w:rPr>
      </w:pPr>
    </w:p>
    <w:p>
      <w:pPr>
        <w:ind w:right="220" w:firstLine="799"/>
        <w:spacing w:after="0" w:line="279" w:lineRule="auto"/>
        <w:rPr>
          <w:sz w:val="20"/>
          <w:szCs w:val="20"/>
          <w:color w:val="auto"/>
        </w:rPr>
      </w:pPr>
      <w:r>
        <w:rPr>
          <w:rFonts w:ascii="Arial" w:cs="Arial" w:eastAsia="Arial" w:hAnsi="Arial"/>
          <w:sz w:val="17"/>
          <w:szCs w:val="17"/>
          <w:color w:val="auto"/>
        </w:rPr>
        <w:t>Based on L&amp;A’s recommendation, the Compensation Committee utilized the following 12-company peer group in analyzing fiscal 2014 compensation (“compensation peer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500" w:type="dxa"/>
            <w:vAlign w:val="bottom"/>
          </w:tcPr>
          <w:p>
            <w:pPr>
              <w:ind w:left="700"/>
              <w:spacing w:after="0"/>
              <w:rPr>
                <w:sz w:val="20"/>
                <w:szCs w:val="20"/>
                <w:color w:val="auto"/>
              </w:rPr>
            </w:pPr>
            <w:r>
              <w:rPr>
                <w:rFonts w:ascii="Arial" w:cs="Arial" w:eastAsia="Arial" w:hAnsi="Arial"/>
                <w:sz w:val="15"/>
                <w:szCs w:val="15"/>
                <w:b w:val="1"/>
                <w:bCs w:val="1"/>
                <w:color w:val="auto"/>
              </w:rPr>
              <w:t>Company Name</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w w:val="99"/>
              </w:rPr>
              <w:t>Ticker</w:t>
            </w:r>
          </w:p>
        </w:tc>
        <w:tc>
          <w:tcPr>
            <w:tcW w:w="6440" w:type="dxa"/>
            <w:vAlign w:val="bottom"/>
          </w:tcPr>
          <w:p>
            <w:pPr>
              <w:ind w:left="2600"/>
              <w:spacing w:after="0"/>
              <w:rPr>
                <w:sz w:val="20"/>
                <w:szCs w:val="20"/>
                <w:color w:val="auto"/>
              </w:rPr>
            </w:pPr>
            <w:r>
              <w:rPr>
                <w:rFonts w:ascii="Arial" w:cs="Arial" w:eastAsia="Arial" w:hAnsi="Arial"/>
                <w:sz w:val="15"/>
                <w:szCs w:val="15"/>
                <w:b w:val="1"/>
                <w:bCs w:val="1"/>
                <w:color w:val="auto"/>
              </w:rPr>
              <w:t>Business Description</w:t>
            </w:r>
          </w:p>
        </w:tc>
      </w:tr>
      <w:tr>
        <w:trPr>
          <w:trHeight w:val="134"/>
        </w:trPr>
        <w:tc>
          <w:tcPr>
            <w:tcW w:w="252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64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Armstrong Worldwide Industries, Inc.</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AWI</w:t>
            </w:r>
          </w:p>
        </w:tc>
        <w:tc>
          <w:tcPr>
            <w:tcW w:w="644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auto"/>
              </w:rPr>
              <w:t>Designs, manufactures and sells flooring products and ceiling systems.</w:t>
            </w:r>
          </w:p>
        </w:tc>
      </w:tr>
      <w:tr>
        <w:trPr>
          <w:trHeight w:val="391"/>
        </w:trPr>
        <w:tc>
          <w:tcPr>
            <w:tcW w:w="2520" w:type="dxa"/>
            <w:vAlign w:val="bottom"/>
            <w:gridSpan w:val="2"/>
          </w:tcPr>
          <w:p>
            <w:pPr>
              <w:spacing w:after="0"/>
              <w:rPr>
                <w:sz w:val="20"/>
                <w:szCs w:val="20"/>
                <w:color w:val="auto"/>
              </w:rPr>
            </w:pPr>
            <w:r>
              <w:rPr>
                <w:rFonts w:ascii="Arial" w:cs="Arial" w:eastAsia="Arial" w:hAnsi="Arial"/>
                <w:sz w:val="15"/>
                <w:szCs w:val="15"/>
                <w:color w:val="auto"/>
              </w:rPr>
              <w:t>EnPro Industries, Inc.</w:t>
            </w:r>
          </w:p>
        </w:tc>
        <w:tc>
          <w:tcPr>
            <w:tcW w:w="740" w:type="dxa"/>
            <w:vAlign w:val="bottom"/>
          </w:tcPr>
          <w:p>
            <w:pPr>
              <w:jc w:val="center"/>
              <w:spacing w:after="0"/>
              <w:rPr>
                <w:sz w:val="20"/>
                <w:szCs w:val="20"/>
                <w:color w:val="auto"/>
              </w:rPr>
            </w:pPr>
            <w:r>
              <w:rPr>
                <w:rFonts w:ascii="Arial" w:cs="Arial" w:eastAsia="Arial" w:hAnsi="Arial"/>
                <w:sz w:val="15"/>
                <w:szCs w:val="15"/>
                <w:color w:val="auto"/>
                <w:w w:val="92"/>
              </w:rPr>
              <w:t>NPO</w:t>
            </w:r>
          </w:p>
        </w:tc>
        <w:tc>
          <w:tcPr>
            <w:tcW w:w="6440" w:type="dxa"/>
            <w:vAlign w:val="bottom"/>
          </w:tcPr>
          <w:p>
            <w:pPr>
              <w:ind w:left="140"/>
              <w:spacing w:after="0"/>
              <w:rPr>
                <w:sz w:val="20"/>
                <w:szCs w:val="20"/>
                <w:color w:val="auto"/>
              </w:rPr>
            </w:pPr>
            <w:r>
              <w:rPr>
                <w:rFonts w:ascii="Arial" w:cs="Arial" w:eastAsia="Arial" w:hAnsi="Arial"/>
                <w:sz w:val="15"/>
                <w:szCs w:val="15"/>
                <w:color w:val="auto"/>
              </w:rPr>
              <w:t>Designs, develops, manufactures and markets engineered industrial products.</w:t>
            </w:r>
          </w:p>
        </w:tc>
      </w:tr>
      <w:tr>
        <w:trPr>
          <w:trHeight w:val="399"/>
        </w:trPr>
        <w:tc>
          <w:tcPr>
            <w:tcW w:w="2520" w:type="dxa"/>
            <w:vAlign w:val="bottom"/>
            <w:gridSpan w:val="2"/>
          </w:tcPr>
          <w:p>
            <w:pPr>
              <w:spacing w:after="0"/>
              <w:rPr>
                <w:sz w:val="20"/>
                <w:szCs w:val="20"/>
                <w:color w:val="auto"/>
              </w:rPr>
            </w:pPr>
            <w:r>
              <w:rPr>
                <w:rFonts w:ascii="Arial" w:cs="Arial" w:eastAsia="Arial" w:hAnsi="Arial"/>
                <w:sz w:val="15"/>
                <w:szCs w:val="15"/>
                <w:color w:val="auto"/>
              </w:rPr>
              <w:t>Globe Specialty Metals, Inc.</w:t>
            </w:r>
          </w:p>
        </w:tc>
        <w:tc>
          <w:tcPr>
            <w:tcW w:w="740" w:type="dxa"/>
            <w:vAlign w:val="bottom"/>
          </w:tcPr>
          <w:p>
            <w:pPr>
              <w:jc w:val="center"/>
              <w:spacing w:after="0"/>
              <w:rPr>
                <w:sz w:val="20"/>
                <w:szCs w:val="20"/>
                <w:color w:val="auto"/>
              </w:rPr>
            </w:pPr>
            <w:r>
              <w:rPr>
                <w:rFonts w:ascii="Arial" w:cs="Arial" w:eastAsia="Arial" w:hAnsi="Arial"/>
                <w:sz w:val="15"/>
                <w:szCs w:val="15"/>
                <w:color w:val="auto"/>
                <w:w w:val="99"/>
              </w:rPr>
              <w:t>GSM</w:t>
            </w:r>
          </w:p>
        </w:tc>
        <w:tc>
          <w:tcPr>
            <w:tcW w:w="6440" w:type="dxa"/>
            <w:vAlign w:val="bottom"/>
          </w:tcPr>
          <w:p>
            <w:pPr>
              <w:ind w:left="140"/>
              <w:spacing w:after="0"/>
              <w:rPr>
                <w:sz w:val="20"/>
                <w:szCs w:val="20"/>
                <w:color w:val="auto"/>
              </w:rPr>
            </w:pPr>
            <w:r>
              <w:rPr>
                <w:rFonts w:ascii="Arial" w:cs="Arial" w:eastAsia="Arial" w:hAnsi="Arial"/>
                <w:sz w:val="15"/>
                <w:szCs w:val="15"/>
                <w:color w:val="auto"/>
              </w:rPr>
              <w:t>Produces and sells silicon metal and silicon-based alloys.</w:t>
            </w:r>
          </w:p>
        </w:tc>
      </w:tr>
      <w:tr>
        <w:trPr>
          <w:trHeight w:val="35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40" w:type="dxa"/>
            <w:vAlign w:val="bottom"/>
          </w:tcPr>
          <w:p>
            <w:pPr>
              <w:jc w:val="right"/>
              <w:ind w:right="3821"/>
              <w:spacing w:after="0"/>
              <w:rPr>
                <w:sz w:val="20"/>
                <w:szCs w:val="20"/>
                <w:color w:val="auto"/>
              </w:rPr>
            </w:pPr>
            <w:r>
              <w:rPr>
                <w:rFonts w:ascii="Arial" w:cs="Arial" w:eastAsia="Arial" w:hAnsi="Arial"/>
                <w:sz w:val="17"/>
                <w:szCs w:val="17"/>
                <w:color w:val="auto"/>
              </w:rPr>
              <w:t>23</w:t>
            </w:r>
          </w:p>
        </w:tc>
      </w:tr>
    </w:tbl>
    <w:p>
      <w:pPr>
        <w:sectPr>
          <w:pgSz w:w="11900" w:h="16838" w:orient="portrait"/>
          <w:cols w:equalWidth="0" w:num="1">
            <w:col w:w="11380"/>
          </w:cols>
          <w:pgMar w:left="240" w:top="444"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40" w:type="dxa"/>
            <w:vAlign w:val="bottom"/>
          </w:tcPr>
          <w:p>
            <w:pPr>
              <w:spacing w:after="0"/>
              <w:rPr>
                <w:sz w:val="20"/>
                <w:szCs w:val="20"/>
                <w:color w:val="auto"/>
              </w:rPr>
            </w:pPr>
            <w:r>
              <w:rPr>
                <w:rFonts w:ascii="Arial" w:cs="Arial" w:eastAsia="Arial" w:hAnsi="Arial"/>
                <w:sz w:val="15"/>
                <w:szCs w:val="15"/>
                <w:color w:val="auto"/>
              </w:rPr>
              <w:t>Intrepid Potash, Inc.</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w w:val="97"/>
              </w:rPr>
              <w:t>IPI</w:t>
            </w:r>
          </w:p>
        </w:tc>
        <w:tc>
          <w:tcPr>
            <w:tcW w:w="6360" w:type="dxa"/>
            <w:vAlign w:val="bottom"/>
          </w:tcPr>
          <w:p>
            <w:pPr>
              <w:ind w:left="140"/>
              <w:spacing w:after="0"/>
              <w:rPr>
                <w:sz w:val="20"/>
                <w:szCs w:val="20"/>
                <w:color w:val="auto"/>
              </w:rPr>
            </w:pPr>
            <w:r>
              <w:rPr>
                <w:rFonts w:ascii="Arial" w:cs="Arial" w:eastAsia="Arial" w:hAnsi="Arial"/>
                <w:sz w:val="15"/>
                <w:szCs w:val="15"/>
                <w:color w:val="auto"/>
                <w:w w:val="97"/>
              </w:rPr>
              <w:t>Produces and markets chemicals, including potassium chloride and sulfate of potash magnesia.</w:t>
            </w:r>
          </w:p>
        </w:tc>
      </w:tr>
      <w:tr>
        <w:trPr>
          <w:trHeight w:val="397"/>
        </w:trPr>
        <w:tc>
          <w:tcPr>
            <w:tcW w:w="2340" w:type="dxa"/>
            <w:vAlign w:val="bottom"/>
          </w:tcPr>
          <w:p>
            <w:pPr>
              <w:spacing w:after="0"/>
              <w:rPr>
                <w:sz w:val="20"/>
                <w:szCs w:val="20"/>
                <w:color w:val="auto"/>
              </w:rPr>
            </w:pPr>
            <w:r>
              <w:rPr>
                <w:rFonts w:ascii="Arial" w:cs="Arial" w:eastAsia="Arial" w:hAnsi="Arial"/>
                <w:sz w:val="15"/>
                <w:szCs w:val="15"/>
                <w:color w:val="auto"/>
              </w:rPr>
              <w:t>James Hardie Industries plc</w:t>
            </w:r>
          </w:p>
        </w:tc>
        <w:tc>
          <w:tcPr>
            <w:tcW w:w="920" w:type="dxa"/>
            <w:vAlign w:val="bottom"/>
          </w:tcPr>
          <w:p>
            <w:pPr>
              <w:jc w:val="center"/>
              <w:ind w:left="122"/>
              <w:spacing w:after="0"/>
              <w:rPr>
                <w:sz w:val="20"/>
                <w:szCs w:val="20"/>
                <w:color w:val="auto"/>
              </w:rPr>
            </w:pPr>
            <w:r>
              <w:rPr>
                <w:rFonts w:ascii="Arial" w:cs="Arial" w:eastAsia="Arial" w:hAnsi="Arial"/>
                <w:sz w:val="15"/>
                <w:szCs w:val="15"/>
                <w:color w:val="auto"/>
                <w:w w:val="98"/>
              </w:rPr>
              <w:t>JHX</w:t>
            </w:r>
          </w:p>
        </w:tc>
        <w:tc>
          <w:tcPr>
            <w:tcW w:w="6360" w:type="dxa"/>
            <w:vAlign w:val="bottom"/>
          </w:tcPr>
          <w:p>
            <w:pPr>
              <w:ind w:left="140"/>
              <w:spacing w:after="0"/>
              <w:rPr>
                <w:sz w:val="20"/>
                <w:szCs w:val="20"/>
                <w:color w:val="auto"/>
              </w:rPr>
            </w:pPr>
            <w:r>
              <w:rPr>
                <w:rFonts w:ascii="Arial" w:cs="Arial" w:eastAsia="Arial" w:hAnsi="Arial"/>
                <w:sz w:val="15"/>
                <w:szCs w:val="15"/>
                <w:color w:val="auto"/>
              </w:rPr>
              <w:t>Manufactures and sells fiber cement products for interior and exterior building construction</w:t>
            </w:r>
          </w:p>
        </w:tc>
      </w:tr>
      <w:tr>
        <w:trPr>
          <w:trHeight w:val="196"/>
        </w:trPr>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applications.</w:t>
            </w:r>
          </w:p>
        </w:tc>
      </w:tr>
      <w:tr>
        <w:trPr>
          <w:trHeight w:val="397"/>
        </w:trPr>
        <w:tc>
          <w:tcPr>
            <w:tcW w:w="2340" w:type="dxa"/>
            <w:vAlign w:val="bottom"/>
          </w:tcPr>
          <w:p>
            <w:pPr>
              <w:spacing w:after="0"/>
              <w:rPr>
                <w:sz w:val="20"/>
                <w:szCs w:val="20"/>
                <w:color w:val="auto"/>
              </w:rPr>
            </w:pPr>
            <w:r>
              <w:rPr>
                <w:rFonts w:ascii="Arial" w:cs="Arial" w:eastAsia="Arial" w:hAnsi="Arial"/>
                <w:sz w:val="15"/>
                <w:szCs w:val="15"/>
                <w:color w:val="auto"/>
              </w:rPr>
              <w:t>Louisiana-Pacific Corp.</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rPr>
              <w:t>LPX</w:t>
            </w:r>
          </w:p>
        </w:tc>
        <w:tc>
          <w:tcPr>
            <w:tcW w:w="6360" w:type="dxa"/>
            <w:vAlign w:val="bottom"/>
          </w:tcPr>
          <w:p>
            <w:pPr>
              <w:ind w:left="140"/>
              <w:spacing w:after="0"/>
              <w:rPr>
                <w:sz w:val="20"/>
                <w:szCs w:val="20"/>
                <w:color w:val="auto"/>
              </w:rPr>
            </w:pPr>
            <w:r>
              <w:rPr>
                <w:rFonts w:ascii="Arial" w:cs="Arial" w:eastAsia="Arial" w:hAnsi="Arial"/>
                <w:sz w:val="15"/>
                <w:szCs w:val="15"/>
                <w:color w:val="auto"/>
                <w:w w:val="95"/>
              </w:rPr>
              <w:t>Manufactures and distributes building products for new home construction, repair and remodeling,</w:t>
            </w:r>
          </w:p>
        </w:tc>
      </w:tr>
      <w:tr>
        <w:trPr>
          <w:trHeight w:val="196"/>
        </w:trPr>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manufactured housing, and light industrial and commercial construction.</w:t>
            </w:r>
          </w:p>
        </w:tc>
      </w:tr>
      <w:tr>
        <w:trPr>
          <w:trHeight w:val="399"/>
        </w:trPr>
        <w:tc>
          <w:tcPr>
            <w:tcW w:w="2340" w:type="dxa"/>
            <w:vAlign w:val="bottom"/>
          </w:tcPr>
          <w:p>
            <w:pPr>
              <w:spacing w:after="0"/>
              <w:rPr>
                <w:sz w:val="20"/>
                <w:szCs w:val="20"/>
                <w:color w:val="auto"/>
              </w:rPr>
            </w:pPr>
            <w:r>
              <w:rPr>
                <w:rFonts w:ascii="Arial" w:cs="Arial" w:eastAsia="Arial" w:hAnsi="Arial"/>
                <w:sz w:val="15"/>
                <w:szCs w:val="15"/>
                <w:color w:val="auto"/>
              </w:rPr>
              <w:t>Martin Marietta Materials Inc.*</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rPr>
              <w:t>MLM</w:t>
            </w:r>
          </w:p>
        </w:tc>
        <w:tc>
          <w:tcPr>
            <w:tcW w:w="6360" w:type="dxa"/>
            <w:vAlign w:val="bottom"/>
          </w:tcPr>
          <w:p>
            <w:pPr>
              <w:ind w:left="140"/>
              <w:spacing w:after="0"/>
              <w:rPr>
                <w:sz w:val="20"/>
                <w:szCs w:val="20"/>
                <w:color w:val="auto"/>
              </w:rPr>
            </w:pPr>
            <w:r>
              <w:rPr>
                <w:rFonts w:ascii="Arial" w:cs="Arial" w:eastAsia="Arial" w:hAnsi="Arial"/>
                <w:sz w:val="15"/>
                <w:szCs w:val="15"/>
                <w:color w:val="auto"/>
              </w:rPr>
              <w:t>Produces and sells aggregates for the construction industry.</w:t>
            </w:r>
          </w:p>
        </w:tc>
      </w:tr>
      <w:tr>
        <w:trPr>
          <w:trHeight w:val="399"/>
        </w:trPr>
        <w:tc>
          <w:tcPr>
            <w:tcW w:w="2340" w:type="dxa"/>
            <w:vAlign w:val="bottom"/>
          </w:tcPr>
          <w:p>
            <w:pPr>
              <w:spacing w:after="0"/>
              <w:rPr>
                <w:sz w:val="20"/>
                <w:szCs w:val="20"/>
                <w:color w:val="auto"/>
              </w:rPr>
            </w:pPr>
            <w:r>
              <w:rPr>
                <w:rFonts w:ascii="Arial" w:cs="Arial" w:eastAsia="Arial" w:hAnsi="Arial"/>
                <w:sz w:val="15"/>
                <w:szCs w:val="15"/>
                <w:color w:val="auto"/>
              </w:rPr>
              <w:t>Packaging Corp. of America</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w w:val="94"/>
              </w:rPr>
              <w:t>PKG</w:t>
            </w:r>
          </w:p>
        </w:tc>
        <w:tc>
          <w:tcPr>
            <w:tcW w:w="6360" w:type="dxa"/>
            <w:vAlign w:val="bottom"/>
          </w:tcPr>
          <w:p>
            <w:pPr>
              <w:ind w:left="140"/>
              <w:spacing w:after="0"/>
              <w:rPr>
                <w:sz w:val="20"/>
                <w:szCs w:val="20"/>
                <w:color w:val="auto"/>
              </w:rPr>
            </w:pPr>
            <w:r>
              <w:rPr>
                <w:rFonts w:ascii="Arial" w:cs="Arial" w:eastAsia="Arial" w:hAnsi="Arial"/>
                <w:sz w:val="15"/>
                <w:szCs w:val="15"/>
                <w:color w:val="auto"/>
              </w:rPr>
              <w:t>Produces and sells containerboard and corrugated products.</w:t>
            </w:r>
          </w:p>
        </w:tc>
      </w:tr>
      <w:tr>
        <w:trPr>
          <w:trHeight w:val="397"/>
        </w:trPr>
        <w:tc>
          <w:tcPr>
            <w:tcW w:w="2340" w:type="dxa"/>
            <w:vAlign w:val="bottom"/>
          </w:tcPr>
          <w:p>
            <w:pPr>
              <w:spacing w:after="0"/>
              <w:rPr>
                <w:sz w:val="20"/>
                <w:szCs w:val="20"/>
                <w:color w:val="auto"/>
              </w:rPr>
            </w:pPr>
            <w:r>
              <w:rPr>
                <w:rFonts w:ascii="Arial" w:cs="Arial" w:eastAsia="Arial" w:hAnsi="Arial"/>
                <w:sz w:val="15"/>
                <w:szCs w:val="15"/>
                <w:color w:val="auto"/>
              </w:rPr>
              <w:t>Quaker Chemical Corporation</w:t>
            </w:r>
          </w:p>
        </w:tc>
        <w:tc>
          <w:tcPr>
            <w:tcW w:w="920" w:type="dxa"/>
            <w:vAlign w:val="bottom"/>
          </w:tcPr>
          <w:p>
            <w:pPr>
              <w:jc w:val="center"/>
              <w:ind w:left="122"/>
              <w:spacing w:after="0"/>
              <w:rPr>
                <w:sz w:val="20"/>
                <w:szCs w:val="20"/>
                <w:color w:val="auto"/>
              </w:rPr>
            </w:pPr>
            <w:r>
              <w:rPr>
                <w:rFonts w:ascii="Arial" w:cs="Arial" w:eastAsia="Arial" w:hAnsi="Arial"/>
                <w:sz w:val="15"/>
                <w:szCs w:val="15"/>
                <w:color w:val="auto"/>
              </w:rPr>
              <w:t>KWR</w:t>
            </w:r>
          </w:p>
        </w:tc>
        <w:tc>
          <w:tcPr>
            <w:tcW w:w="6360" w:type="dxa"/>
            <w:vAlign w:val="bottom"/>
          </w:tcPr>
          <w:p>
            <w:pPr>
              <w:ind w:left="140"/>
              <w:spacing w:after="0"/>
              <w:rPr>
                <w:sz w:val="20"/>
                <w:szCs w:val="20"/>
                <w:color w:val="auto"/>
              </w:rPr>
            </w:pPr>
            <w:r>
              <w:rPr>
                <w:rFonts w:ascii="Arial" w:cs="Arial" w:eastAsia="Arial" w:hAnsi="Arial"/>
                <w:sz w:val="15"/>
                <w:szCs w:val="15"/>
                <w:color w:val="auto"/>
                <w:w w:val="93"/>
              </w:rPr>
              <w:t>Develops, produces and markets various formulated chemical specialty products for heavy industrial</w:t>
            </w:r>
          </w:p>
        </w:tc>
      </w:tr>
      <w:tr>
        <w:trPr>
          <w:trHeight w:val="196"/>
        </w:trPr>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and manufacturing applications worldwide.</w:t>
            </w:r>
          </w:p>
        </w:tc>
      </w:tr>
      <w:tr>
        <w:trPr>
          <w:trHeight w:val="397"/>
        </w:trPr>
        <w:tc>
          <w:tcPr>
            <w:tcW w:w="2340" w:type="dxa"/>
            <w:vAlign w:val="bottom"/>
          </w:tcPr>
          <w:p>
            <w:pPr>
              <w:spacing w:after="0"/>
              <w:rPr>
                <w:sz w:val="20"/>
                <w:szCs w:val="20"/>
                <w:color w:val="auto"/>
              </w:rPr>
            </w:pPr>
            <w:r>
              <w:rPr>
                <w:rFonts w:ascii="Arial" w:cs="Arial" w:eastAsia="Arial" w:hAnsi="Arial"/>
                <w:sz w:val="15"/>
                <w:szCs w:val="15"/>
                <w:color w:val="auto"/>
              </w:rPr>
              <w:t>Texas Industries Inc.*</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rPr>
              <w:t>TXI</w:t>
            </w:r>
          </w:p>
        </w:tc>
        <w:tc>
          <w:tcPr>
            <w:tcW w:w="6360" w:type="dxa"/>
            <w:vAlign w:val="bottom"/>
          </w:tcPr>
          <w:p>
            <w:pPr>
              <w:ind w:left="140"/>
              <w:spacing w:after="0"/>
              <w:rPr>
                <w:sz w:val="20"/>
                <w:szCs w:val="20"/>
                <w:color w:val="auto"/>
              </w:rPr>
            </w:pPr>
            <w:r>
              <w:rPr>
                <w:rFonts w:ascii="Arial" w:cs="Arial" w:eastAsia="Arial" w:hAnsi="Arial"/>
                <w:sz w:val="15"/>
                <w:szCs w:val="15"/>
                <w:color w:val="auto"/>
                <w:w w:val="95"/>
              </w:rPr>
              <w:t>Manufactures and sells heavy construction materials, including cement, aggregates and consumer</w:t>
            </w:r>
          </w:p>
        </w:tc>
      </w:tr>
      <w:tr>
        <w:trPr>
          <w:trHeight w:val="196"/>
        </w:trPr>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5"/>
                <w:szCs w:val="15"/>
                <w:color w:val="auto"/>
              </w:rPr>
              <w:t>product building materials.</w:t>
            </w:r>
          </w:p>
        </w:tc>
      </w:tr>
      <w:tr>
        <w:trPr>
          <w:trHeight w:val="399"/>
        </w:trPr>
        <w:tc>
          <w:tcPr>
            <w:tcW w:w="2340" w:type="dxa"/>
            <w:vAlign w:val="bottom"/>
          </w:tcPr>
          <w:p>
            <w:pPr>
              <w:spacing w:after="0"/>
              <w:rPr>
                <w:sz w:val="20"/>
                <w:szCs w:val="20"/>
                <w:color w:val="auto"/>
              </w:rPr>
            </w:pPr>
            <w:r>
              <w:rPr>
                <w:rFonts w:ascii="Arial" w:cs="Arial" w:eastAsia="Arial" w:hAnsi="Arial"/>
                <w:sz w:val="15"/>
                <w:szCs w:val="15"/>
                <w:color w:val="auto"/>
              </w:rPr>
              <w:t>USG Corporation*</w:t>
            </w:r>
          </w:p>
        </w:tc>
        <w:tc>
          <w:tcPr>
            <w:tcW w:w="920" w:type="dxa"/>
            <w:vAlign w:val="bottom"/>
          </w:tcPr>
          <w:p>
            <w:pPr>
              <w:jc w:val="center"/>
              <w:ind w:left="142"/>
              <w:spacing w:after="0"/>
              <w:rPr>
                <w:sz w:val="20"/>
                <w:szCs w:val="20"/>
                <w:color w:val="auto"/>
              </w:rPr>
            </w:pPr>
            <w:r>
              <w:rPr>
                <w:rFonts w:ascii="Arial" w:cs="Arial" w:eastAsia="Arial" w:hAnsi="Arial"/>
                <w:sz w:val="15"/>
                <w:szCs w:val="15"/>
                <w:color w:val="auto"/>
                <w:w w:val="92"/>
              </w:rPr>
              <w:t>USG</w:t>
            </w:r>
          </w:p>
        </w:tc>
        <w:tc>
          <w:tcPr>
            <w:tcW w:w="6360" w:type="dxa"/>
            <w:vAlign w:val="bottom"/>
          </w:tcPr>
          <w:p>
            <w:pPr>
              <w:ind w:left="140"/>
              <w:spacing w:after="0"/>
              <w:rPr>
                <w:sz w:val="20"/>
                <w:szCs w:val="20"/>
                <w:color w:val="auto"/>
              </w:rPr>
            </w:pPr>
            <w:r>
              <w:rPr>
                <w:rFonts w:ascii="Arial" w:cs="Arial" w:eastAsia="Arial" w:hAnsi="Arial"/>
                <w:sz w:val="15"/>
                <w:szCs w:val="15"/>
                <w:color w:val="auto"/>
                <w:w w:val="98"/>
              </w:rPr>
              <w:t>Manufactures and distributes gypsum wallboard and a wide range of related building materials.</w:t>
            </w:r>
          </w:p>
        </w:tc>
      </w:tr>
      <w:tr>
        <w:trPr>
          <w:trHeight w:val="416"/>
        </w:trPr>
        <w:tc>
          <w:tcPr>
            <w:tcW w:w="2340" w:type="dxa"/>
            <w:vAlign w:val="bottom"/>
          </w:tcPr>
          <w:p>
            <w:pPr>
              <w:spacing w:after="0"/>
              <w:rPr>
                <w:sz w:val="20"/>
                <w:szCs w:val="20"/>
                <w:color w:val="auto"/>
              </w:rPr>
            </w:pPr>
            <w:r>
              <w:rPr>
                <w:rFonts w:ascii="Arial" w:cs="Arial" w:eastAsia="Arial" w:hAnsi="Arial"/>
                <w:sz w:val="17"/>
                <w:szCs w:val="17"/>
                <w:color w:val="auto"/>
              </w:rPr>
              <w:t>Vulcan Materials Company*</w:t>
            </w:r>
          </w:p>
        </w:tc>
        <w:tc>
          <w:tcPr>
            <w:tcW w:w="920" w:type="dxa"/>
            <w:vAlign w:val="bottom"/>
          </w:tcPr>
          <w:p>
            <w:pPr>
              <w:jc w:val="center"/>
              <w:ind w:left="142"/>
              <w:spacing w:after="0"/>
              <w:rPr>
                <w:sz w:val="20"/>
                <w:szCs w:val="20"/>
                <w:color w:val="auto"/>
              </w:rPr>
            </w:pPr>
            <w:r>
              <w:rPr>
                <w:rFonts w:ascii="Arial" w:cs="Arial" w:eastAsia="Arial" w:hAnsi="Arial"/>
                <w:sz w:val="17"/>
                <w:szCs w:val="17"/>
                <w:color w:val="auto"/>
              </w:rPr>
              <w:t>VMC</w:t>
            </w:r>
          </w:p>
        </w:tc>
        <w:tc>
          <w:tcPr>
            <w:tcW w:w="6360" w:type="dxa"/>
            <w:vAlign w:val="bottom"/>
          </w:tcPr>
          <w:p>
            <w:pPr>
              <w:ind w:left="140"/>
              <w:spacing w:after="0"/>
              <w:rPr>
                <w:sz w:val="20"/>
                <w:szCs w:val="20"/>
                <w:color w:val="auto"/>
              </w:rPr>
            </w:pPr>
            <w:r>
              <w:rPr>
                <w:rFonts w:ascii="Arial" w:cs="Arial" w:eastAsia="Arial" w:hAnsi="Arial"/>
                <w:sz w:val="17"/>
                <w:szCs w:val="17"/>
                <w:color w:val="auto"/>
                <w:w w:val="95"/>
              </w:rPr>
              <w:t>Produces and sells construction aggregates: primarily crushed stone, sand and gravel.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229870</wp:posOffset>
            </wp:positionV>
            <wp:extent cx="1529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380" w:lineRule="exact"/>
        <w:rPr>
          <w:sz w:val="20"/>
          <w:szCs w:val="20"/>
          <w:color w:val="auto"/>
        </w:rPr>
      </w:pPr>
    </w:p>
    <w:p>
      <w:pPr>
        <w:ind w:left="640" w:hanging="180"/>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Direct peer.</w:t>
      </w:r>
    </w:p>
    <w:p>
      <w:pPr>
        <w:spacing w:after="0" w:line="160" w:lineRule="exact"/>
        <w:rPr>
          <w:sz w:val="20"/>
          <w:szCs w:val="20"/>
          <w:color w:val="auto"/>
        </w:rPr>
      </w:pPr>
    </w:p>
    <w:p>
      <w:pPr>
        <w:ind w:right="140" w:firstLine="799"/>
        <w:spacing w:after="0" w:line="261" w:lineRule="auto"/>
        <w:rPr>
          <w:sz w:val="20"/>
          <w:szCs w:val="20"/>
          <w:color w:val="auto"/>
        </w:rPr>
      </w:pPr>
      <w:r>
        <w:rPr>
          <w:rFonts w:ascii="Arial" w:cs="Arial" w:eastAsia="Arial" w:hAnsi="Arial"/>
          <w:sz w:val="17"/>
          <w:szCs w:val="17"/>
          <w:color w:val="auto"/>
        </w:rPr>
        <w:t>This peer group includes four domestic public company competitors, which we refer to as our “direct peers.” Included in the direct peer group are companies from each of our operating segments (wallboard, cement, concrete and aggregates), but none of the companies operates in all of our segments. The other companies listed above are referred to as our “supplemental peers” and include companies in related industries. We refer to our direct peers and our supplemental peers together as our “compensation peers.”</w:t>
      </w:r>
    </w:p>
    <w:p>
      <w:pPr>
        <w:spacing w:after="0" w:line="154" w:lineRule="exact"/>
        <w:rPr>
          <w:sz w:val="20"/>
          <w:szCs w:val="20"/>
          <w:color w:val="auto"/>
        </w:rPr>
      </w:pPr>
    </w:p>
    <w:p>
      <w:pPr>
        <w:ind w:right="40" w:firstLine="799"/>
        <w:spacing w:after="0" w:line="274" w:lineRule="auto"/>
        <w:rPr>
          <w:sz w:val="20"/>
          <w:szCs w:val="20"/>
          <w:color w:val="auto"/>
        </w:rPr>
      </w:pPr>
      <w:r>
        <w:rPr>
          <w:rFonts w:ascii="Arial" w:cs="Arial" w:eastAsia="Arial" w:hAnsi="Arial"/>
          <w:sz w:val="16"/>
          <w:szCs w:val="16"/>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are dissimilar to ours.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evaluating peers. For these reasons and in light of the peer analysis described above, we believe that the compensation peer group identified by our Compensation Committee for fiscal 2014 provides a more appropriate and meaningful basis for assessing our executive compensation.</w:t>
      </w:r>
    </w:p>
    <w:p>
      <w:pPr>
        <w:spacing w:after="0" w:line="131"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7"/>
          <w:szCs w:val="17"/>
          <w:color w:val="auto"/>
        </w:rPr>
        <w:t>L&amp;A delivered its compensation peer analysis report to the Compensation Committee in March 2013, utilizing trailing 12 months financials for revenue, latest quarter valuation for assets, net income as of December 31, 2012, and market capitalization and enterprise value as of March 15, 2013. The Company’s ranking in each of the categories utilized by L&amp;A was as follows: revenue (13</w:t>
      </w:r>
      <w:r>
        <w:rPr>
          <w:rFonts w:ascii="Arial" w:cs="Arial" w:eastAsia="Arial" w:hAnsi="Arial"/>
          <w:sz w:val="14"/>
          <w:szCs w:val="14"/>
          <w:color w:val="auto"/>
        </w:rPr>
        <w:t>th</w:t>
      </w:r>
      <w:r>
        <w:rPr>
          <w:rFonts w:ascii="Arial" w:cs="Arial" w:eastAsia="Arial" w:hAnsi="Arial"/>
          <w:sz w:val="17"/>
          <w:szCs w:val="17"/>
          <w:color w:val="auto"/>
        </w:rPr>
        <w:t xml:space="preserve"> percentile); assets (34</w:t>
      </w:r>
      <w:r>
        <w:rPr>
          <w:rFonts w:ascii="Arial" w:cs="Arial" w:eastAsia="Arial" w:hAnsi="Arial"/>
          <w:sz w:val="14"/>
          <w:szCs w:val="14"/>
          <w:color w:val="auto"/>
        </w:rPr>
        <w:t>th</w:t>
      </w:r>
      <w:r>
        <w:rPr>
          <w:rFonts w:ascii="Arial" w:cs="Arial" w:eastAsia="Arial" w:hAnsi="Arial"/>
          <w:sz w:val="17"/>
          <w:szCs w:val="17"/>
          <w:color w:val="auto"/>
        </w:rPr>
        <w:t xml:space="preserve"> percentile); net income (56</w:t>
      </w:r>
      <w:r>
        <w:rPr>
          <w:rFonts w:ascii="Arial" w:cs="Arial" w:eastAsia="Arial" w:hAnsi="Arial"/>
          <w:sz w:val="14"/>
          <w:szCs w:val="14"/>
          <w:color w:val="auto"/>
        </w:rPr>
        <w:t>th</w:t>
      </w:r>
      <w:r>
        <w:rPr>
          <w:rFonts w:ascii="Arial" w:cs="Arial" w:eastAsia="Arial" w:hAnsi="Arial"/>
          <w:sz w:val="17"/>
          <w:szCs w:val="17"/>
          <w:color w:val="auto"/>
        </w:rPr>
        <w:t xml:space="preserve"> percentile); market capitalization (62</w:t>
      </w:r>
      <w:r>
        <w:rPr>
          <w:rFonts w:ascii="Arial" w:cs="Arial" w:eastAsia="Arial" w:hAnsi="Arial"/>
          <w:sz w:val="14"/>
          <w:szCs w:val="14"/>
          <w:color w:val="auto"/>
        </w:rPr>
        <w:t>nd</w:t>
      </w:r>
      <w:r>
        <w:rPr>
          <w:rFonts w:ascii="Arial" w:cs="Arial" w:eastAsia="Arial" w:hAnsi="Arial"/>
          <w:sz w:val="17"/>
          <w:szCs w:val="17"/>
          <w:color w:val="auto"/>
        </w:rPr>
        <w:t xml:space="preserve"> percentile); enterprise value (51</w:t>
      </w:r>
      <w:r>
        <w:rPr>
          <w:rFonts w:ascii="Arial" w:cs="Arial" w:eastAsia="Arial" w:hAnsi="Arial"/>
          <w:sz w:val="14"/>
          <w:szCs w:val="14"/>
          <w:color w:val="auto"/>
        </w:rPr>
        <w:t>st</w:t>
      </w:r>
      <w:r>
        <w:rPr>
          <w:rFonts w:ascii="Arial" w:cs="Arial" w:eastAsia="Arial" w:hAnsi="Arial"/>
          <w:sz w:val="17"/>
          <w:szCs w:val="17"/>
          <w:color w:val="auto"/>
        </w:rPr>
        <w:t xml:space="preserve"> percentile); and EBITDA (27</w:t>
      </w:r>
      <w:r>
        <w:rPr>
          <w:rFonts w:ascii="Arial" w:cs="Arial" w:eastAsia="Arial" w:hAnsi="Arial"/>
          <w:sz w:val="14"/>
          <w:szCs w:val="14"/>
          <w:color w:val="auto"/>
        </w:rPr>
        <w:t>th</w:t>
      </w:r>
      <w:r>
        <w:rPr>
          <w:rFonts w:ascii="Arial" w:cs="Arial" w:eastAsia="Arial" w:hAnsi="Arial"/>
          <w:sz w:val="17"/>
          <w:szCs w:val="17"/>
          <w:color w:val="auto"/>
        </w:rPr>
        <w:t xml:space="preserve"> percentile). The Company therefore ranked at the 41</w:t>
      </w:r>
      <w:r>
        <w:rPr>
          <w:rFonts w:ascii="Arial" w:cs="Arial" w:eastAsia="Arial" w:hAnsi="Arial"/>
          <w:sz w:val="14"/>
          <w:szCs w:val="14"/>
          <w:color w:val="auto"/>
        </w:rPr>
        <w:t>st</w:t>
      </w:r>
      <w:r>
        <w:rPr>
          <w:rFonts w:ascii="Arial" w:cs="Arial" w:eastAsia="Arial" w:hAnsi="Arial"/>
          <w:sz w:val="17"/>
          <w:szCs w:val="17"/>
          <w:color w:val="auto"/>
        </w:rPr>
        <w:t xml:space="preserve"> percentile on average across the six financial measures.</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Industry Peers</w:t>
      </w:r>
    </w:p>
    <w:p>
      <w:pPr>
        <w:spacing w:after="0" w:line="197"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Because Eagle Materials operates in the highly cyclical construction products industry, the Compensation Committee believes that reviewing our performance relative to our industry peers is a critical consideration when evaluating management performance. Such peer comparisons help to distinguish the effects of management performance from the more general effects of business cycle trends, thereby providing important information bearing on management rewards. This peer group, which we refer to as our “industry peers,” was constructed by L&amp;A with input from management and is comprised of the direct peers noted above, plus the following international industry participants: Titan Cement Co. S.A., CRH plc, Buzzi Unicem S.p.A., Holcim Ltd., HeidelbergCement AG, Lafarge S.A., Cementos Bio-Bio S.A., Cementos Portland Valderrivas S.A., Cemex S.A.B. de C.V., Italcementi S.p.A., Cementos Argos S.A., and Headwaters Incorporated. In June 2013, L&amp;A presented the Compensation Committee with the Company’s performance results against this industry peer group as part of its compensation decision-making. The Compensation Committee reviewed the Company’s performance in the following 16 categories, in each case against the direct peers and against the entire industry peer group (all measures were trailing 12 months as of June 1, 2013, except for total stockholder return, which was based on the periods ending on March 31, 2013, our fiscal year-end):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44"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income growth (five-, three- and one-year)</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growth (five-, three- and one-year)</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Return on equity (five- and three-year)</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Return on assets (five- and three-year)</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Earnings per share</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stockholder return (ten-, five-, three- and one-year and since the Company’s initial public offering on April 12, 1994)</w:t>
      </w:r>
    </w:p>
    <w:p>
      <w:pPr>
        <w:spacing w:after="0" w:line="19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Company outperformed all of the direct peers in nine of the 16 categories, including every measure of total stockholder return and revenue growth, and was below the median in only two categories. The Company outperformed all of the industry peer group in eight of the 16 categories and was above the median in all but four categories.</w:t>
      </w:r>
    </w:p>
    <w:p>
      <w:pPr>
        <w:spacing w:after="0" w:line="136" w:lineRule="exact"/>
        <w:rPr>
          <w:sz w:val="20"/>
          <w:szCs w:val="20"/>
          <w:color w:val="auto"/>
        </w:rPr>
      </w:pPr>
    </w:p>
    <w:p>
      <w:pPr>
        <w:ind w:right="160" w:firstLine="799"/>
        <w:spacing w:after="0" w:line="290" w:lineRule="auto"/>
        <w:rPr>
          <w:sz w:val="20"/>
          <w:szCs w:val="20"/>
          <w:color w:val="auto"/>
        </w:rPr>
      </w:pPr>
      <w:r>
        <w:rPr>
          <w:rFonts w:ascii="Arial" w:cs="Arial" w:eastAsia="Arial" w:hAnsi="Arial"/>
          <w:sz w:val="16"/>
          <w:szCs w:val="16"/>
          <w:color w:val="auto"/>
        </w:rPr>
        <w:t>The Compensation Committee used the survey of the compensation peer group prepared by L&amp;A, which we refer to as our benchmarking study, and the performance comparisons to the industry peers prepared by L&amp;A, which we refer to as our industry performance study, to guide it in establishing the main components of Named Executive Officer compensation: salaries, annual incentive bonus opportunity and long-term compensation awards.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Executive Compensation</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addition to the health benefit plans and programs generally available to all employees, our executive compensation program includes the following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elements:</w:t>
      </w:r>
    </w:p>
    <w:p>
      <w:pPr>
        <w:spacing w:after="0" w:line="206" w:lineRule="exact"/>
        <w:rPr>
          <w:sz w:val="20"/>
          <w:szCs w:val="20"/>
          <w:color w:val="auto"/>
        </w:rPr>
      </w:pPr>
    </w:p>
    <w:p>
      <w:pPr>
        <w:ind w:left="1120" w:hanging="319"/>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 incentive bonus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Long-term incentive compensation</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Salary continuation plan</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Base Salary</w:t>
      </w:r>
    </w:p>
    <w:p>
      <w:pPr>
        <w:spacing w:after="0" w:line="184" w:lineRule="exact"/>
        <w:rPr>
          <w:sz w:val="20"/>
          <w:szCs w:val="20"/>
          <w:color w:val="auto"/>
        </w:rPr>
      </w:pPr>
    </w:p>
    <w:p>
      <w:pPr>
        <w:ind w:right="60" w:firstLine="799"/>
        <w:spacing w:after="0" w:line="274"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L&amp;A to conduct the benchmarking study at the beginning of fiscal 2014. The Named Executive Officer base salaries for fiscal 2013 (which was the data reviewed in the L&amp;A benchmarking study) were on average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of the salary levels for the equivalent positions at the companies reviewed in the compensation peer group in the benchmarking study. The fiscal 2014 base salaries for the Named Executive Officers were set as follows: Mr. Rowley - $885,000; Mr. Kesler - $330,000; Mr. Essl - $375,000; Mr. Powers - $375,000; and Mr. Graass - $365,000. Considerations that may influence the salary level for a Named Executive Officer include individual performance, the Named Executive Officer’s skills or experience, our operating performance and the nature and responsibilities of the position. Following the base salary adjustments, the salaries of the Named Executive Officers remained, on average,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of the L&amp;A benchmarking study.</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Annual Incentive Bonus</w:t>
      </w:r>
    </w:p>
    <w:p>
      <w:pPr>
        <w:spacing w:after="0" w:line="184" w:lineRule="exact"/>
        <w:rPr>
          <w:sz w:val="20"/>
          <w:szCs w:val="20"/>
          <w:color w:val="auto"/>
        </w:rPr>
      </w:pPr>
    </w:p>
    <w:p>
      <w:pPr>
        <w:ind w:firstLine="799"/>
        <w:spacing w:after="0" w:line="274" w:lineRule="auto"/>
        <w:rPr>
          <w:sz w:val="20"/>
          <w:szCs w:val="20"/>
          <w:color w:val="auto"/>
        </w:rPr>
      </w:pPr>
      <w:r>
        <w:rPr>
          <w:rFonts w:ascii="Arial" w:cs="Arial" w:eastAsia="Arial" w:hAnsi="Arial"/>
          <w:sz w:val="16"/>
          <w:szCs w:val="16"/>
          <w:color w:val="auto"/>
        </w:rPr>
        <w:t>The Compensation Committee is responsible for approving the annual incentive bonus for our CEO and the other Named Executive Officers. Annual incentive bonuses paid to our Named Executive Officers for fiscal 2014 were made under (1) the Eagle Materials Inc. Salaried Incentive Compensation Program for Fiscal Year 2014, which we refer to as the Eagle Annual Incentive Program, and (2) annual incentive compensation programs for fiscal 2014 established for particular operating divisions of the Company, which we refer to as Divisional Annual Incentive Bonus Programs. In general, the Named Executive Officers whose responsibilities extend to the Company as a whole (Messrs. Rowley, Kesler and Graass) participate in the Eagle Annual Incentive Program, and the Named Executive Officers whose responsibilities relate primarily to a particular operating division (Messrs. Essl and Powers) participate in relevant Divisional Annual Incentive Bonus Programs. These programs were structured to create financial incentives and rewards that are directly related to corporate performance and the participating Named Executive Officer’s individual performance during the fiscal year.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4"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operating earnings change from year to year. For example, the maximum bonus potential (as calculated in the manner described below after the end of the fiscal year) for Messrs. Essl and Powers (participants in our Divisional Incentive Programs) in fiscal 2014 was 22% and 48%, respectively, lower than in fiscal 2007 (record earnings year), in each case as a function of comparative divisional earnings.</w:t>
      </w:r>
    </w:p>
    <w:p>
      <w:pPr>
        <w:spacing w:after="0" w:line="148" w:lineRule="exact"/>
        <w:rPr>
          <w:sz w:val="20"/>
          <w:szCs w:val="20"/>
          <w:color w:val="auto"/>
        </w:rPr>
      </w:pPr>
    </w:p>
    <w:p>
      <w:pPr>
        <w:ind w:firstLine="799"/>
        <w:spacing w:after="0" w:line="277" w:lineRule="auto"/>
        <w:rPr>
          <w:sz w:val="20"/>
          <w:szCs w:val="20"/>
          <w:color w:val="auto"/>
        </w:rPr>
      </w:pPr>
      <w:r>
        <w:rPr>
          <w:rFonts w:ascii="Arial" w:cs="Arial" w:eastAsia="Arial" w:hAnsi="Arial"/>
          <w:sz w:val="16"/>
          <w:szCs w:val="16"/>
          <w:color w:val="auto"/>
        </w:rPr>
        <w:t>At the beginning of fiscal 2014, L&amp;A compared each Named Executive Officer’s actual total cash payments from fiscal 2013 (comprised of base salary plus actual annual incentive program payments) against the targeted total cash (base salary plus targeted annual incentive payments) payable to the equivalent positions at the companies reviewed in the compensation peer group. The Named Executive Officers’ actual total cash payments from fiscal 2013 were on average slightly below the median of the targeted total cash of the compensation peer group, indicating that, although the Company’s base salaries are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the total cash received by NEOs is slightly below the median of the compensation peer group. In addition, L&amp;A presented comparative data on annual bonus payouts for each executive position in the compensation peer group.</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Eagle Annual Incentive Program</w:t>
      </w:r>
    </w:p>
    <w:p>
      <w:pPr>
        <w:spacing w:after="0" w:line="178"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color w:val="auto"/>
        </w:rPr>
        <w:t>For fiscal 2014, Messrs. Rowley, Kesler and Graass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61" w:lineRule="exact"/>
        <w:rPr>
          <w:sz w:val="20"/>
          <w:szCs w:val="20"/>
          <w:color w:val="auto"/>
        </w:rPr>
      </w:pPr>
    </w:p>
    <w:p>
      <w:pPr>
        <w:ind w:firstLine="799"/>
        <w:spacing w:after="0" w:line="274" w:lineRule="auto"/>
        <w:rPr>
          <w:sz w:val="20"/>
          <w:szCs w:val="20"/>
          <w:color w:val="auto"/>
        </w:rPr>
      </w:pPr>
      <w:r>
        <w:rPr>
          <w:rFonts w:ascii="Arial" w:cs="Arial" w:eastAsia="Arial" w:hAnsi="Arial"/>
          <w:sz w:val="16"/>
          <w:szCs w:val="16"/>
          <w:color w:val="auto"/>
        </w:rPr>
        <w:t>In the first quarter of fiscal 2014, the Compensation Committee approved the designation of 1.35% of annual operating earnings for annual incentive bonuses for all executives participating in the Eagle Annual Incentive Program, including the Named Executive Officers. The Committee believes that operating earnings is an appropriate measurement for annual incentive bonuses because this measure is tied more closely to operations. The bonus pool is not subject to a separate cap or maximum, but is merely a function of multiplying the pre-determined percentage by our operating earnings for the applicable fiscal year. At the end of fiscal 2014, the Compensation Committee determined that the aggregate amount available for the Eagle Annual Incentive Program for fiscal 2014 was $2,701,150. This pool amount was not quantifiable until the end of fiscal 2014 and includes amounts available for payment to officers and employees other than the Named Executive Officers.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w:t>
      </w:r>
    </w:p>
    <w:p>
      <w:pPr>
        <w:spacing w:after="0" w:line="131" w:lineRule="exact"/>
        <w:rPr>
          <w:sz w:val="20"/>
          <w:szCs w:val="20"/>
          <w:color w:val="auto"/>
        </w:rPr>
      </w:pPr>
    </w:p>
    <w:p>
      <w:pPr>
        <w:ind w:right="40" w:firstLine="799"/>
        <w:spacing w:after="0" w:line="275" w:lineRule="auto"/>
        <w:rPr>
          <w:sz w:val="20"/>
          <w:szCs w:val="20"/>
          <w:color w:val="auto"/>
        </w:rPr>
      </w:pPr>
      <w:r>
        <w:rPr>
          <w:rFonts w:ascii="Arial" w:cs="Arial" w:eastAsia="Arial" w:hAnsi="Arial"/>
          <w:sz w:val="16"/>
          <w:szCs w:val="16"/>
          <w:color w:val="auto"/>
        </w:rPr>
        <w:t>In May 2013,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the amount of annual incentive bonus compensation payable to executives in other companies who fulfill similar roles as illustrated in the benchmarking study prepared by L&amp;A and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173" w:lineRule="exact"/>
        <w:rPr>
          <w:sz w:val="20"/>
          <w:szCs w:val="20"/>
          <w:color w:val="auto"/>
        </w:rPr>
      </w:pPr>
    </w:p>
    <w:p>
      <w:pPr>
        <w:ind w:left="1120" w:hanging="319"/>
        <w:spacing w:after="0"/>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Mr. Rowley’s annual incentive bonus potential was set at 40% of the bonus pool.</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Mr. Kesler’s annual incentive bonus potential was set at 16% of the bonus pool.</w:t>
      </w:r>
    </w:p>
    <w:p>
      <w:pPr>
        <w:spacing w:after="0" w:line="216" w:lineRule="exact"/>
        <w:rPr>
          <w:rFonts w:ascii="Arial" w:cs="Arial" w:eastAsia="Arial" w:hAnsi="Arial"/>
          <w:sz w:val="17"/>
          <w:szCs w:val="17"/>
          <w:color w:val="auto"/>
        </w:rPr>
      </w:pPr>
    </w:p>
    <w:p>
      <w:pPr>
        <w:ind w:left="5620" w:right="4820" w:hanging="4819"/>
        <w:spacing w:after="0" w:line="496" w:lineRule="auto"/>
        <w:tabs>
          <w:tab w:leader="none" w:pos="11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Graass’s annual incentive bonus potential was set at 16% of the bonus pool. 26</w:t>
      </w:r>
    </w:p>
    <w:p>
      <w:pPr>
        <w:sectPr>
          <w:pgSz w:w="11900" w:h="16838" w:orient="portrait"/>
          <w:cols w:equalWidth="0" w:num="1">
            <w:col w:w="11420"/>
          </w:cols>
          <w:pgMar w:left="240" w:top="444"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Divisional Annual Incentive Bonus Programs</w:t>
      </w:r>
    </w:p>
    <w:p>
      <w:pPr>
        <w:spacing w:after="0" w:line="191" w:lineRule="exact"/>
        <w:rPr>
          <w:sz w:val="20"/>
          <w:szCs w:val="20"/>
          <w:color w:val="auto"/>
        </w:rPr>
      </w:pPr>
    </w:p>
    <w:p>
      <w:pPr>
        <w:ind w:right="20" w:firstLine="799"/>
        <w:spacing w:after="0" w:line="279" w:lineRule="auto"/>
        <w:rPr>
          <w:sz w:val="20"/>
          <w:szCs w:val="20"/>
          <w:color w:val="auto"/>
        </w:rPr>
      </w:pPr>
      <w:r>
        <w:rPr>
          <w:rFonts w:ascii="Arial" w:cs="Arial" w:eastAsia="Arial" w:hAnsi="Arial"/>
          <w:sz w:val="16"/>
          <w:szCs w:val="16"/>
          <w:color w:val="auto"/>
        </w:rPr>
        <w:t>During fiscal 2014, each of Messrs. Essl and Powers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28"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color w:val="auto"/>
        </w:rPr>
        <w:t>Because of his responsibilities for our Cement and Concrete and Aggregates operations, Mr. Essl participated in both the Eagle Materials Inc. Cement Companies Salaried Incentive Compensation Program for Fiscal Year 2014 and the Eagle Materials Inc. Concrete and Aggregates Companies Incentive Compensation Program for Fiscal Year 2014. Under these plans, the bonus pools equaled 2.25% of each of our concrete and aggregates subsidiaries’ operating earnings for fiscal 2014 and 2.25% of each of our cement subsidiaries’ operating earnings for fiscal 2014 (or, in the case of our 50% owned cement joint venture, 2.25% of our portion of that entity’s operating earnings for fiscal 2014),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48"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color w:val="auto"/>
        </w:rPr>
        <w:t>For fiscal 2014, Mr. Powers participated in the Eagle Materials Inc. American Gypsum Company Salaried Incentive Compensation Program for Fiscal Year 2014. Under this plan, the bonus pool equaled 2.25% of American Gypsum’s operating earnings for fiscal 2014, which is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56" w:lineRule="exact"/>
        <w:rPr>
          <w:sz w:val="20"/>
          <w:szCs w:val="20"/>
          <w:color w:val="auto"/>
        </w:rPr>
      </w:pPr>
    </w:p>
    <w:p>
      <w:pPr>
        <w:ind w:firstLine="799"/>
        <w:spacing w:after="0" w:line="277"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2014 were as follows: $1,223,219 (Cement); $50,863 (Concrete and Aggregates); and $2,632,412 (American Gypsum); which in each case was not quantifiable until the end of fiscal 2014 and includes amounts available for payment to officers and employees other than the Named Executive Officers. For comparison purposes, the equivalent amounts in fiscal 2013 were $560,595 (Cement); $0 (Concrete and Aggregates); and $1,569,606 (American Gypsum); and in fiscal 2007 (record earnings year) the available pools were $1,347,374 (Cement); $385,390 (Concrete and Aggregates); and $4,581,079 (American Gypsum).</w:t>
      </w:r>
    </w:p>
    <w:p>
      <w:pPr>
        <w:spacing w:after="0" w:line="130" w:lineRule="exact"/>
        <w:rPr>
          <w:sz w:val="20"/>
          <w:szCs w:val="20"/>
          <w:color w:val="auto"/>
        </w:rPr>
      </w:pPr>
    </w:p>
    <w:p>
      <w:pPr>
        <w:ind w:right="40" w:firstLine="799"/>
        <w:spacing w:after="0" w:line="274" w:lineRule="auto"/>
        <w:rPr>
          <w:sz w:val="20"/>
          <w:szCs w:val="20"/>
          <w:color w:val="auto"/>
        </w:rPr>
      </w:pPr>
      <w:r>
        <w:rPr>
          <w:rFonts w:ascii="Arial" w:cs="Arial" w:eastAsia="Arial" w:hAnsi="Arial"/>
          <w:sz w:val="16"/>
          <w:szCs w:val="16"/>
          <w:color w:val="auto"/>
        </w:rPr>
        <w:t>In May 2013, the Compensation Committee set the annual incentive bonus potential for Messrs. Essl and Powers under these Divisional Annual Incentive Bonus Programs. In determining their respective allocation of the pools, the Compensation Committee did not rely on mathematical formulas or apply any specific quantitative performance measures. Rather, the Compensation Committee’s determination took into consideration Mr. Rowley’s recommendation, the amount of annual incentive bonus compensation payable to executives in other companies who fulfill similar roles as illustrated in the benchmarking study prepared by L&amp;A, the portion of the pools historically allocated to their respective positions and the Compensation Committee’s assessment of their importance and contribution to their respective divisions’ performance, their importance as an officer within their respective divisions in driving the achievement of divisional goals and profitability and their respective levels of responsibility. The Compensation Committee set Mr. Essl’s annual incentive bonus potential at 20% of his divisional bonus pools, plus an amount equal to 20% of 2.25% of our half of Texas Lehigh’s fiscal 2014 operating earnings, and the Compensation Committee set Mr. Powers’s incentive bonus potential at 20% of his divisional bonus pool.</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Fiscal 2014 Special Situation Program</w:t>
      </w:r>
    </w:p>
    <w:p>
      <w:pPr>
        <w:spacing w:after="0" w:line="191" w:lineRule="exact"/>
        <w:rPr>
          <w:sz w:val="20"/>
          <w:szCs w:val="20"/>
          <w:color w:val="auto"/>
        </w:rPr>
      </w:pPr>
    </w:p>
    <w:p>
      <w:pPr>
        <w:ind w:right="80" w:firstLine="799"/>
        <w:spacing w:after="0" w:line="272" w:lineRule="auto"/>
        <w:rPr>
          <w:sz w:val="20"/>
          <w:szCs w:val="20"/>
          <w:color w:val="auto"/>
        </w:rPr>
      </w:pPr>
      <w:r>
        <w:rPr>
          <w:rFonts w:ascii="Arial" w:cs="Arial" w:eastAsia="Arial" w:hAnsi="Arial"/>
          <w:sz w:val="16"/>
          <w:szCs w:val="16"/>
          <w:color w:val="auto"/>
        </w:rPr>
        <w:t>In the first quarter of fiscal 2014 (May 2013), the Compensation Committee approved the Eagle Materials Inc. Special Situation Program for Fiscal Year 2014, which we refer to as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 provided,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2014, the Compensation Committee determined that 0.35% of our operating earnings for the ensuing fiscal year would fund the SSP, along with the portions of Eagle and subsidiary incentive compensation plans and subsidiary long-term cash compensation plans not paid out. In setting the percentage of operating earnings which would fund the SSP, the Compensation Committee considered several factors, including the anticipated operating earnings for fiscal 2014. All of our Named Executive Officers are eligible to participate in the SSP; however, no Named Executive Officer received an SSP award in fiscal 2014.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4"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Approving the Annual Incentive Bonus</w:t>
      </w:r>
    </w:p>
    <w:p>
      <w:pPr>
        <w:spacing w:after="0" w:line="191" w:lineRule="exact"/>
        <w:rPr>
          <w:sz w:val="20"/>
          <w:szCs w:val="20"/>
          <w:color w:val="auto"/>
        </w:rPr>
      </w:pPr>
    </w:p>
    <w:p>
      <w:pPr>
        <w:ind w:right="220" w:firstLine="799"/>
        <w:spacing w:after="0" w:line="258" w:lineRule="auto"/>
        <w:rPr>
          <w:sz w:val="20"/>
          <w:szCs w:val="20"/>
          <w:color w:val="auto"/>
        </w:rPr>
      </w:pPr>
      <w:r>
        <w:rPr>
          <w:rFonts w:ascii="Arial" w:cs="Arial" w:eastAsia="Arial" w:hAnsi="Arial"/>
          <w:sz w:val="17"/>
          <w:szCs w:val="17"/>
          <w:color w:val="auto"/>
        </w:rPr>
        <w:t>In May 2014, the Compensation Committee approved the incentive bonus pools for fiscal 2014 for the Company and each Divisional Annual Incentive Bonus Program. In addition, at the end of fiscal 2014,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Rowley himself, the Compensation Committee, with input from the entire Board, performed its own evaluation of his performance and the extent to which the goals and objectives established for him for fiscal 2014 had been achieved.</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Mr. Rowley</w:t>
      </w:r>
    </w:p>
    <w:p>
      <w:pPr>
        <w:spacing w:after="0" w:line="178" w:lineRule="exact"/>
        <w:rPr>
          <w:sz w:val="20"/>
          <w:szCs w:val="20"/>
          <w:color w:val="auto"/>
        </w:rPr>
      </w:pPr>
    </w:p>
    <w:p>
      <w:pPr>
        <w:ind w:right="40" w:firstLine="799"/>
        <w:spacing w:after="0" w:line="273" w:lineRule="auto"/>
        <w:rPr>
          <w:sz w:val="20"/>
          <w:szCs w:val="20"/>
          <w:color w:val="auto"/>
        </w:rPr>
      </w:pPr>
      <w:r>
        <w:rPr>
          <w:rFonts w:ascii="Arial" w:cs="Arial" w:eastAsia="Arial" w:hAnsi="Arial"/>
          <w:sz w:val="16"/>
          <w:szCs w:val="16"/>
          <w:color w:val="auto"/>
        </w:rPr>
        <w:t>Mr. Rowley’s goals and objectives for fiscal 2014 (none of which were quantitative) related to: operational execution; financial execution; maintaining effective communication with our Board; maintaining the Company’s ability to execute its operating strategy; executing the Company’s investor relations strategy; and continuing development and execution of the Company’s long-term business strategy. At the end of fiscal 2014, the Compensation Committee conducted its performance evaluation of Mr. Rowley after receiving input from the entire Board. Mr. Rowley also provided input on his achievement of his goals and objectives for fiscal 2014 under the Eagle Annual Incentive Program. Based on this evaluation, the Compensation Committee believes Mr. Rowley performed at a high level during fiscal 2014 and met or exceeded his goals and objectives. That evaluation resulted in Mr. Rowley receiving 100% of his bonus potential for fiscal 2014. The Compensation Committee approved an annual incentive bonus for Mr. Rowley under the Eagle Annual Incentive Program of $1,080,460, which is reflected in the “Non-Equity Incentive Plan Compensation” column of the Summary Compensation Table located on page 34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170" w:lineRule="exact"/>
        <w:rPr>
          <w:sz w:val="20"/>
          <w:szCs w:val="20"/>
          <w:color w:val="auto"/>
        </w:rPr>
      </w:pPr>
    </w:p>
    <w:p>
      <w:pPr>
        <w:ind w:left="1120" w:right="480" w:hanging="319"/>
        <w:spacing w:after="0" w:line="279"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Rowley’s leadership in the successful integration of the assets acquired from Lafarge North America and the continued development of the Company’s emerging frac sand business;</w:t>
      </w:r>
    </w:p>
    <w:p>
      <w:pPr>
        <w:spacing w:after="0" w:line="163" w:lineRule="exact"/>
        <w:rPr>
          <w:rFonts w:ascii="Arial" w:cs="Arial" w:eastAsia="Arial" w:hAnsi="Arial"/>
          <w:sz w:val="17"/>
          <w:szCs w:val="17"/>
          <w:color w:val="auto"/>
        </w:rPr>
      </w:pPr>
    </w:p>
    <w:p>
      <w:pPr>
        <w:ind w:left="1120" w:hanging="319"/>
        <w:spacing w:after="0"/>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Rowley’s leadership in the development of our Illinois frac sand operations;</w:t>
      </w:r>
    </w:p>
    <w:p>
      <w:pPr>
        <w:spacing w:after="0" w:line="216" w:lineRule="exact"/>
        <w:rPr>
          <w:rFonts w:ascii="Arial" w:cs="Arial" w:eastAsia="Arial" w:hAnsi="Arial"/>
          <w:sz w:val="17"/>
          <w:szCs w:val="17"/>
          <w:color w:val="auto"/>
        </w:rPr>
      </w:pPr>
    </w:p>
    <w:p>
      <w:pPr>
        <w:ind w:left="1120" w:hanging="319"/>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Rowley’s success in driving management’s continuing focus on maintaining a healthy balance sheet and by reducing debt by $108 million;</w:t>
      </w:r>
    </w:p>
    <w:p>
      <w:pPr>
        <w:spacing w:after="0" w:line="228" w:lineRule="exact"/>
        <w:rPr>
          <w:rFonts w:ascii="Arial" w:cs="Arial" w:eastAsia="Arial" w:hAnsi="Arial"/>
          <w:sz w:val="16"/>
          <w:szCs w:val="16"/>
          <w:color w:val="auto"/>
        </w:rPr>
      </w:pPr>
    </w:p>
    <w:p>
      <w:pPr>
        <w:ind w:left="1120" w:right="120" w:hanging="319"/>
        <w:spacing w:after="0" w:line="279"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Rowley’s leadership in maintaining the Company’s focus on continual operating improvements which drove operating profits near record highs; and</w:t>
      </w:r>
    </w:p>
    <w:p>
      <w:pPr>
        <w:spacing w:after="0" w:line="163" w:lineRule="exact"/>
        <w:rPr>
          <w:rFonts w:ascii="Arial" w:cs="Arial" w:eastAsia="Arial" w:hAnsi="Arial"/>
          <w:sz w:val="17"/>
          <w:szCs w:val="17"/>
          <w:color w:val="auto"/>
        </w:rPr>
      </w:pPr>
    </w:p>
    <w:p>
      <w:pPr>
        <w:ind w:left="1120" w:right="160" w:hanging="319"/>
        <w:spacing w:after="0" w:line="311"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Rowley’s leadership based on a detailed knowledge of all aspects of the business, and demonstration of a hands-on leadership style on the most important matters requiring his attention, balanced with appropriate delegation of responsibilities in Eagle’s decentralized organization.</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Mr. Kesler</w:t>
      </w:r>
    </w:p>
    <w:p>
      <w:pPr>
        <w:spacing w:after="0" w:line="178"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Early in fiscal 2014, the Compensation Committee established goals and objectives for Mr. Kesler for fiscal 2014 (none of which were quantitative). At the end of fiscal 2014, Mr. Rowley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$432,184, which is reflected in the “Non-Equity Incentive Plan Compensation” column of the Summary 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Kesler’s performance and his achievement of the following factors related to his goals and objectives: Mr. Kesler’s timely and effective completion and communication of required financial planning and analysis; his assistance in continuing to develop the Company’s investor relations strategy and participation in industry-related investor conferences; his participation in evaluation of strategic growth opportunities for the Company; and his oversight of the Company’s IT department.</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Mr. Essl</w:t>
      </w:r>
    </w:p>
    <w:p>
      <w:pPr>
        <w:spacing w:after="0" w:line="191" w:lineRule="exact"/>
        <w:rPr>
          <w:sz w:val="20"/>
          <w:szCs w:val="20"/>
          <w:color w:val="auto"/>
        </w:rPr>
      </w:pPr>
    </w:p>
    <w:p>
      <w:pPr>
        <w:ind w:right="40" w:firstLine="799"/>
        <w:spacing w:after="0" w:line="279" w:lineRule="auto"/>
        <w:rPr>
          <w:sz w:val="20"/>
          <w:szCs w:val="20"/>
          <w:color w:val="auto"/>
        </w:rPr>
      </w:pPr>
      <w:r>
        <w:rPr>
          <w:rFonts w:ascii="Arial" w:cs="Arial" w:eastAsia="Arial" w:hAnsi="Arial"/>
          <w:sz w:val="16"/>
          <w:szCs w:val="16"/>
          <w:color w:val="auto"/>
        </w:rPr>
        <w:t>Early in fiscal 2014, the Compensation Committee established goals and objectives for Mr. Essl for fiscal 2014, 50% of which were non-quantitative goals and 50% were discretionary. At the end of fiscal 2014, Mr. Rowley reviewed Mr. Essl’s performance. Based in part on this review, the Compensation Committee awarded Mr. Essl 100% of his incentive bonus potential and approved an annual incentive bonus for Mr. Essl under the Eagle Materials Inc. Cement Companies Salaried Incentive Compensation Program for Fiscal Year 2014 and the Eagle Materials Inc. Concrete and Aggregate Companies Incentive Compensation Program for Fiscal Year 2014 of $425,246, which is reflected in the “Non-Equity Incentive Plan Compensation” column of the Summary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4"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Essl’s performance and his achievement of the following factors related to his goals and objectives: Mr. Essl’s maintenance of a stringent capital project review process; driving the execution of the Company’s strategic frac sand initiative; maintaining the emphasis on low-cost production at all cement, concrete and aggregates companies; and his effective involvement with various marketing and sales efforts.</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Mr. Powers</w:t>
      </w:r>
    </w:p>
    <w:p>
      <w:pPr>
        <w:spacing w:after="0" w:line="178"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Early in fiscal 2014, the Compensation Committee established goals and objectives for Mr. Powers for fiscal 2014, 40% of which were based on quantitative goals, 10% on other non-quantitative goals and 50% were discretionary. At the end of fiscal 2014, Mr. Rowley reviewed Mr. Powers’s performance. Based in part on this review, the Compensation Committee awarded Mr. Powers 92% of his incentive bonus potential and approved an annual incentive bonus for Mr. Powers under the American Gypsum Salaried Incentive Compensation Program for Fiscal Year 2014 of $484,364, which is reflected in the “Non-Equity Incentive Plan Compensation” column of the Summary Compensation Table located on page 34 of this proxy statement. In making this determination with regard to the non-quantitative portion of the goals, the Compensation Committee did not rely on mathematical formulas or assign any specific weights to his goals and objectives. The Committee used its judgment to determine the appropriate award level after taking into consideration Mr. Rowley’s input regarding Mr. Powers’s performance and his achievement of the following factors related to his goals and objectives: his achievement of targets related to safety, mill net, operating profit, waste, and product sales; his execution of American Gypsum’s long-term strategy; his successful sales and marketing efforts with customers; and his participation in various environmental and energy efficiency groups.</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Mr. Graass</w:t>
      </w:r>
    </w:p>
    <w:p>
      <w:pPr>
        <w:spacing w:after="0" w:line="191" w:lineRule="exact"/>
        <w:rPr>
          <w:sz w:val="20"/>
          <w:szCs w:val="20"/>
          <w:color w:val="auto"/>
        </w:rPr>
      </w:pPr>
    </w:p>
    <w:p>
      <w:pPr>
        <w:ind w:firstLine="799"/>
        <w:spacing w:after="0" w:line="294" w:lineRule="auto"/>
        <w:rPr>
          <w:sz w:val="20"/>
          <w:szCs w:val="20"/>
          <w:color w:val="auto"/>
        </w:rPr>
      </w:pPr>
      <w:r>
        <w:rPr>
          <w:rFonts w:ascii="Arial" w:cs="Arial" w:eastAsia="Arial" w:hAnsi="Arial"/>
          <w:sz w:val="15"/>
          <w:szCs w:val="15"/>
          <w:color w:val="auto"/>
        </w:rPr>
        <w:t>Early in fiscal 2014, the Compensation Committee established goals and objectives for Mr. Graass for fiscal 2014 (none of which were quantitative). At the end of fiscal 2014, Mr. Rowley reviewed Mr. Graass’s performance, finding that Mr. Graass had achieved his goals during the fiscal year. Based in part on this review, the Compensation Committee determined that Mr. Graass had met his goals and awarded Mr. Graass 100% of his incentive bonus potential, approving an annual incentive bonus for Mr. Graass under the Eagle Annual Incentive Program of $432,184, which is reflected in the “Non-Equity Incentive Plan Compensation” column of the Summary 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Graass’s performance and his achievement of the following factors related to his goals and objectives: his assistance in advancing certain strategic matters; oversight of all SEC filings; assistance of the Board in monitoring corporate governance issues; his management of our material contract policy and legal compliance training; and his assistance in contract negotiations and litigation management for the Company and its subsidiaries.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Long-Term Incentive Compensation</w:t>
      </w:r>
    </w:p>
    <w:p>
      <w:pPr>
        <w:spacing w:after="0" w:line="184" w:lineRule="exact"/>
        <w:rPr>
          <w:sz w:val="20"/>
          <w:szCs w:val="20"/>
          <w:color w:val="auto"/>
        </w:rPr>
      </w:pPr>
    </w:p>
    <w:p>
      <w:pPr>
        <w:ind w:right="120" w:firstLine="799"/>
        <w:spacing w:after="0" w:line="259" w:lineRule="auto"/>
        <w:rPr>
          <w:sz w:val="20"/>
          <w:szCs w:val="20"/>
          <w:color w:val="auto"/>
        </w:rPr>
      </w:pPr>
      <w:r>
        <w:rPr>
          <w:rFonts w:ascii="Arial" w:cs="Arial" w:eastAsia="Arial" w:hAnsi="Arial"/>
          <w:sz w:val="17"/>
          <w:szCs w:val="17"/>
          <w:color w:val="auto"/>
        </w:rPr>
        <w:t>Consistent with the Compensation Committee’s philosophy of linking compensation to our performance, a significant portion of our long-term incentive compensation program has been structured to link the vesting of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more in-line with the current practice of our peers.</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Burn Rate</w:t>
      </w:r>
    </w:p>
    <w:p>
      <w:pPr>
        <w:spacing w:after="0" w:line="178"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color w:val="auto"/>
        </w:rPr>
        <w:t>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1.80%. The 2014 cap for our industry published by ISS is 2.85%.</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Grant Practice</w:t>
      </w:r>
    </w:p>
    <w:p>
      <w:pPr>
        <w:spacing w:after="0" w:line="191" w:lineRule="exact"/>
        <w:rPr>
          <w:sz w:val="20"/>
          <w:szCs w:val="20"/>
          <w:color w:val="auto"/>
        </w:rPr>
      </w:pPr>
    </w:p>
    <w:p>
      <w:pPr>
        <w:ind w:right="20" w:firstLine="799"/>
        <w:spacing w:after="0" w:line="283"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2014,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24" w:lineRule="exact"/>
        <w:rPr>
          <w:sz w:val="20"/>
          <w:szCs w:val="20"/>
          <w:color w:val="auto"/>
        </w:rPr>
      </w:pPr>
    </w:p>
    <w:p>
      <w:pPr>
        <w:ind w:right="100" w:firstLine="799"/>
        <w:spacing w:after="0" w:line="261" w:lineRule="auto"/>
        <w:rPr>
          <w:sz w:val="20"/>
          <w:szCs w:val="20"/>
          <w:color w:val="auto"/>
        </w:rPr>
      </w:pPr>
      <w:r>
        <w:rPr>
          <w:rFonts w:ascii="Arial" w:cs="Arial" w:eastAsia="Arial" w:hAnsi="Arial"/>
          <w:sz w:val="17"/>
          <w:szCs w:val="17"/>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in fiscal 2015, which expires on May 31, 2015, is limited to an aggregate of 60,000 option shares; no one individual may receive more than 15,000 option shares in a given year;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4"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Section 16 reporting persons may not receive awards pursuant to this authority. Stock options granted under this delegation of authority vest 20% per year commencing on the first anniversary of the grant date. During fiscal 2014, 20,000 stock options were granted to employees under this authority out of a maximum of 60,000.</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7"/>
          <w:szCs w:val="17"/>
          <w:i w:val="1"/>
          <w:iCs w:val="1"/>
          <w:u w:val="single" w:color="auto"/>
          <w:color w:val="auto"/>
        </w:rPr>
        <w:t>Fiscal 2014 Grants</w:t>
      </w:r>
    </w:p>
    <w:p>
      <w:pPr>
        <w:spacing w:after="0" w:line="178"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In August 2013, the Compensation Committee made annual long-term incentive equity grants under our Amended and Restated Incentive Plan, which was submitted to our stockholders for approval in August 2013 and which we refer to as our “Incentive Plan.” As part of the benchmarking study delivered to the Compensation Committee in April 2013, L&amp;A had provided information regarding long-term compensation paid to the compensation peer group. In August 2013, L&amp;A provided the Compensation Committee with a comparison of proposed fiscal 2014 long-term incentive values against the compensation peer group values from the benchmarking study. On average, the Named Executive Officer long-term incentive compensation was at approximately the 75</w:t>
      </w:r>
      <w:r>
        <w:rPr>
          <w:rFonts w:ascii="Arial" w:cs="Arial" w:eastAsia="Arial" w:hAnsi="Arial"/>
          <w:sz w:val="13"/>
          <w:szCs w:val="13"/>
          <w:color w:val="auto"/>
        </w:rPr>
        <w:t>th</w:t>
      </w:r>
      <w:r>
        <w:rPr>
          <w:rFonts w:ascii="Arial" w:cs="Arial" w:eastAsia="Arial" w:hAnsi="Arial"/>
          <w:sz w:val="16"/>
          <w:szCs w:val="16"/>
          <w:color w:val="auto"/>
        </w:rPr>
        <w:t xml:space="preserve"> percentile of the compensation peer group. In determining the value of the equity to be granted, the Compensation Committee took into consideration the Company’s strong performance relative to its industry peers as demonstrated in the L&amp;A industry performance study (see “Benchmarking—Performance Peers” above), the L&amp;A benchmarking study, the fact that a significant portion of the long-term incentive compensation was to have performance-based vesting and not time-based vesting, Mr. Rowley’s input (on all individuals other than himself), the Compensation Committee’s assessment of the executive’s importance and contribution to the organization, and the executive’s level of responsibility.</w:t>
      </w:r>
    </w:p>
    <w:p>
      <w:pPr>
        <w:spacing w:after="0" w:line="135" w:lineRule="exact"/>
        <w:rPr>
          <w:sz w:val="20"/>
          <w:szCs w:val="20"/>
          <w:color w:val="auto"/>
        </w:rPr>
      </w:pPr>
    </w:p>
    <w:p>
      <w:pPr>
        <w:ind w:right="40" w:firstLine="799"/>
        <w:spacing w:after="0" w:line="258" w:lineRule="auto"/>
        <w:rPr>
          <w:sz w:val="20"/>
          <w:szCs w:val="20"/>
          <w:color w:val="auto"/>
        </w:rPr>
      </w:pPr>
      <w:r>
        <w:rPr>
          <w:rFonts w:ascii="Arial" w:cs="Arial" w:eastAsia="Arial" w:hAnsi="Arial"/>
          <w:sz w:val="17"/>
          <w:szCs w:val="17"/>
          <w:color w:val="auto"/>
        </w:rPr>
        <w:t>The value granted was allocated with respect to each Named Executive Officer between performance-vesting restricted stock (Company financial metric as well as individual performance metrics) and time-vesting stock options, such allocation being based on the Compensation Committee’s consideration of the recipient’s proximity to retirement and the recipient’s stated preference. The Committee views time-vesting stock options as pay-for-performance because they are of value only if and to the extent that the share price at the time of exercise exceeds the price on the date of grant. Time-vesting awards further enhance retention of key employees. The Committee believes that the structure of the fiscal 2014 long-term compensation program is consistent with the Compensation Committee’s philosophy of linking compensation to our performance.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Restricted Stock Grant</w:t>
      </w:r>
    </w:p>
    <w:p>
      <w:pPr>
        <w:spacing w:after="0" w:line="178" w:lineRule="exact"/>
        <w:rPr>
          <w:sz w:val="20"/>
          <w:szCs w:val="20"/>
          <w:color w:val="auto"/>
        </w:rPr>
      </w:pPr>
    </w:p>
    <w:p>
      <w:pPr>
        <w:ind w:right="80" w:firstLine="799"/>
        <w:spacing w:after="0" w:line="273" w:lineRule="auto"/>
        <w:rPr>
          <w:sz w:val="20"/>
          <w:szCs w:val="20"/>
          <w:color w:val="auto"/>
        </w:rPr>
      </w:pPr>
      <w:r>
        <w:rPr>
          <w:rFonts w:ascii="Arial" w:cs="Arial" w:eastAsia="Arial" w:hAnsi="Arial"/>
          <w:sz w:val="16"/>
          <w:szCs w:val="16"/>
          <w:color w:val="auto"/>
        </w:rPr>
        <w:t>Effective August 12, 2013, the Compensation Committee approved restricted stock awards under the Incentive Plan to a group of its key employees, including its Named Executive Officers. The awards are comprised of shares of restricted stock which vest based upon the achievement by the Company of an average return on equity for the ten years ended March 31, 2014 of at least 15%. If the Company performance vesting criterion is satisfied, then the Compensation Committee may exercise negative discretion with regard to the award based on the employee’s achievement of individual goals approved by the Compensation Committee. Following any such exercise of negative discretion, the awards become fully vested one-fifth promptly after the certification date and one-fifth on March 31 for each of the following four years (in each case assuming continued service through such dates). The terms and conditions of the restricted stock are substantially the same as the restricted stock grants made in fiscal 2013, except that the performance criterion is as described above, the Committee may exercise negative discretion based on achievement of individual goals and vesting of earned shares will occur ratably as described above. Any shares of restricted stock that were not earned at the end of fiscal 2014 were to be forfeited. As in the case of prior equity awards, the restricted stock will also vest upon a change in control of the Company. See “Change in Control Benefits” below.</w:t>
      </w:r>
    </w:p>
    <w:p>
      <w:pPr>
        <w:spacing w:after="0" w:line="135" w:lineRule="exact"/>
        <w:rPr>
          <w:sz w:val="20"/>
          <w:szCs w:val="20"/>
          <w:color w:val="auto"/>
        </w:rPr>
      </w:pPr>
    </w:p>
    <w:p>
      <w:pPr>
        <w:ind w:right="600" w:firstLine="799"/>
        <w:spacing w:after="0" w:line="279" w:lineRule="auto"/>
        <w:rPr>
          <w:sz w:val="20"/>
          <w:szCs w:val="20"/>
          <w:color w:val="auto"/>
        </w:rPr>
      </w:pPr>
      <w:r>
        <w:rPr>
          <w:rFonts w:ascii="Arial" w:cs="Arial" w:eastAsia="Arial" w:hAnsi="Arial"/>
          <w:sz w:val="17"/>
          <w:szCs w:val="17"/>
          <w:color w:val="auto"/>
        </w:rPr>
        <w:t>The number of shares of restricted stock granted was determined by reference to the market price of our Common Stock on the date of grant. The following table shows the restricted stock granted to each of the Company’s Named Executive Officers on August 12, 2013:</w:t>
      </w:r>
    </w:p>
    <w:p>
      <w:pPr>
        <w:spacing w:after="0" w:line="134"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31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right"/>
              <w:ind w:right="285"/>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4"/>
        </w:trPr>
        <w:tc>
          <w:tcPr>
            <w:tcW w:w="3160" w:type="dxa"/>
            <w:vAlign w:val="bottom"/>
            <w:gridSpan w:val="2"/>
            <w:vMerge w:val="continue"/>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Arial" w:cs="Arial" w:eastAsia="Arial" w:hAnsi="Arial"/>
                <w:sz w:val="14"/>
                <w:szCs w:val="14"/>
                <w:b w:val="1"/>
                <w:bCs w:val="1"/>
                <w:color w:val="auto"/>
                <w:w w:val="99"/>
              </w:rPr>
              <w:t>Restricted Stock</w:t>
            </w:r>
          </w:p>
        </w:tc>
        <w:tc>
          <w:tcPr>
            <w:tcW w:w="0" w:type="dxa"/>
            <w:vAlign w:val="bottom"/>
          </w:tcPr>
          <w:p>
            <w:pPr>
              <w:spacing w:after="0"/>
              <w:rPr>
                <w:sz w:val="1"/>
                <w:szCs w:val="1"/>
                <w:color w:val="auto"/>
              </w:rPr>
            </w:pPr>
          </w:p>
        </w:tc>
      </w:tr>
      <w:tr>
        <w:trPr>
          <w:trHeight w:val="178"/>
        </w:trPr>
        <w:tc>
          <w:tcPr>
            <w:tcW w:w="2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Steven R. Rowley</w:t>
            </w:r>
          </w:p>
        </w:tc>
        <w:tc>
          <w:tcPr>
            <w:tcW w:w="660" w:type="dxa"/>
            <w:vAlign w:val="bottom"/>
          </w:tcPr>
          <w:p>
            <w:pPr>
              <w:spacing w:after="0"/>
              <w:rPr>
                <w:sz w:val="15"/>
                <w:szCs w:val="15"/>
                <w:color w:val="auto"/>
              </w:rPr>
            </w:pPr>
          </w:p>
        </w:tc>
        <w:tc>
          <w:tcPr>
            <w:tcW w:w="126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rPr>
              <w:t>11,160</w:t>
            </w:r>
          </w:p>
        </w:tc>
        <w:tc>
          <w:tcPr>
            <w:tcW w:w="0" w:type="dxa"/>
            <w:vAlign w:val="bottom"/>
          </w:tcPr>
          <w:p>
            <w:pPr>
              <w:spacing w:after="0"/>
              <w:rPr>
                <w:sz w:val="1"/>
                <w:szCs w:val="1"/>
                <w:color w:val="auto"/>
              </w:rPr>
            </w:pPr>
          </w:p>
        </w:tc>
      </w:tr>
      <w:tr>
        <w:trPr>
          <w:trHeight w:val="193"/>
        </w:trPr>
        <w:tc>
          <w:tcPr>
            <w:tcW w:w="3160" w:type="dxa"/>
            <w:vAlign w:val="bottom"/>
            <w:gridSpan w:val="2"/>
          </w:tcPr>
          <w:p>
            <w:pPr>
              <w:spacing w:after="0"/>
              <w:rPr>
                <w:sz w:val="20"/>
                <w:szCs w:val="20"/>
                <w:color w:val="auto"/>
              </w:rPr>
            </w:pPr>
            <w:r>
              <w:rPr>
                <w:rFonts w:ascii="Arial" w:cs="Arial" w:eastAsia="Arial" w:hAnsi="Arial"/>
                <w:sz w:val="15"/>
                <w:szCs w:val="15"/>
                <w:color w:val="auto"/>
              </w:rPr>
              <w:t>D. Craig Kesler</w:t>
            </w:r>
          </w:p>
        </w:tc>
        <w:tc>
          <w:tcPr>
            <w:tcW w:w="1260" w:type="dxa"/>
            <w:vAlign w:val="bottom"/>
          </w:tcPr>
          <w:p>
            <w:pPr>
              <w:jc w:val="right"/>
              <w:ind w:right="365"/>
              <w:spacing w:after="0"/>
              <w:rPr>
                <w:sz w:val="20"/>
                <w:szCs w:val="20"/>
                <w:color w:val="auto"/>
              </w:rPr>
            </w:pPr>
            <w:r>
              <w:rPr>
                <w:rFonts w:ascii="Arial" w:cs="Arial" w:eastAsia="Arial" w:hAnsi="Arial"/>
                <w:sz w:val="15"/>
                <w:szCs w:val="15"/>
                <w:color w:val="auto"/>
              </w:rPr>
              <w:t>2,790</w:t>
            </w:r>
          </w:p>
        </w:tc>
        <w:tc>
          <w:tcPr>
            <w:tcW w:w="0" w:type="dxa"/>
            <w:vAlign w:val="bottom"/>
          </w:tcPr>
          <w:p>
            <w:pPr>
              <w:spacing w:after="0"/>
              <w:rPr>
                <w:sz w:val="1"/>
                <w:szCs w:val="1"/>
                <w:color w:val="auto"/>
              </w:rPr>
            </w:pPr>
          </w:p>
        </w:tc>
      </w:tr>
      <w:tr>
        <w:trPr>
          <w:trHeight w:val="193"/>
        </w:trPr>
        <w:tc>
          <w:tcPr>
            <w:tcW w:w="3160" w:type="dxa"/>
            <w:vAlign w:val="bottom"/>
            <w:gridSpan w:val="2"/>
          </w:tcPr>
          <w:p>
            <w:pPr>
              <w:spacing w:after="0"/>
              <w:rPr>
                <w:sz w:val="20"/>
                <w:szCs w:val="20"/>
                <w:color w:val="auto"/>
              </w:rPr>
            </w:pPr>
            <w:r>
              <w:rPr>
                <w:rFonts w:ascii="Arial" w:cs="Arial" w:eastAsia="Arial" w:hAnsi="Arial"/>
                <w:sz w:val="15"/>
                <w:szCs w:val="15"/>
                <w:color w:val="auto"/>
              </w:rPr>
              <w:t>Gerald J. Essl</w:t>
            </w:r>
          </w:p>
        </w:tc>
        <w:tc>
          <w:tcPr>
            <w:tcW w:w="1260" w:type="dxa"/>
            <w:vAlign w:val="bottom"/>
          </w:tcPr>
          <w:p>
            <w:pPr>
              <w:jc w:val="right"/>
              <w:ind w:right="365"/>
              <w:spacing w:after="0"/>
              <w:rPr>
                <w:sz w:val="20"/>
                <w:szCs w:val="20"/>
                <w:color w:val="auto"/>
              </w:rPr>
            </w:pPr>
            <w:r>
              <w:rPr>
                <w:rFonts w:ascii="Arial" w:cs="Arial" w:eastAsia="Arial" w:hAnsi="Arial"/>
                <w:sz w:val="15"/>
                <w:szCs w:val="15"/>
                <w:color w:val="auto"/>
              </w:rPr>
              <w:t>9,486</w:t>
            </w:r>
          </w:p>
        </w:tc>
        <w:tc>
          <w:tcPr>
            <w:tcW w:w="0" w:type="dxa"/>
            <w:vAlign w:val="bottom"/>
          </w:tcPr>
          <w:p>
            <w:pPr>
              <w:spacing w:after="0"/>
              <w:rPr>
                <w:sz w:val="1"/>
                <w:szCs w:val="1"/>
                <w:color w:val="auto"/>
              </w:rPr>
            </w:pPr>
          </w:p>
        </w:tc>
      </w:tr>
      <w:tr>
        <w:trPr>
          <w:trHeight w:val="193"/>
        </w:trPr>
        <w:tc>
          <w:tcPr>
            <w:tcW w:w="3160" w:type="dxa"/>
            <w:vAlign w:val="bottom"/>
            <w:gridSpan w:val="2"/>
          </w:tcPr>
          <w:p>
            <w:pPr>
              <w:spacing w:after="0"/>
              <w:rPr>
                <w:sz w:val="20"/>
                <w:szCs w:val="20"/>
                <w:color w:val="auto"/>
              </w:rPr>
            </w:pPr>
            <w:r>
              <w:rPr>
                <w:rFonts w:ascii="Arial" w:cs="Arial" w:eastAsia="Arial" w:hAnsi="Arial"/>
                <w:sz w:val="15"/>
                <w:szCs w:val="15"/>
                <w:color w:val="auto"/>
              </w:rPr>
              <w:t>David B. Powers</w:t>
            </w:r>
          </w:p>
        </w:tc>
        <w:tc>
          <w:tcPr>
            <w:tcW w:w="1260" w:type="dxa"/>
            <w:vAlign w:val="bottom"/>
          </w:tcPr>
          <w:p>
            <w:pPr>
              <w:jc w:val="right"/>
              <w:ind w:right="365"/>
              <w:spacing w:after="0"/>
              <w:rPr>
                <w:sz w:val="20"/>
                <w:szCs w:val="20"/>
                <w:color w:val="auto"/>
              </w:rPr>
            </w:pPr>
            <w:r>
              <w:rPr>
                <w:rFonts w:ascii="Arial" w:cs="Arial" w:eastAsia="Arial" w:hAnsi="Arial"/>
                <w:sz w:val="15"/>
                <w:szCs w:val="15"/>
                <w:color w:val="auto"/>
              </w:rPr>
              <w:t>8,928</w:t>
            </w: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rPr>
                <w:sz w:val="20"/>
                <w:szCs w:val="20"/>
                <w:color w:val="auto"/>
              </w:rPr>
            </w:pPr>
            <w:r>
              <w:rPr>
                <w:rFonts w:ascii="Arial" w:cs="Arial" w:eastAsia="Arial" w:hAnsi="Arial"/>
                <w:sz w:val="15"/>
                <w:szCs w:val="15"/>
                <w:color w:val="auto"/>
              </w:rPr>
              <w:t>James H. Graass</w:t>
            </w:r>
          </w:p>
        </w:tc>
        <w:tc>
          <w:tcPr>
            <w:tcW w:w="1260" w:type="dxa"/>
            <w:vAlign w:val="bottom"/>
          </w:tcPr>
          <w:p>
            <w:pPr>
              <w:jc w:val="right"/>
              <w:ind w:right="365"/>
              <w:spacing w:after="0"/>
              <w:rPr>
                <w:sz w:val="20"/>
                <w:szCs w:val="20"/>
                <w:color w:val="auto"/>
              </w:rPr>
            </w:pPr>
            <w:r>
              <w:rPr>
                <w:rFonts w:ascii="Arial" w:cs="Arial" w:eastAsia="Arial" w:hAnsi="Arial"/>
                <w:sz w:val="15"/>
                <w:szCs w:val="15"/>
                <w:color w:val="auto"/>
              </w:rPr>
              <w:t>5,580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00" w:firstLine="799"/>
        <w:spacing w:after="0" w:line="259" w:lineRule="auto"/>
        <w:rPr>
          <w:sz w:val="20"/>
          <w:szCs w:val="20"/>
          <w:color w:val="auto"/>
        </w:rPr>
      </w:pPr>
      <w:r>
        <w:rPr>
          <w:rFonts w:ascii="Arial" w:cs="Arial" w:eastAsia="Arial" w:hAnsi="Arial"/>
          <w:sz w:val="17"/>
          <w:szCs w:val="17"/>
          <w:color w:val="auto"/>
        </w:rPr>
        <w:t>In May 2014, the Compensation Committee certified that the Company’s 16.75% average return on equity for the ten years ended March 31, 2014 satisfied the Company performance goal. The Committee then had the opportunity to exercise negative discretion based on a grantee’s achievement of individual goals that had been previously established by the Committee. No such negative discretion was exercised by the Committee with respect to the Named Executive Officers, who earned 100% of the restricted stock award. One-fifth of the earned shares vested promptly after such determination date, and the remaining four-fifths will vest ratably on March 31 of 2015, 2016, 2017 and 2018.</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444" w:right="2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 Option Grant</w:t>
      </w:r>
    </w:p>
    <w:p>
      <w:pPr>
        <w:spacing w:after="0" w:line="191" w:lineRule="exact"/>
        <w:rPr>
          <w:sz w:val="20"/>
          <w:szCs w:val="20"/>
          <w:color w:val="auto"/>
        </w:rPr>
      </w:pPr>
    </w:p>
    <w:p>
      <w:pPr>
        <w:ind w:right="100" w:firstLine="799"/>
        <w:spacing w:after="0" w:line="279" w:lineRule="auto"/>
        <w:rPr>
          <w:sz w:val="20"/>
          <w:szCs w:val="20"/>
          <w:color w:val="auto"/>
        </w:rPr>
      </w:pPr>
      <w:r>
        <w:rPr>
          <w:rFonts w:ascii="Arial" w:cs="Arial" w:eastAsia="Arial" w:hAnsi="Arial"/>
          <w:sz w:val="16"/>
          <w:szCs w:val="16"/>
          <w:color w:val="auto"/>
        </w:rPr>
        <w:t>Also effective August 12, 2013, the Compensation Committee approved stock option awards under the Incentive Plan to a group of its key employees, including its Named Executive Officers. The awards are comprised of stock options which vest ratably over three years on August 12, 2014; August 12, 2015; and August 12, 2016 (in each case assuming continued service through such dates). The Compensation Committee believes that including time-vesting options as part of the long-term compensation is consistent with competitive pay practices, preserves the Company’s compensation philosophy that a significant portion of an executive’s pay should be at risk, while at the same time creating a strong incentive for management to grow the Company.</w:t>
      </w:r>
    </w:p>
    <w:p>
      <w:pPr>
        <w:spacing w:after="0" w:line="128"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The terms and conditions of the stock options are substantially the same as the stock option grants in fiscal 2013. As in the case of prior equity awards, the stock options will also vest upon a change in control of the Company. See “Change in Control Benefits” below. In accordance with the terms of the Incentive Plan, the exercise price of the stock options is the closing price of the Company’s Common Stock on the date of grant, August 12, 2013 ($67.21).</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number of option shares granted to our Named Executive Officers was determined by valuing the options on the date of grant using the Black-</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Scholes method. The following table shows the stock options granted to each of the Named Executive Officers on August 12, 2013:</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37"/>
              <w:spacing w:after="0"/>
              <w:rPr>
                <w:sz w:val="20"/>
                <w:szCs w:val="20"/>
                <w:color w:val="auto"/>
              </w:rPr>
            </w:pPr>
            <w:r>
              <w:rPr>
                <w:rFonts w:ascii="Arial" w:cs="Arial" w:eastAsia="Arial" w:hAnsi="Arial"/>
                <w:sz w:val="15"/>
                <w:szCs w:val="15"/>
                <w:b w:val="1"/>
                <w:bCs w:val="1"/>
                <w:color w:val="auto"/>
              </w:rPr>
              <w:t>Number of</w:t>
            </w:r>
          </w:p>
        </w:tc>
      </w:tr>
      <w:tr>
        <w:trPr>
          <w:trHeight w:val="213"/>
        </w:trPr>
        <w:tc>
          <w:tcPr>
            <w:tcW w:w="2340" w:type="dxa"/>
            <w:vAlign w:val="bottom"/>
            <w:gridSpan w:val="2"/>
          </w:tcPr>
          <w:p>
            <w:pPr>
              <w:ind w:left="860"/>
              <w:spacing w:after="0"/>
              <w:rPr>
                <w:sz w:val="20"/>
                <w:szCs w:val="20"/>
                <w:color w:val="auto"/>
              </w:rPr>
            </w:pPr>
            <w:r>
              <w:rPr>
                <w:rFonts w:ascii="Arial" w:cs="Arial" w:eastAsia="Arial" w:hAnsi="Arial"/>
                <w:sz w:val="15"/>
                <w:szCs w:val="15"/>
                <w:b w:val="1"/>
                <w:bCs w:val="1"/>
                <w:color w:val="auto"/>
              </w:rPr>
              <w:t>Name</w:t>
            </w:r>
          </w:p>
        </w:tc>
        <w:tc>
          <w:tcPr>
            <w:tcW w:w="1160" w:type="dxa"/>
            <w:vAlign w:val="bottom"/>
          </w:tcPr>
          <w:p>
            <w:pPr>
              <w:jc w:val="right"/>
              <w:ind w:right="37"/>
              <w:spacing w:after="0"/>
              <w:rPr>
                <w:sz w:val="20"/>
                <w:szCs w:val="20"/>
                <w:color w:val="auto"/>
              </w:rPr>
            </w:pPr>
            <w:r>
              <w:rPr>
                <w:rFonts w:ascii="Arial" w:cs="Arial" w:eastAsia="Arial" w:hAnsi="Arial"/>
                <w:sz w:val="15"/>
                <w:szCs w:val="15"/>
                <w:b w:val="1"/>
                <w:bCs w:val="1"/>
                <w:color w:val="auto"/>
              </w:rPr>
              <w:t>Stock Options</w:t>
            </w:r>
          </w:p>
        </w:tc>
      </w:tr>
      <w:tr>
        <w:trPr>
          <w:trHeight w:val="194"/>
        </w:trPr>
        <w:tc>
          <w:tcPr>
            <w:tcW w:w="2120" w:type="dxa"/>
            <w:vAlign w:val="bottom"/>
            <w:tcBorders>
              <w:top w:val="single" w:sz="8" w:color="auto"/>
            </w:tcBorders>
          </w:tcPr>
          <w:p>
            <w:pPr>
              <w:ind w:left="80"/>
              <w:spacing w:after="0" w:line="194" w:lineRule="exact"/>
              <w:rPr>
                <w:sz w:val="20"/>
                <w:szCs w:val="20"/>
                <w:color w:val="auto"/>
              </w:rPr>
            </w:pPr>
            <w:r>
              <w:rPr>
                <w:rFonts w:ascii="Arial" w:cs="Arial" w:eastAsia="Arial" w:hAnsi="Arial"/>
                <w:sz w:val="17"/>
                <w:szCs w:val="17"/>
                <w:color w:val="auto"/>
              </w:rPr>
              <w:t>Steven R. Rowley</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ind w:right="257"/>
              <w:spacing w:after="0" w:line="194" w:lineRule="exact"/>
              <w:rPr>
                <w:sz w:val="20"/>
                <w:szCs w:val="20"/>
                <w:color w:val="auto"/>
              </w:rPr>
            </w:pPr>
            <w:r>
              <w:rPr>
                <w:rFonts w:ascii="Arial" w:cs="Arial" w:eastAsia="Arial" w:hAnsi="Arial"/>
                <w:sz w:val="17"/>
                <w:szCs w:val="17"/>
                <w:color w:val="auto"/>
              </w:rPr>
              <w:t>86,411</w:t>
            </w:r>
          </w:p>
        </w:tc>
      </w:tr>
      <w:tr>
        <w:trPr>
          <w:trHeight w:val="206"/>
        </w:trPr>
        <w:tc>
          <w:tcPr>
            <w:tcW w:w="2340" w:type="dxa"/>
            <w:vAlign w:val="bottom"/>
            <w:gridSpan w:val="2"/>
          </w:tcPr>
          <w:p>
            <w:pPr>
              <w:ind w:left="80"/>
              <w:spacing w:after="0"/>
              <w:rPr>
                <w:sz w:val="20"/>
                <w:szCs w:val="20"/>
                <w:color w:val="auto"/>
              </w:rPr>
            </w:pPr>
            <w:r>
              <w:rPr>
                <w:rFonts w:ascii="Arial" w:cs="Arial" w:eastAsia="Arial" w:hAnsi="Arial"/>
                <w:sz w:val="17"/>
                <w:szCs w:val="17"/>
                <w:color w:val="auto"/>
              </w:rPr>
              <w:t>D. Craig Kesler</w:t>
            </w:r>
          </w:p>
        </w:tc>
        <w:tc>
          <w:tcPr>
            <w:tcW w:w="1160" w:type="dxa"/>
            <w:vAlign w:val="bottom"/>
          </w:tcPr>
          <w:p>
            <w:pPr>
              <w:jc w:val="right"/>
              <w:ind w:right="257"/>
              <w:spacing w:after="0"/>
              <w:rPr>
                <w:sz w:val="20"/>
                <w:szCs w:val="20"/>
                <w:color w:val="auto"/>
              </w:rPr>
            </w:pPr>
            <w:r>
              <w:rPr>
                <w:rFonts w:ascii="Arial" w:cs="Arial" w:eastAsia="Arial" w:hAnsi="Arial"/>
                <w:sz w:val="17"/>
                <w:szCs w:val="17"/>
                <w:color w:val="auto"/>
              </w:rPr>
              <w:t>21,603</w:t>
            </w:r>
          </w:p>
        </w:tc>
      </w:tr>
      <w:tr>
        <w:trPr>
          <w:trHeight w:val="206"/>
        </w:trPr>
        <w:tc>
          <w:tcPr>
            <w:tcW w:w="2340" w:type="dxa"/>
            <w:vAlign w:val="bottom"/>
            <w:gridSpan w:val="2"/>
          </w:tcPr>
          <w:p>
            <w:pPr>
              <w:ind w:left="80"/>
              <w:spacing w:after="0"/>
              <w:rPr>
                <w:sz w:val="20"/>
                <w:szCs w:val="20"/>
                <w:color w:val="auto"/>
              </w:rPr>
            </w:pPr>
            <w:r>
              <w:rPr>
                <w:rFonts w:ascii="Arial" w:cs="Arial" w:eastAsia="Arial" w:hAnsi="Arial"/>
                <w:sz w:val="17"/>
                <w:szCs w:val="17"/>
                <w:color w:val="auto"/>
              </w:rPr>
              <w:t>Gerald J. Essl</w:t>
            </w:r>
          </w:p>
        </w:tc>
        <w:tc>
          <w:tcPr>
            <w:tcW w:w="1160" w:type="dxa"/>
            <w:vAlign w:val="bottom"/>
          </w:tcPr>
          <w:p>
            <w:pPr>
              <w:jc w:val="right"/>
              <w:ind w:right="257"/>
              <w:spacing w:after="0"/>
              <w:rPr>
                <w:sz w:val="20"/>
                <w:szCs w:val="20"/>
                <w:color w:val="auto"/>
              </w:rPr>
            </w:pPr>
            <w:r>
              <w:rPr>
                <w:rFonts w:ascii="Arial" w:cs="Arial" w:eastAsia="Arial" w:hAnsi="Arial"/>
                <w:sz w:val="17"/>
                <w:szCs w:val="17"/>
                <w:color w:val="auto"/>
              </w:rPr>
              <w:t>8,161</w:t>
            </w:r>
          </w:p>
        </w:tc>
      </w:tr>
      <w:tr>
        <w:trPr>
          <w:trHeight w:val="206"/>
        </w:trPr>
        <w:tc>
          <w:tcPr>
            <w:tcW w:w="2340" w:type="dxa"/>
            <w:vAlign w:val="bottom"/>
            <w:gridSpan w:val="2"/>
          </w:tcPr>
          <w:p>
            <w:pPr>
              <w:ind w:left="80"/>
              <w:spacing w:after="0"/>
              <w:rPr>
                <w:sz w:val="20"/>
                <w:szCs w:val="20"/>
                <w:color w:val="auto"/>
              </w:rPr>
            </w:pPr>
            <w:r>
              <w:rPr>
                <w:rFonts w:ascii="Arial" w:cs="Arial" w:eastAsia="Arial" w:hAnsi="Arial"/>
                <w:sz w:val="17"/>
                <w:szCs w:val="17"/>
                <w:color w:val="auto"/>
              </w:rPr>
              <w:t>David B. Powers</w:t>
            </w:r>
          </w:p>
        </w:tc>
        <w:tc>
          <w:tcPr>
            <w:tcW w:w="1160" w:type="dxa"/>
            <w:vAlign w:val="bottom"/>
          </w:tcPr>
          <w:p>
            <w:pPr>
              <w:jc w:val="right"/>
              <w:ind w:right="257"/>
              <w:spacing w:after="0"/>
              <w:rPr>
                <w:sz w:val="20"/>
                <w:szCs w:val="20"/>
                <w:color w:val="auto"/>
              </w:rPr>
            </w:pPr>
            <w:r>
              <w:rPr>
                <w:rFonts w:ascii="Arial" w:cs="Arial" w:eastAsia="Arial" w:hAnsi="Arial"/>
                <w:sz w:val="17"/>
                <w:szCs w:val="17"/>
                <w:color w:val="auto"/>
              </w:rPr>
              <w:t>7,681</w:t>
            </w:r>
          </w:p>
        </w:tc>
      </w:tr>
      <w:tr>
        <w:trPr>
          <w:trHeight w:val="217"/>
        </w:trPr>
        <w:tc>
          <w:tcPr>
            <w:tcW w:w="2340" w:type="dxa"/>
            <w:vAlign w:val="bottom"/>
            <w:gridSpan w:val="2"/>
          </w:tcPr>
          <w:p>
            <w:pPr>
              <w:ind w:left="80"/>
              <w:spacing w:after="0"/>
              <w:rPr>
                <w:sz w:val="20"/>
                <w:szCs w:val="20"/>
                <w:color w:val="auto"/>
              </w:rPr>
            </w:pPr>
            <w:r>
              <w:rPr>
                <w:rFonts w:ascii="Arial" w:cs="Arial" w:eastAsia="Arial" w:hAnsi="Arial"/>
                <w:sz w:val="17"/>
                <w:szCs w:val="17"/>
                <w:color w:val="auto"/>
              </w:rPr>
              <w:t>James H. Graass</w:t>
            </w:r>
          </w:p>
        </w:tc>
        <w:tc>
          <w:tcPr>
            <w:tcW w:w="1160" w:type="dxa"/>
            <w:vAlign w:val="bottom"/>
          </w:tcPr>
          <w:p>
            <w:pPr>
              <w:jc w:val="right"/>
              <w:ind w:right="257"/>
              <w:spacing w:after="0"/>
              <w:rPr>
                <w:sz w:val="20"/>
                <w:szCs w:val="20"/>
                <w:color w:val="auto"/>
              </w:rPr>
            </w:pPr>
            <w:r>
              <w:rPr>
                <w:rFonts w:ascii="Arial" w:cs="Arial" w:eastAsia="Arial" w:hAnsi="Arial"/>
                <w:sz w:val="17"/>
                <w:szCs w:val="17"/>
                <w:color w:val="auto"/>
              </w:rPr>
              <w:t>14,402</w:t>
            </w:r>
          </w:p>
        </w:tc>
      </w:tr>
    </w:tbl>
    <w:p>
      <w:pPr>
        <w:spacing w:after="0" w:line="29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Profit Sharing and Retirement Plan</w:t>
      </w:r>
    </w:p>
    <w:p>
      <w:pPr>
        <w:spacing w:after="0" w:line="197" w:lineRule="exact"/>
        <w:rPr>
          <w:sz w:val="20"/>
          <w:szCs w:val="20"/>
          <w:color w:val="auto"/>
        </w:rPr>
      </w:pPr>
    </w:p>
    <w:p>
      <w:pPr>
        <w:ind w:right="20" w:firstLine="799"/>
        <w:spacing w:after="0" w:line="272"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$17,500),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All of the Named Executive Officers have been employed by the Company or our affiliates long enough to be fully vested. Participants are entitled to direct the investment of contributions made to the PSRP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2014 are reflected in the Summary Compensation Table located on page 34 of this proxy statement. A list of the investment funds provided under the PSRP is provided in the footnotes to the Nonqualified Deferred Compensation Table located on page 40 of this proxy statement.</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SERP</w:t>
      </w:r>
    </w:p>
    <w:p>
      <w:pPr>
        <w:spacing w:after="0" w:line="184" w:lineRule="exact"/>
        <w:rPr>
          <w:sz w:val="20"/>
          <w:szCs w:val="20"/>
          <w:color w:val="auto"/>
        </w:rPr>
      </w:pPr>
    </w:p>
    <w:p>
      <w:pPr>
        <w:ind w:right="20" w:firstLine="799"/>
        <w:spacing w:after="0" w:line="272"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($255,000 for the year covered by this proxy statement)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have been employed by the Company or our affiliates long enough to be fully vested. Employer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4"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contributions to the SERP of our Named Executive Officers in fiscal 2014 are reflected in the Summary Compensation Table located on page 34 of this proxy statement. A list of the investment funds provided under the PSRP is provided in the footnotes to the Nonqualified Deferred Compensation Table located on page 40 of this proxy statement.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Salary Continuation Plan</w:t>
      </w:r>
    </w:p>
    <w:p>
      <w:pPr>
        <w:spacing w:after="0" w:line="184" w:lineRule="exact"/>
        <w:rPr>
          <w:sz w:val="20"/>
          <w:szCs w:val="20"/>
          <w:color w:val="auto"/>
        </w:rPr>
      </w:pPr>
    </w:p>
    <w:p>
      <w:pPr>
        <w:ind w:right="60" w:firstLine="799"/>
        <w:spacing w:after="0" w:line="273"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2014 are reflected in the Summary Compensation Table located on page 34 of this proxy statement. Amounts potentially payable to the beneficiaries of our Named Executive Officers pursuant to the SCP are described in “Potential Payments Upon Termination or Change in Control” beginning on page 41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Control Benefits</w:t>
      </w:r>
    </w:p>
    <w:p>
      <w:pPr>
        <w:spacing w:after="0" w:line="191" w:lineRule="exact"/>
        <w:rPr>
          <w:sz w:val="20"/>
          <w:szCs w:val="20"/>
          <w:color w:val="auto"/>
        </w:rPr>
      </w:pPr>
    </w:p>
    <w:p>
      <w:pPr>
        <w:ind w:firstLine="799"/>
        <w:spacing w:after="0" w:line="289" w:lineRule="auto"/>
        <w:rPr>
          <w:sz w:val="20"/>
          <w:szCs w:val="20"/>
          <w:color w:val="auto"/>
        </w:rPr>
      </w:pPr>
      <w:r>
        <w:rPr>
          <w:rFonts w:ascii="Arial" w:cs="Arial" w:eastAsia="Arial" w:hAnsi="Arial"/>
          <w:sz w:val="15"/>
          <w:szCs w:val="15"/>
          <w:color w:val="auto"/>
        </w:rPr>
        <w:t>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w:t>
      </w:r>
    </w:p>
    <w:p>
      <w:pPr>
        <w:spacing w:after="0" w:line="3"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more than 50% of the stock following such transaction is owned by persons or entities who were stockholders of the Company prior to such transaction,</w:t>
      </w:r>
    </w:p>
    <w:p>
      <w:pPr>
        <w:spacing w:after="0" w:line="22" w:lineRule="exact"/>
        <w:rPr>
          <w:rFonts w:ascii="Arial" w:cs="Arial" w:eastAsia="Arial" w:hAnsi="Arial"/>
          <w:sz w:val="16"/>
          <w:szCs w:val="16"/>
          <w:color w:val="auto"/>
        </w:rPr>
      </w:pPr>
    </w:p>
    <w:p>
      <w:pPr>
        <w:ind w:right="60" w:firstLine="3"/>
        <w:spacing w:after="0" w:line="293" w:lineRule="auto"/>
        <w:tabs>
          <w:tab w:leader="none" w:pos="243"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following such transaction, no person or entity owns 40% or more of the common stock of the corporation resulting from such transaction, and (3) at least a majority of the members of the resulting corporation’s board of directors were members of our Board. If a change in control occurs, any unvested outstanding stock options, restricted stock, restricted stock units or cash awards would generally become immediately fully vested, and, in the case of stock options, exercisable or, the case of restricted stock, RSUs or cash awards, payable, in each case without regard to whether any applicable performance criteria have been or will be satisfied. See “Potential Payments Upon Termination or Change in Control” beginning on page 41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178" w:lineRule="exact"/>
        <w:rPr>
          <w:sz w:val="20"/>
          <w:szCs w:val="20"/>
          <w:color w:val="auto"/>
        </w:rPr>
      </w:pPr>
    </w:p>
    <w:p>
      <w:pPr>
        <w:ind w:right="400" w:firstLine="799"/>
        <w:spacing w:after="0" w:line="279" w:lineRule="auto"/>
        <w:rPr>
          <w:sz w:val="20"/>
          <w:szCs w:val="20"/>
          <w:color w:val="auto"/>
        </w:rPr>
      </w:pPr>
      <w:r>
        <w:rPr>
          <w:rFonts w:ascii="Arial" w:cs="Arial" w:eastAsia="Arial" w:hAnsi="Arial"/>
          <w:sz w:val="17"/>
          <w:szCs w:val="17"/>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44"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right="220" w:firstLine="799"/>
        <w:spacing w:after="0" w:line="279" w:lineRule="auto"/>
        <w:rPr>
          <w:sz w:val="20"/>
          <w:szCs w:val="20"/>
          <w:color w:val="auto"/>
        </w:rPr>
      </w:pPr>
      <w:r>
        <w:rPr>
          <w:rFonts w:ascii="Arial" w:cs="Arial" w:eastAsia="Arial" w:hAnsi="Arial"/>
          <w:sz w:val="17"/>
          <w:szCs w:val="17"/>
          <w:color w:val="auto"/>
        </w:rPr>
        <w:t>The guidelines for the Named Executive Officers are expressed as a multiple of base salary as set forth below (with actual ownership reflected as of the record date for the annual meeting):</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Arial" w:cs="Arial" w:eastAsia="Arial" w:hAnsi="Arial"/>
                <w:sz w:val="15"/>
                <w:szCs w:val="15"/>
                <w:b w:val="1"/>
                <w:bCs w:val="1"/>
                <w:color w:val="auto"/>
                <w:w w:val="92"/>
              </w:rPr>
              <w:t>Name</w:t>
            </w:r>
          </w:p>
        </w:tc>
        <w:tc>
          <w:tcPr>
            <w:tcW w:w="2100" w:type="dxa"/>
            <w:vAlign w:val="bottom"/>
          </w:tcPr>
          <w:p>
            <w:pPr>
              <w:spacing w:after="0"/>
              <w:rPr>
                <w:sz w:val="16"/>
                <w:szCs w:val="16"/>
                <w:color w:val="auto"/>
              </w:rPr>
            </w:pPr>
          </w:p>
        </w:tc>
        <w:tc>
          <w:tcPr>
            <w:tcW w:w="2380" w:type="dxa"/>
            <w:vAlign w:val="bottom"/>
            <w:gridSpan w:val="2"/>
          </w:tcPr>
          <w:p>
            <w:pPr>
              <w:jc w:val="center"/>
              <w:ind w:right="940"/>
              <w:spacing w:after="0"/>
              <w:rPr>
                <w:sz w:val="20"/>
                <w:szCs w:val="20"/>
                <w:color w:val="auto"/>
              </w:rPr>
            </w:pPr>
            <w:r>
              <w:rPr>
                <w:rFonts w:ascii="Arial" w:cs="Arial" w:eastAsia="Arial" w:hAnsi="Arial"/>
                <w:sz w:val="15"/>
                <w:szCs w:val="15"/>
                <w:b w:val="1"/>
                <w:bCs w:val="1"/>
                <w:color w:val="auto"/>
                <w:w w:val="96"/>
              </w:rPr>
              <w:t>Multiple of Salary</w:t>
            </w:r>
          </w:p>
        </w:tc>
        <w:tc>
          <w:tcPr>
            <w:tcW w:w="2200" w:type="dxa"/>
            <w:vAlign w:val="bottom"/>
            <w:gridSpan w:val="2"/>
          </w:tcPr>
          <w:p>
            <w:pPr>
              <w:jc w:val="center"/>
              <w:ind w:right="960"/>
              <w:spacing w:after="0"/>
              <w:rPr>
                <w:sz w:val="20"/>
                <w:szCs w:val="20"/>
                <w:color w:val="auto"/>
              </w:rPr>
            </w:pPr>
            <w:r>
              <w:rPr>
                <w:rFonts w:ascii="Arial" w:cs="Arial" w:eastAsia="Arial" w:hAnsi="Arial"/>
                <w:sz w:val="15"/>
                <w:szCs w:val="15"/>
                <w:b w:val="1"/>
                <w:bCs w:val="1"/>
                <w:color w:val="auto"/>
                <w:w w:val="92"/>
              </w:rPr>
              <w:t>Number of Shares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2"/>
              </w:rPr>
              <w:t>Ownership Guidelines</w:t>
            </w:r>
          </w:p>
        </w:tc>
        <w:tc>
          <w:tcPr>
            <w:tcW w:w="900" w:type="dxa"/>
            <w:vAlign w:val="bottom"/>
          </w:tcPr>
          <w:p>
            <w:pPr>
              <w:spacing w:after="0"/>
              <w:rPr>
                <w:sz w:val="18"/>
                <w:szCs w:val="18"/>
                <w:color w:val="auto"/>
              </w:rPr>
            </w:pPr>
          </w:p>
        </w:tc>
        <w:tc>
          <w:tcPr>
            <w:tcW w:w="2200" w:type="dxa"/>
            <w:vAlign w:val="bottom"/>
            <w:gridSpan w:val="2"/>
          </w:tcPr>
          <w:p>
            <w:pPr>
              <w:jc w:val="center"/>
              <w:ind w:right="920"/>
              <w:spacing w:after="0"/>
              <w:rPr>
                <w:sz w:val="20"/>
                <w:szCs w:val="20"/>
                <w:color w:val="auto"/>
              </w:rPr>
            </w:pPr>
            <w:r>
              <w:rPr>
                <w:rFonts w:ascii="Arial" w:cs="Arial" w:eastAsia="Arial" w:hAnsi="Arial"/>
                <w:sz w:val="15"/>
                <w:szCs w:val="15"/>
                <w:b w:val="1"/>
                <w:bCs w:val="1"/>
                <w:color w:val="auto"/>
                <w:w w:val="89"/>
              </w:rPr>
              <w:t>of Common Stock</w:t>
            </w:r>
            <w:r>
              <w:rPr>
                <w:rFonts w:ascii="Arial" w:cs="Arial" w:eastAsia="Arial" w:hAnsi="Arial"/>
                <w:sz w:val="17"/>
                <w:szCs w:val="17"/>
                <w:color w:val="auto"/>
                <w:w w:val="89"/>
                <w:vertAlign w:val="superscript"/>
              </w:rPr>
              <w:t>(1)</w:t>
            </w:r>
          </w:p>
        </w:tc>
        <w:tc>
          <w:tcPr>
            <w:tcW w:w="1320" w:type="dxa"/>
            <w:vAlign w:val="bottom"/>
          </w:tcPr>
          <w:p>
            <w:pPr>
              <w:spacing w:after="0"/>
              <w:rPr>
                <w:sz w:val="20"/>
                <w:szCs w:val="20"/>
                <w:color w:val="auto"/>
              </w:rPr>
            </w:pPr>
            <w:r>
              <w:rPr>
                <w:rFonts w:ascii="Arial" w:cs="Arial" w:eastAsia="Arial" w:hAnsi="Arial"/>
                <w:sz w:val="15"/>
                <w:szCs w:val="15"/>
                <w:b w:val="1"/>
                <w:bCs w:val="1"/>
                <w:color w:val="auto"/>
                <w:w w:val="91"/>
              </w:rPr>
              <w:t>Actual Ownership</w:t>
            </w:r>
            <w:r>
              <w:rPr>
                <w:rFonts w:ascii="Arial" w:cs="Arial" w:eastAsia="Arial" w:hAnsi="Arial"/>
                <w:sz w:val="17"/>
                <w:szCs w:val="17"/>
                <w:color w:val="auto"/>
                <w:w w:val="91"/>
                <w:vertAlign w:val="superscript"/>
              </w:rPr>
              <w:t>(2)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00" w:type="dxa"/>
            <w:vAlign w:val="bottom"/>
            <w:gridSpan w:val="2"/>
          </w:tcPr>
          <w:p>
            <w:pPr>
              <w:spacing w:after="0"/>
              <w:rPr>
                <w:sz w:val="20"/>
                <w:szCs w:val="20"/>
                <w:color w:val="auto"/>
              </w:rPr>
            </w:pPr>
            <w:r>
              <w:rPr>
                <w:rFonts w:ascii="Arial" w:cs="Arial" w:eastAsia="Arial" w:hAnsi="Arial"/>
                <w:sz w:val="15"/>
                <w:szCs w:val="15"/>
                <w:color w:val="auto"/>
              </w:rPr>
              <w:t>Steven R. Rowley</w:t>
            </w:r>
          </w:p>
        </w:tc>
        <w:tc>
          <w:tcPr>
            <w:tcW w:w="2100" w:type="dxa"/>
            <w:vAlign w:val="bottom"/>
          </w:tcPr>
          <w:p>
            <w:pPr>
              <w:spacing w:after="0"/>
              <w:rPr>
                <w:sz w:val="24"/>
                <w:szCs w:val="24"/>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5X</w:t>
            </w:r>
          </w:p>
        </w:tc>
        <w:tc>
          <w:tcPr>
            <w:tcW w:w="1280" w:type="dxa"/>
            <w:vAlign w:val="bottom"/>
          </w:tcPr>
          <w:p>
            <w:pPr>
              <w:jc w:val="center"/>
              <w:spacing w:after="0"/>
              <w:rPr>
                <w:sz w:val="20"/>
                <w:szCs w:val="20"/>
                <w:color w:val="auto"/>
              </w:rPr>
            </w:pPr>
            <w:r>
              <w:rPr>
                <w:rFonts w:ascii="Arial" w:cs="Arial" w:eastAsia="Arial" w:hAnsi="Arial"/>
                <w:sz w:val="15"/>
                <w:szCs w:val="15"/>
                <w:color w:val="auto"/>
                <w:w w:val="95"/>
              </w:rPr>
              <w:t>83,400</w:t>
            </w:r>
          </w:p>
        </w:tc>
        <w:tc>
          <w:tcPr>
            <w:tcW w:w="9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168,269</w:t>
            </w:r>
          </w:p>
        </w:tc>
        <w:tc>
          <w:tcPr>
            <w:tcW w:w="0" w:type="dxa"/>
            <w:vAlign w:val="bottom"/>
          </w:tcPr>
          <w:p>
            <w:pPr>
              <w:spacing w:after="0"/>
              <w:rPr>
                <w:sz w:val="1"/>
                <w:szCs w:val="1"/>
                <w:color w:val="auto"/>
              </w:rPr>
            </w:pPr>
          </w:p>
        </w:tc>
      </w:tr>
      <w:tr>
        <w:trPr>
          <w:trHeight w:val="193"/>
        </w:trPr>
        <w:tc>
          <w:tcPr>
            <w:tcW w:w="1300" w:type="dxa"/>
            <w:vAlign w:val="bottom"/>
            <w:gridSpan w:val="2"/>
          </w:tcPr>
          <w:p>
            <w:pPr>
              <w:spacing w:after="0"/>
              <w:rPr>
                <w:sz w:val="20"/>
                <w:szCs w:val="20"/>
                <w:color w:val="auto"/>
              </w:rPr>
            </w:pPr>
            <w:r>
              <w:rPr>
                <w:rFonts w:ascii="Arial" w:cs="Arial" w:eastAsia="Arial" w:hAnsi="Arial"/>
                <w:sz w:val="15"/>
                <w:szCs w:val="15"/>
                <w:color w:val="auto"/>
              </w:rPr>
              <w:t>D. Craig Kesler</w:t>
            </w:r>
          </w:p>
        </w:tc>
        <w:tc>
          <w:tcPr>
            <w:tcW w:w="2100" w:type="dxa"/>
            <w:vAlign w:val="bottom"/>
          </w:tcPr>
          <w:p>
            <w:pPr>
              <w:spacing w:after="0"/>
              <w:rPr>
                <w:sz w:val="16"/>
                <w:szCs w:val="16"/>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3X</w:t>
            </w:r>
          </w:p>
        </w:tc>
        <w:tc>
          <w:tcPr>
            <w:tcW w:w="1280" w:type="dxa"/>
            <w:vAlign w:val="bottom"/>
          </w:tcPr>
          <w:p>
            <w:pPr>
              <w:jc w:val="center"/>
              <w:spacing w:after="0"/>
              <w:rPr>
                <w:sz w:val="20"/>
                <w:szCs w:val="20"/>
                <w:color w:val="auto"/>
              </w:rPr>
            </w:pPr>
            <w:r>
              <w:rPr>
                <w:rFonts w:ascii="Arial" w:cs="Arial" w:eastAsia="Arial" w:hAnsi="Arial"/>
                <w:sz w:val="15"/>
                <w:szCs w:val="15"/>
                <w:color w:val="auto"/>
                <w:w w:val="95"/>
              </w:rPr>
              <w:t>26,900</w:t>
            </w:r>
          </w:p>
        </w:tc>
        <w:tc>
          <w:tcPr>
            <w:tcW w:w="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59,906</w:t>
            </w:r>
          </w:p>
        </w:tc>
        <w:tc>
          <w:tcPr>
            <w:tcW w:w="0" w:type="dxa"/>
            <w:vAlign w:val="bottom"/>
          </w:tcPr>
          <w:p>
            <w:pPr>
              <w:spacing w:after="0"/>
              <w:rPr>
                <w:sz w:val="1"/>
                <w:szCs w:val="1"/>
                <w:color w:val="auto"/>
              </w:rPr>
            </w:pPr>
          </w:p>
        </w:tc>
      </w:tr>
      <w:tr>
        <w:trPr>
          <w:trHeight w:val="193"/>
        </w:trPr>
        <w:tc>
          <w:tcPr>
            <w:tcW w:w="1300" w:type="dxa"/>
            <w:vAlign w:val="bottom"/>
            <w:gridSpan w:val="2"/>
          </w:tcPr>
          <w:p>
            <w:pPr>
              <w:spacing w:after="0"/>
              <w:rPr>
                <w:sz w:val="20"/>
                <w:szCs w:val="20"/>
                <w:color w:val="auto"/>
              </w:rPr>
            </w:pPr>
            <w:r>
              <w:rPr>
                <w:rFonts w:ascii="Arial" w:cs="Arial" w:eastAsia="Arial" w:hAnsi="Arial"/>
                <w:sz w:val="15"/>
                <w:szCs w:val="15"/>
                <w:color w:val="auto"/>
              </w:rPr>
              <w:t>Gerald J. Essl</w:t>
            </w:r>
          </w:p>
        </w:tc>
        <w:tc>
          <w:tcPr>
            <w:tcW w:w="2100" w:type="dxa"/>
            <w:vAlign w:val="bottom"/>
          </w:tcPr>
          <w:p>
            <w:pPr>
              <w:spacing w:after="0"/>
              <w:rPr>
                <w:sz w:val="16"/>
                <w:szCs w:val="16"/>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3X</w:t>
            </w:r>
          </w:p>
        </w:tc>
        <w:tc>
          <w:tcPr>
            <w:tcW w:w="1280" w:type="dxa"/>
            <w:vAlign w:val="bottom"/>
          </w:tcPr>
          <w:p>
            <w:pPr>
              <w:jc w:val="center"/>
              <w:spacing w:after="0"/>
              <w:rPr>
                <w:sz w:val="20"/>
                <w:szCs w:val="20"/>
                <w:color w:val="auto"/>
              </w:rPr>
            </w:pPr>
            <w:r>
              <w:rPr>
                <w:rFonts w:ascii="Arial" w:cs="Arial" w:eastAsia="Arial" w:hAnsi="Arial"/>
                <w:sz w:val="15"/>
                <w:szCs w:val="15"/>
                <w:color w:val="auto"/>
                <w:w w:val="95"/>
              </w:rPr>
              <w:t>22,200</w:t>
            </w:r>
          </w:p>
        </w:tc>
        <w:tc>
          <w:tcPr>
            <w:tcW w:w="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48,501</w:t>
            </w:r>
          </w:p>
        </w:tc>
        <w:tc>
          <w:tcPr>
            <w:tcW w:w="0" w:type="dxa"/>
            <w:vAlign w:val="bottom"/>
          </w:tcPr>
          <w:p>
            <w:pPr>
              <w:spacing w:after="0"/>
              <w:rPr>
                <w:sz w:val="1"/>
                <w:szCs w:val="1"/>
                <w:color w:val="auto"/>
              </w:rPr>
            </w:pPr>
          </w:p>
        </w:tc>
      </w:tr>
      <w:tr>
        <w:trPr>
          <w:trHeight w:val="193"/>
        </w:trPr>
        <w:tc>
          <w:tcPr>
            <w:tcW w:w="1300" w:type="dxa"/>
            <w:vAlign w:val="bottom"/>
            <w:gridSpan w:val="2"/>
          </w:tcPr>
          <w:p>
            <w:pPr>
              <w:spacing w:after="0"/>
              <w:rPr>
                <w:sz w:val="20"/>
                <w:szCs w:val="20"/>
                <w:color w:val="auto"/>
              </w:rPr>
            </w:pPr>
            <w:r>
              <w:rPr>
                <w:rFonts w:ascii="Arial" w:cs="Arial" w:eastAsia="Arial" w:hAnsi="Arial"/>
                <w:sz w:val="15"/>
                <w:szCs w:val="15"/>
                <w:color w:val="auto"/>
              </w:rPr>
              <w:t>David B. Powers</w:t>
            </w:r>
          </w:p>
        </w:tc>
        <w:tc>
          <w:tcPr>
            <w:tcW w:w="2100" w:type="dxa"/>
            <w:vAlign w:val="bottom"/>
          </w:tcPr>
          <w:p>
            <w:pPr>
              <w:spacing w:after="0"/>
              <w:rPr>
                <w:sz w:val="16"/>
                <w:szCs w:val="16"/>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3X</w:t>
            </w:r>
          </w:p>
        </w:tc>
        <w:tc>
          <w:tcPr>
            <w:tcW w:w="1280" w:type="dxa"/>
            <w:vAlign w:val="bottom"/>
          </w:tcPr>
          <w:p>
            <w:pPr>
              <w:jc w:val="center"/>
              <w:spacing w:after="0"/>
              <w:rPr>
                <w:sz w:val="20"/>
                <w:szCs w:val="20"/>
                <w:color w:val="auto"/>
              </w:rPr>
            </w:pPr>
            <w:r>
              <w:rPr>
                <w:rFonts w:ascii="Arial" w:cs="Arial" w:eastAsia="Arial" w:hAnsi="Arial"/>
                <w:sz w:val="15"/>
                <w:szCs w:val="15"/>
                <w:color w:val="auto"/>
                <w:w w:val="95"/>
              </w:rPr>
              <w:t>22,200</w:t>
            </w:r>
          </w:p>
        </w:tc>
        <w:tc>
          <w:tcPr>
            <w:tcW w:w="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50,017</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rPr>
                <w:sz w:val="20"/>
                <w:szCs w:val="20"/>
                <w:color w:val="auto"/>
              </w:rPr>
            </w:pPr>
            <w:r>
              <w:rPr>
                <w:rFonts w:ascii="Arial" w:cs="Arial" w:eastAsia="Arial" w:hAnsi="Arial"/>
                <w:sz w:val="15"/>
                <w:szCs w:val="15"/>
                <w:color w:val="auto"/>
              </w:rPr>
              <w:t>James H. Graass</w:t>
            </w:r>
          </w:p>
        </w:tc>
        <w:tc>
          <w:tcPr>
            <w:tcW w:w="2100" w:type="dxa"/>
            <w:vAlign w:val="bottom"/>
          </w:tcPr>
          <w:p>
            <w:pPr>
              <w:spacing w:after="0"/>
              <w:rPr>
                <w:sz w:val="17"/>
                <w:szCs w:val="17"/>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3X</w:t>
            </w:r>
          </w:p>
        </w:tc>
        <w:tc>
          <w:tcPr>
            <w:tcW w:w="1280" w:type="dxa"/>
            <w:vAlign w:val="bottom"/>
          </w:tcPr>
          <w:p>
            <w:pPr>
              <w:jc w:val="center"/>
              <w:spacing w:after="0"/>
              <w:rPr>
                <w:sz w:val="20"/>
                <w:szCs w:val="20"/>
                <w:color w:val="auto"/>
              </w:rPr>
            </w:pPr>
            <w:r>
              <w:rPr>
                <w:rFonts w:ascii="Arial" w:cs="Arial" w:eastAsia="Arial" w:hAnsi="Arial"/>
                <w:sz w:val="15"/>
                <w:szCs w:val="15"/>
                <w:color w:val="auto"/>
                <w:w w:val="95"/>
              </w:rPr>
              <w:t>22,200</w:t>
            </w:r>
          </w:p>
        </w:tc>
        <w:tc>
          <w:tcPr>
            <w:tcW w:w="9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61,486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1889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158" w:lineRule="exact"/>
        <w:rPr>
          <w:sz w:val="20"/>
          <w:szCs w:val="20"/>
          <w:color w:val="auto"/>
        </w:rPr>
      </w:pPr>
    </w:p>
    <w:p>
      <w:pPr>
        <w:ind w:left="1140" w:right="180" w:hanging="454"/>
        <w:spacing w:after="0" w:line="227" w:lineRule="auto"/>
        <w:tabs>
          <w:tab w:leader="none" w:pos="1140" w:val="left"/>
        </w:tabs>
        <w:numPr>
          <w:ilvl w:val="0"/>
          <w:numId w:val="34"/>
        </w:numPr>
        <w:rPr>
          <w:rFonts w:ascii="Arial" w:cs="Arial" w:eastAsia="Arial" w:hAnsi="Arial"/>
          <w:sz w:val="26"/>
          <w:szCs w:val="26"/>
          <w:color w:val="auto"/>
          <w:vertAlign w:val="superscript"/>
        </w:rPr>
      </w:pPr>
      <w:r>
        <w:rPr>
          <w:rFonts w:ascii="Arial" w:cs="Arial" w:eastAsia="Arial" w:hAnsi="Arial"/>
          <w:sz w:val="15"/>
          <w:szCs w:val="15"/>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12" w:lineRule="exact"/>
        <w:rPr>
          <w:rFonts w:ascii="Arial" w:cs="Arial" w:eastAsia="Arial" w:hAnsi="Arial"/>
          <w:sz w:val="26"/>
          <w:szCs w:val="26"/>
          <w:color w:val="auto"/>
          <w:vertAlign w:val="superscript"/>
        </w:rPr>
      </w:pPr>
    </w:p>
    <w:p>
      <w:pPr>
        <w:ind w:left="1140" w:hanging="454"/>
        <w:spacing w:after="0"/>
        <w:tabs>
          <w:tab w:leader="none" w:pos="1140" w:val="left"/>
        </w:tabs>
        <w:numPr>
          <w:ilvl w:val="0"/>
          <w:numId w:val="34"/>
        </w:numPr>
        <w:rPr>
          <w:rFonts w:ascii="Arial" w:cs="Arial" w:eastAsia="Arial" w:hAnsi="Arial"/>
          <w:sz w:val="26"/>
          <w:szCs w:val="26"/>
          <w:color w:val="auto"/>
          <w:vertAlign w:val="superscript"/>
        </w:rPr>
      </w:pPr>
      <w:r>
        <w:rPr>
          <w:rFonts w:ascii="Arial" w:cs="Arial" w:eastAsia="Arial" w:hAnsi="Arial"/>
          <w:sz w:val="15"/>
          <w:szCs w:val="15"/>
          <w:color w:val="auto"/>
        </w:rPr>
        <w:t>Types of ownership counted toward the guidelines include the following:</w:t>
      </w:r>
    </w:p>
    <w:p>
      <w:pPr>
        <w:spacing w:after="0" w:line="122" w:lineRule="exact"/>
        <w:rPr>
          <w:rFonts w:ascii="Arial" w:cs="Arial" w:eastAsia="Arial" w:hAnsi="Arial"/>
          <w:sz w:val="26"/>
          <w:szCs w:val="26"/>
          <w:color w:val="auto"/>
          <w:vertAlign w:val="superscript"/>
        </w:rPr>
      </w:pPr>
    </w:p>
    <w:p>
      <w:pPr>
        <w:ind w:left="1580" w:hanging="444"/>
        <w:spacing w:after="0"/>
        <w:tabs>
          <w:tab w:leader="none" w:pos="15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Stock holdings in our PSRP;</w:t>
      </w:r>
    </w:p>
    <w:p>
      <w:pPr>
        <w:spacing w:after="0" w:line="112" w:lineRule="exact"/>
        <w:rPr>
          <w:rFonts w:ascii="Arial" w:cs="Arial" w:eastAsia="Arial" w:hAnsi="Arial"/>
          <w:sz w:val="17"/>
          <w:szCs w:val="17"/>
          <w:color w:val="auto"/>
        </w:rPr>
      </w:pPr>
    </w:p>
    <w:p>
      <w:pPr>
        <w:ind w:left="1580" w:hanging="444"/>
        <w:spacing w:after="0"/>
        <w:tabs>
          <w:tab w:leader="none" w:pos="15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Direct holdings;</w:t>
      </w:r>
    </w:p>
    <w:p>
      <w:pPr>
        <w:spacing w:after="0" w:line="126" w:lineRule="exact"/>
        <w:rPr>
          <w:rFonts w:ascii="Arial" w:cs="Arial" w:eastAsia="Arial" w:hAnsi="Arial"/>
          <w:sz w:val="17"/>
          <w:szCs w:val="17"/>
          <w:color w:val="auto"/>
        </w:rPr>
      </w:pPr>
    </w:p>
    <w:p>
      <w:pPr>
        <w:ind w:left="1580" w:hanging="444"/>
        <w:spacing w:after="0"/>
        <w:tabs>
          <w:tab w:leader="none" w:pos="15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Indirect holdings, such as shares owned by a family member residing in the same household; and</w:t>
      </w:r>
    </w:p>
    <w:p>
      <w:pPr>
        <w:spacing w:after="0" w:line="126" w:lineRule="exact"/>
        <w:rPr>
          <w:rFonts w:ascii="Arial" w:cs="Arial" w:eastAsia="Arial" w:hAnsi="Arial"/>
          <w:sz w:val="17"/>
          <w:szCs w:val="17"/>
          <w:color w:val="auto"/>
        </w:rPr>
      </w:pPr>
    </w:p>
    <w:p>
      <w:pPr>
        <w:ind w:left="1580" w:hanging="444"/>
        <w:spacing w:after="0"/>
        <w:tabs>
          <w:tab w:leader="none" w:pos="15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Shares represented by restricted stock.</w:t>
      </w:r>
    </w:p>
    <w:p>
      <w:pPr>
        <w:spacing w:after="0" w:line="217" w:lineRule="exact"/>
        <w:rPr>
          <w:sz w:val="20"/>
          <w:szCs w:val="20"/>
          <w:color w:val="auto"/>
        </w:rPr>
      </w:pPr>
    </w:p>
    <w:p>
      <w:pPr>
        <w:ind w:firstLine="799"/>
        <w:spacing w:after="0" w:line="261" w:lineRule="auto"/>
        <w:rPr>
          <w:sz w:val="20"/>
          <w:szCs w:val="20"/>
          <w:color w:val="auto"/>
        </w:rPr>
      </w:pPr>
      <w:r>
        <w:rPr>
          <w:rFonts w:ascii="Arial" w:cs="Arial" w:eastAsia="Arial" w:hAnsi="Arial"/>
          <w:sz w:val="17"/>
          <w:szCs w:val="17"/>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Tax Deductibility of Compensation</w:t>
      </w:r>
    </w:p>
    <w:p>
      <w:pPr>
        <w:spacing w:after="0" w:line="191" w:lineRule="exact"/>
        <w:rPr>
          <w:sz w:val="20"/>
          <w:szCs w:val="20"/>
          <w:color w:val="auto"/>
        </w:rPr>
      </w:pPr>
    </w:p>
    <w:p>
      <w:pPr>
        <w:ind w:right="200" w:firstLine="799"/>
        <w:spacing w:after="0" w:line="266" w:lineRule="auto"/>
        <w:rPr>
          <w:sz w:val="20"/>
          <w:szCs w:val="20"/>
          <w:color w:val="auto"/>
        </w:rPr>
      </w:pPr>
      <w:r>
        <w:rPr>
          <w:rFonts w:ascii="Arial" w:cs="Arial" w:eastAsia="Arial" w:hAnsi="Arial"/>
          <w:sz w:val="17"/>
          <w:szCs w:val="17"/>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36" w:lineRule="exact"/>
        <w:rPr>
          <w:sz w:val="20"/>
          <w:szCs w:val="20"/>
          <w:color w:val="auto"/>
        </w:rPr>
      </w:pPr>
    </w:p>
    <w:p>
      <w:pPr>
        <w:ind w:right="120" w:firstLine="799"/>
        <w:spacing w:after="0" w:line="296" w:lineRule="auto"/>
        <w:rPr>
          <w:sz w:val="20"/>
          <w:szCs w:val="20"/>
          <w:color w:val="auto"/>
        </w:rPr>
      </w:pPr>
      <w:r>
        <w:rPr>
          <w:rFonts w:ascii="Arial" w:cs="Arial" w:eastAsia="Arial" w:hAnsi="Arial"/>
          <w:sz w:val="15"/>
          <w:szCs w:val="15"/>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4"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EXECUTIVE COMPENSATION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Summary Compensation Table</w:t>
      </w:r>
    </w:p>
    <w:p>
      <w:pPr>
        <w:spacing w:after="0" w:line="184" w:lineRule="exact"/>
        <w:rPr>
          <w:sz w:val="20"/>
          <w:szCs w:val="20"/>
          <w:color w:val="auto"/>
        </w:rPr>
      </w:pPr>
    </w:p>
    <w:p>
      <w:pPr>
        <w:jc w:val="both"/>
        <w:ind w:right="300" w:firstLine="799"/>
        <w:spacing w:after="0" w:line="266" w:lineRule="auto"/>
        <w:rPr>
          <w:sz w:val="20"/>
          <w:szCs w:val="20"/>
          <w:color w:val="auto"/>
        </w:rPr>
      </w:pPr>
      <w:r>
        <w:rPr>
          <w:rFonts w:ascii="Arial" w:cs="Arial" w:eastAsia="Arial" w:hAnsi="Arial"/>
          <w:sz w:val="17"/>
          <w:szCs w:val="17"/>
          <w:color w:val="auto"/>
        </w:rPr>
        <w:t>The following table summarizes all fiscal 2012, 2013 and 2014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Change in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4"/>
              </w:rPr>
              <w:t>Pension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 and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Nonquali-</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Fiscal</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Equity</w:t>
            </w: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fied</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All</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Incentive</w:t>
            </w: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Year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Plan</w:t>
            </w: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Compensa-</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Name and Principal</w:t>
            </w:r>
          </w:p>
        </w:tc>
        <w:tc>
          <w:tcPr>
            <w:tcW w:w="6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1"/>
                <w:szCs w:val="11"/>
                <w:b w:val="1"/>
                <w:bCs w:val="1"/>
                <w:color w:val="auto"/>
              </w:rPr>
              <w:t>(1)</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1"/>
                <w:szCs w:val="11"/>
                <w:b w:val="1"/>
                <w:bCs w:val="1"/>
                <w:color w:val="auto"/>
              </w:rPr>
              <w:t>(2)</w:t>
            </w: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Compensa-</w:t>
            </w: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tion</w:t>
            </w: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Compen-</w:t>
            </w:r>
          </w:p>
        </w:tc>
        <w:tc>
          <w:tcPr>
            <w:tcW w:w="7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3300" w:type="dxa"/>
            <w:vAlign w:val="bottom"/>
            <w:gridSpan w:val="2"/>
            <w:vMerge w:val="continue"/>
          </w:tcPr>
          <w:p>
            <w:pPr>
              <w:spacing w:after="0"/>
              <w:rPr>
                <w:sz w:val="12"/>
                <w:szCs w:val="12"/>
                <w:color w:val="auto"/>
              </w:rPr>
            </w:pPr>
          </w:p>
        </w:tc>
        <w:tc>
          <w:tcPr>
            <w:tcW w:w="6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March</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1"/>
                <w:szCs w:val="11"/>
                <w:b w:val="1"/>
                <w:bCs w:val="1"/>
                <w:color w:val="auto"/>
                <w:w w:val="90"/>
              </w:rPr>
              <w:t>(3)</w:t>
            </w:r>
          </w:p>
        </w:tc>
        <w:tc>
          <w:tcPr>
            <w:tcW w:w="10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1"/>
                <w:szCs w:val="11"/>
                <w:b w:val="1"/>
                <w:bCs w:val="1"/>
                <w:color w:val="auto"/>
                <w:w w:val="90"/>
              </w:rPr>
              <w:t>(4)</w:t>
            </w: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tion</w:t>
            </w:r>
            <w:r>
              <w:rPr>
                <w:rFonts w:ascii="Arial" w:cs="Arial" w:eastAsia="Arial" w:hAnsi="Arial"/>
                <w:sz w:val="11"/>
                <w:szCs w:val="11"/>
                <w:b w:val="1"/>
                <w:bCs w:val="1"/>
                <w:color w:val="auto"/>
                <w:w w:val="91"/>
              </w:rPr>
              <w:t>(5)</w:t>
            </w: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7"/>
              </w:rPr>
              <w:t>sation</w:t>
            </w:r>
            <w:r>
              <w:rPr>
                <w:rFonts w:ascii="Arial" w:cs="Arial" w:eastAsia="Arial" w:hAnsi="Arial"/>
                <w:sz w:val="11"/>
                <w:szCs w:val="11"/>
                <w:b w:val="1"/>
                <w:bCs w:val="1"/>
                <w:color w:val="auto"/>
                <w:w w:val="87"/>
              </w:rPr>
              <w:t>(6)</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31,</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9"/>
        </w:trPr>
        <w:tc>
          <w:tcPr>
            <w:tcW w:w="3300" w:type="dxa"/>
            <w:vAlign w:val="bottom"/>
            <w:gridSpan w:val="2"/>
          </w:tcPr>
          <w:p>
            <w:pPr>
              <w:spacing w:after="0"/>
              <w:rPr>
                <w:sz w:val="20"/>
                <w:szCs w:val="20"/>
                <w:color w:val="auto"/>
              </w:rPr>
            </w:pPr>
            <w:r>
              <w:rPr>
                <w:rFonts w:ascii="Arial" w:cs="Arial" w:eastAsia="Arial" w:hAnsi="Arial"/>
                <w:sz w:val="14"/>
                <w:szCs w:val="14"/>
                <w:color w:val="auto"/>
              </w:rPr>
              <w:t>Steven R. Rowley,</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$885,000</w:t>
            </w:r>
          </w:p>
        </w:tc>
        <w:tc>
          <w:tcPr>
            <w:tcW w:w="2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w w:val="99"/>
              </w:rPr>
              <w:t>$  750,000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$ 2,250,000</w:t>
            </w:r>
          </w:p>
        </w:tc>
        <w:tc>
          <w:tcPr>
            <w:tcW w:w="2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w w:val="89"/>
              </w:rPr>
              <w:t>$ 1,080,460</w:t>
            </w:r>
          </w:p>
        </w:tc>
        <w:tc>
          <w:tcPr>
            <w:tcW w:w="2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w w:val="99"/>
              </w:rPr>
              <w:t>$ 93,149</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1"/>
              </w:rPr>
              <w:t>$ 5,058,609</w:t>
            </w:r>
          </w:p>
        </w:tc>
        <w:tc>
          <w:tcPr>
            <w:tcW w:w="0" w:type="dxa"/>
            <w:vAlign w:val="bottom"/>
          </w:tcPr>
          <w:p>
            <w:pPr>
              <w:spacing w:after="0"/>
              <w:rPr>
                <w:sz w:val="1"/>
                <w:szCs w:val="1"/>
                <w:color w:val="auto"/>
              </w:rPr>
            </w:pPr>
          </w:p>
        </w:tc>
      </w:tr>
      <w:tr>
        <w:trPr>
          <w:trHeight w:val="142"/>
        </w:trPr>
        <w:tc>
          <w:tcPr>
            <w:tcW w:w="3300" w:type="dxa"/>
            <w:vAlign w:val="bottom"/>
            <w:gridSpan w:val="2"/>
          </w:tcPr>
          <w:p>
            <w:pPr>
              <w:ind w:left="140"/>
              <w:spacing w:after="0" w:line="142" w:lineRule="exact"/>
              <w:rPr>
                <w:sz w:val="20"/>
                <w:szCs w:val="20"/>
                <w:color w:val="auto"/>
              </w:rPr>
            </w:pPr>
            <w:r>
              <w:rPr>
                <w:rFonts w:ascii="Arial" w:cs="Arial" w:eastAsia="Arial" w:hAnsi="Arial"/>
                <w:sz w:val="14"/>
                <w:szCs w:val="14"/>
                <w:i w:val="1"/>
                <w:iCs w:val="1"/>
                <w:color w:val="auto"/>
              </w:rPr>
              <w:t>President and Chief Executive Officer</w:t>
            </w: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860,000</w:t>
            </w: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2"/>
              </w:rPr>
              <w:t>$281,869</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520,000</w:t>
            </w:r>
          </w:p>
        </w:tc>
        <w:tc>
          <w:tcPr>
            <w:tcW w:w="2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1,560,000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1,238,131</w:t>
            </w:r>
          </w:p>
        </w:tc>
        <w:tc>
          <w:tcPr>
            <w:tcW w:w="26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125,656</w:t>
            </w: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4,585,656</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860,000</w:t>
            </w:r>
          </w:p>
        </w:tc>
        <w:tc>
          <w:tcPr>
            <w:tcW w:w="2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2,850,000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950,000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334,130</w:t>
            </w:r>
          </w:p>
        </w:tc>
        <w:tc>
          <w:tcPr>
            <w:tcW w:w="2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88,546</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5,082,676</w:t>
            </w:r>
          </w:p>
        </w:tc>
        <w:tc>
          <w:tcPr>
            <w:tcW w:w="0" w:type="dxa"/>
            <w:vAlign w:val="bottom"/>
          </w:tcPr>
          <w:p>
            <w:pPr>
              <w:spacing w:after="0"/>
              <w:rPr>
                <w:sz w:val="1"/>
                <w:szCs w:val="1"/>
                <w:color w:val="auto"/>
              </w:rPr>
            </w:pPr>
          </w:p>
        </w:tc>
      </w:tr>
      <w:tr>
        <w:trPr>
          <w:trHeight w:val="328"/>
        </w:trPr>
        <w:tc>
          <w:tcPr>
            <w:tcW w:w="3300" w:type="dxa"/>
            <w:vAlign w:val="bottom"/>
            <w:gridSpan w:val="2"/>
          </w:tcPr>
          <w:p>
            <w:pPr>
              <w:spacing w:after="0"/>
              <w:rPr>
                <w:sz w:val="20"/>
                <w:szCs w:val="20"/>
                <w:color w:val="auto"/>
              </w:rPr>
            </w:pPr>
            <w:r>
              <w:rPr>
                <w:rFonts w:ascii="Arial" w:cs="Arial" w:eastAsia="Arial" w:hAnsi="Arial"/>
                <w:sz w:val="14"/>
                <w:szCs w:val="14"/>
                <w:color w:val="auto"/>
              </w:rPr>
              <w:t>D. Craig Kesler,</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330,000</w:t>
            </w:r>
          </w:p>
        </w:tc>
        <w:tc>
          <w:tcPr>
            <w:tcW w:w="2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187,500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562,500</w:t>
            </w:r>
          </w:p>
        </w:tc>
        <w:tc>
          <w:tcPr>
            <w:tcW w:w="2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432,184</w:t>
            </w:r>
          </w:p>
        </w:tc>
        <w:tc>
          <w:tcPr>
            <w:tcW w:w="2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37,524</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1,549,708</w:t>
            </w:r>
          </w:p>
        </w:tc>
        <w:tc>
          <w:tcPr>
            <w:tcW w:w="0" w:type="dxa"/>
            <w:vAlign w:val="bottom"/>
          </w:tcPr>
          <w:p>
            <w:pPr>
              <w:spacing w:after="0"/>
              <w:rPr>
                <w:sz w:val="1"/>
                <w:szCs w:val="1"/>
                <w:color w:val="auto"/>
              </w:rPr>
            </w:pPr>
          </w:p>
        </w:tc>
      </w:tr>
      <w:tr>
        <w:trPr>
          <w:trHeight w:val="142"/>
        </w:trPr>
        <w:tc>
          <w:tcPr>
            <w:tcW w:w="3300" w:type="dxa"/>
            <w:vAlign w:val="bottom"/>
            <w:gridSpan w:val="2"/>
          </w:tcPr>
          <w:p>
            <w:pPr>
              <w:ind w:left="140"/>
              <w:spacing w:after="0" w:line="142" w:lineRule="exact"/>
              <w:rPr>
                <w:sz w:val="20"/>
                <w:szCs w:val="20"/>
                <w:color w:val="auto"/>
              </w:rPr>
            </w:pPr>
            <w:r>
              <w:rPr>
                <w:rFonts w:ascii="Arial" w:cs="Arial" w:eastAsia="Arial" w:hAnsi="Arial"/>
                <w:sz w:val="14"/>
                <w:szCs w:val="14"/>
                <w:i w:val="1"/>
                <w:iCs w:val="1"/>
                <w:color w:val="auto"/>
              </w:rPr>
              <w:t>Executive Vice President – Finance and</w:t>
            </w: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300,000</w:t>
            </w: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50,000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138,750</w:t>
            </w:r>
          </w:p>
        </w:tc>
        <w:tc>
          <w:tcPr>
            <w:tcW w:w="2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416,250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426,002</w:t>
            </w:r>
          </w:p>
        </w:tc>
        <w:tc>
          <w:tcPr>
            <w:tcW w:w="26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43,844</w:t>
            </w: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1,374,846</w:t>
            </w:r>
          </w:p>
        </w:tc>
        <w:tc>
          <w:tcPr>
            <w:tcW w:w="0" w:type="dxa"/>
            <w:vAlign w:val="bottom"/>
          </w:tcPr>
          <w:p>
            <w:pPr>
              <w:spacing w:after="0"/>
              <w:rPr>
                <w:sz w:val="1"/>
                <w:szCs w:val="1"/>
                <w:color w:val="auto"/>
              </w:rPr>
            </w:pPr>
          </w:p>
        </w:tc>
      </w:tr>
      <w:tr>
        <w:trPr>
          <w:trHeight w:val="174"/>
        </w:trPr>
        <w:tc>
          <w:tcPr>
            <w:tcW w:w="3300" w:type="dxa"/>
            <w:vAlign w:val="bottom"/>
            <w:gridSpan w:val="2"/>
          </w:tcPr>
          <w:p>
            <w:pPr>
              <w:ind w:left="140"/>
              <w:spacing w:after="0"/>
              <w:rPr>
                <w:sz w:val="20"/>
                <w:szCs w:val="20"/>
                <w:color w:val="auto"/>
              </w:rPr>
            </w:pPr>
            <w:r>
              <w:rPr>
                <w:rFonts w:ascii="Arial" w:cs="Arial" w:eastAsia="Arial" w:hAnsi="Arial"/>
                <w:sz w:val="14"/>
                <w:szCs w:val="14"/>
                <w:i w:val="1"/>
                <w:iCs w:val="1"/>
                <w:color w:val="auto"/>
              </w:rPr>
              <w:t>Administration &amp; CFO</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275,000</w:t>
            </w:r>
          </w:p>
        </w:tc>
        <w:tc>
          <w:tcPr>
            <w:tcW w:w="2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825,000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275,000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133,652</w:t>
            </w:r>
          </w:p>
        </w:tc>
        <w:tc>
          <w:tcPr>
            <w:tcW w:w="2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30,627</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1,539,279</w:t>
            </w:r>
          </w:p>
        </w:tc>
        <w:tc>
          <w:tcPr>
            <w:tcW w:w="0" w:type="dxa"/>
            <w:vAlign w:val="bottom"/>
          </w:tcPr>
          <w:p>
            <w:pPr>
              <w:spacing w:after="0"/>
              <w:rPr>
                <w:sz w:val="1"/>
                <w:szCs w:val="1"/>
                <w:color w:val="auto"/>
              </w:rPr>
            </w:pPr>
          </w:p>
        </w:tc>
      </w:tr>
      <w:tr>
        <w:trPr>
          <w:trHeight w:val="328"/>
        </w:trPr>
        <w:tc>
          <w:tcPr>
            <w:tcW w:w="3300" w:type="dxa"/>
            <w:vAlign w:val="bottom"/>
            <w:gridSpan w:val="2"/>
          </w:tcPr>
          <w:p>
            <w:pPr>
              <w:spacing w:after="0"/>
              <w:rPr>
                <w:sz w:val="20"/>
                <w:szCs w:val="20"/>
                <w:color w:val="auto"/>
              </w:rPr>
            </w:pPr>
            <w:r>
              <w:rPr>
                <w:rFonts w:ascii="Arial" w:cs="Arial" w:eastAsia="Arial" w:hAnsi="Arial"/>
                <w:sz w:val="14"/>
                <w:szCs w:val="14"/>
                <w:color w:val="auto"/>
              </w:rPr>
              <w:t>Gerald J. Essl,</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375,000</w:t>
            </w:r>
          </w:p>
        </w:tc>
        <w:tc>
          <w:tcPr>
            <w:tcW w:w="2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637,500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212,500</w:t>
            </w:r>
          </w:p>
        </w:tc>
        <w:tc>
          <w:tcPr>
            <w:tcW w:w="2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425,246</w:t>
            </w:r>
          </w:p>
        </w:tc>
        <w:tc>
          <w:tcPr>
            <w:tcW w:w="2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38,334</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1,688,580</w:t>
            </w:r>
          </w:p>
        </w:tc>
        <w:tc>
          <w:tcPr>
            <w:tcW w:w="0" w:type="dxa"/>
            <w:vAlign w:val="bottom"/>
          </w:tcPr>
          <w:p>
            <w:pPr>
              <w:spacing w:after="0"/>
              <w:rPr>
                <w:sz w:val="1"/>
                <w:szCs w:val="1"/>
                <w:color w:val="auto"/>
              </w:rPr>
            </w:pPr>
          </w:p>
        </w:tc>
      </w:tr>
      <w:tr>
        <w:trPr>
          <w:trHeight w:val="142"/>
        </w:trPr>
        <w:tc>
          <w:tcPr>
            <w:tcW w:w="3300" w:type="dxa"/>
            <w:vAlign w:val="bottom"/>
            <w:gridSpan w:val="2"/>
          </w:tcPr>
          <w:p>
            <w:pPr>
              <w:ind w:left="140"/>
              <w:spacing w:after="0" w:line="142" w:lineRule="exact"/>
              <w:rPr>
                <w:sz w:val="20"/>
                <w:szCs w:val="20"/>
                <w:color w:val="auto"/>
              </w:rPr>
            </w:pPr>
            <w:r>
              <w:rPr>
                <w:rFonts w:ascii="Arial" w:cs="Arial" w:eastAsia="Arial" w:hAnsi="Arial"/>
                <w:sz w:val="14"/>
                <w:szCs w:val="14"/>
                <w:i w:val="1"/>
                <w:iCs w:val="1"/>
                <w:color w:val="auto"/>
                <w:w w:val="97"/>
              </w:rPr>
              <w:t>Executive Vice President – Cement/Aggregates and</w:t>
            </w: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150,000</w:t>
            </w:r>
          </w:p>
        </w:tc>
        <w:tc>
          <w:tcPr>
            <w:tcW w:w="2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450,000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408,402</w:t>
            </w:r>
          </w:p>
        </w:tc>
        <w:tc>
          <w:tcPr>
            <w:tcW w:w="26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49,815</w:t>
            </w: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1,508,217</w:t>
            </w:r>
          </w:p>
        </w:tc>
        <w:tc>
          <w:tcPr>
            <w:tcW w:w="0" w:type="dxa"/>
            <w:vAlign w:val="bottom"/>
          </w:tcPr>
          <w:p>
            <w:pPr>
              <w:spacing w:after="0"/>
              <w:rPr>
                <w:sz w:val="1"/>
                <w:szCs w:val="1"/>
                <w:color w:val="auto"/>
              </w:rPr>
            </w:pPr>
          </w:p>
        </w:tc>
      </w:tr>
      <w:tr>
        <w:trPr>
          <w:trHeight w:val="174"/>
        </w:trPr>
        <w:tc>
          <w:tcPr>
            <w:tcW w:w="3300" w:type="dxa"/>
            <w:vAlign w:val="bottom"/>
            <w:gridSpan w:val="2"/>
          </w:tcPr>
          <w:p>
            <w:pPr>
              <w:ind w:left="140"/>
              <w:spacing w:after="0"/>
              <w:rPr>
                <w:sz w:val="20"/>
                <w:szCs w:val="20"/>
                <w:color w:val="auto"/>
              </w:rPr>
            </w:pPr>
            <w:r>
              <w:rPr>
                <w:rFonts w:ascii="Arial" w:cs="Arial" w:eastAsia="Arial" w:hAnsi="Arial"/>
                <w:sz w:val="14"/>
                <w:szCs w:val="14"/>
                <w:i w:val="1"/>
                <w:iCs w:val="1"/>
                <w:color w:val="auto"/>
              </w:rPr>
              <w:t>Concrete</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918,750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306,250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212,693</w:t>
            </w:r>
          </w:p>
        </w:tc>
        <w:tc>
          <w:tcPr>
            <w:tcW w:w="2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35,296</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1,822,989</w:t>
            </w:r>
          </w:p>
        </w:tc>
        <w:tc>
          <w:tcPr>
            <w:tcW w:w="0" w:type="dxa"/>
            <w:vAlign w:val="bottom"/>
          </w:tcPr>
          <w:p>
            <w:pPr>
              <w:spacing w:after="0"/>
              <w:rPr>
                <w:sz w:val="1"/>
                <w:szCs w:val="1"/>
                <w:color w:val="auto"/>
              </w:rPr>
            </w:pPr>
          </w:p>
        </w:tc>
      </w:tr>
      <w:tr>
        <w:trPr>
          <w:trHeight w:val="328"/>
        </w:trPr>
        <w:tc>
          <w:tcPr>
            <w:tcW w:w="3300" w:type="dxa"/>
            <w:vAlign w:val="bottom"/>
            <w:gridSpan w:val="2"/>
          </w:tcPr>
          <w:p>
            <w:pPr>
              <w:spacing w:after="0"/>
              <w:rPr>
                <w:sz w:val="20"/>
                <w:szCs w:val="20"/>
                <w:color w:val="auto"/>
              </w:rPr>
            </w:pPr>
            <w:r>
              <w:rPr>
                <w:rFonts w:ascii="Arial" w:cs="Arial" w:eastAsia="Arial" w:hAnsi="Arial"/>
                <w:sz w:val="14"/>
                <w:szCs w:val="14"/>
                <w:color w:val="auto"/>
              </w:rPr>
              <w:t>David B. Powers,</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375,000</w:t>
            </w:r>
          </w:p>
        </w:tc>
        <w:tc>
          <w:tcPr>
            <w:tcW w:w="2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600,000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484,364</w:t>
            </w:r>
          </w:p>
        </w:tc>
        <w:tc>
          <w:tcPr>
            <w:tcW w:w="2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38,613</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1,697,977</w:t>
            </w:r>
          </w:p>
        </w:tc>
        <w:tc>
          <w:tcPr>
            <w:tcW w:w="0" w:type="dxa"/>
            <w:vAlign w:val="bottom"/>
          </w:tcPr>
          <w:p>
            <w:pPr>
              <w:spacing w:after="0"/>
              <w:rPr>
                <w:sz w:val="1"/>
                <w:szCs w:val="1"/>
                <w:color w:val="auto"/>
              </w:rPr>
            </w:pPr>
          </w:p>
        </w:tc>
      </w:tr>
      <w:tr>
        <w:trPr>
          <w:trHeight w:val="142"/>
        </w:trPr>
        <w:tc>
          <w:tcPr>
            <w:tcW w:w="3300" w:type="dxa"/>
            <w:vAlign w:val="bottom"/>
            <w:gridSpan w:val="2"/>
          </w:tcPr>
          <w:p>
            <w:pPr>
              <w:ind w:left="140"/>
              <w:spacing w:after="0" w:line="142" w:lineRule="exact"/>
              <w:rPr>
                <w:sz w:val="20"/>
                <w:szCs w:val="20"/>
                <w:color w:val="auto"/>
              </w:rPr>
            </w:pPr>
            <w:r>
              <w:rPr>
                <w:rFonts w:ascii="Arial" w:cs="Arial" w:eastAsia="Arial" w:hAnsi="Arial"/>
                <w:sz w:val="14"/>
                <w:szCs w:val="14"/>
                <w:i w:val="1"/>
                <w:iCs w:val="1"/>
                <w:color w:val="auto"/>
              </w:rPr>
              <w:t>Executive Vice President – Gypsum</w:t>
            </w: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150,000</w:t>
            </w:r>
          </w:p>
        </w:tc>
        <w:tc>
          <w:tcPr>
            <w:tcW w:w="2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450,000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463,921</w:t>
            </w:r>
          </w:p>
        </w:tc>
        <w:tc>
          <w:tcPr>
            <w:tcW w:w="26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46,603</w:t>
            </w: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1,460,524</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48,000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918,750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306,250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26,208</w:t>
            </w:r>
          </w:p>
        </w:tc>
        <w:tc>
          <w:tcPr>
            <w:tcW w:w="2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33,563</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1,682,771</w:t>
            </w:r>
          </w:p>
        </w:tc>
        <w:tc>
          <w:tcPr>
            <w:tcW w:w="0" w:type="dxa"/>
            <w:vAlign w:val="bottom"/>
          </w:tcPr>
          <w:p>
            <w:pPr>
              <w:spacing w:after="0"/>
              <w:rPr>
                <w:sz w:val="1"/>
                <w:szCs w:val="1"/>
                <w:color w:val="auto"/>
              </w:rPr>
            </w:pPr>
          </w:p>
        </w:tc>
      </w:tr>
      <w:tr>
        <w:trPr>
          <w:trHeight w:val="328"/>
        </w:trPr>
        <w:tc>
          <w:tcPr>
            <w:tcW w:w="3300" w:type="dxa"/>
            <w:vAlign w:val="bottom"/>
            <w:gridSpan w:val="2"/>
          </w:tcPr>
          <w:p>
            <w:pPr>
              <w:spacing w:after="0"/>
              <w:rPr>
                <w:sz w:val="20"/>
                <w:szCs w:val="20"/>
                <w:color w:val="auto"/>
              </w:rPr>
            </w:pPr>
            <w:r>
              <w:rPr>
                <w:rFonts w:ascii="Arial" w:cs="Arial" w:eastAsia="Arial" w:hAnsi="Arial"/>
                <w:sz w:val="14"/>
                <w:szCs w:val="14"/>
                <w:color w:val="auto"/>
              </w:rPr>
              <w:t>James H. Graass,</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365,000</w:t>
            </w:r>
          </w:p>
        </w:tc>
        <w:tc>
          <w:tcPr>
            <w:tcW w:w="2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375,000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375,000</w:t>
            </w:r>
          </w:p>
        </w:tc>
        <w:tc>
          <w:tcPr>
            <w:tcW w:w="28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432,184</w:t>
            </w:r>
          </w:p>
        </w:tc>
        <w:tc>
          <w:tcPr>
            <w:tcW w:w="2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40,291</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1,587,475</w:t>
            </w:r>
          </w:p>
        </w:tc>
        <w:tc>
          <w:tcPr>
            <w:tcW w:w="0" w:type="dxa"/>
            <w:vAlign w:val="bottom"/>
          </w:tcPr>
          <w:p>
            <w:pPr>
              <w:spacing w:after="0"/>
              <w:rPr>
                <w:sz w:val="1"/>
                <w:szCs w:val="1"/>
                <w:color w:val="auto"/>
              </w:rPr>
            </w:pPr>
          </w:p>
        </w:tc>
      </w:tr>
      <w:tr>
        <w:trPr>
          <w:trHeight w:val="142"/>
        </w:trPr>
        <w:tc>
          <w:tcPr>
            <w:tcW w:w="3300" w:type="dxa"/>
            <w:vAlign w:val="bottom"/>
            <w:gridSpan w:val="2"/>
          </w:tcPr>
          <w:p>
            <w:pPr>
              <w:ind w:left="140"/>
              <w:spacing w:after="0" w:line="142" w:lineRule="exact"/>
              <w:rPr>
                <w:sz w:val="20"/>
                <w:szCs w:val="20"/>
                <w:color w:val="auto"/>
              </w:rPr>
            </w:pPr>
            <w:r>
              <w:rPr>
                <w:rFonts w:ascii="Arial" w:cs="Arial" w:eastAsia="Arial" w:hAnsi="Arial"/>
                <w:sz w:val="14"/>
                <w:szCs w:val="14"/>
                <w:i w:val="1"/>
                <w:iCs w:val="1"/>
                <w:color w:val="auto"/>
              </w:rPr>
              <w:t>Executive Vice President, General Counsel and</w:t>
            </w: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50,000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138,750</w:t>
            </w:r>
          </w:p>
        </w:tc>
        <w:tc>
          <w:tcPr>
            <w:tcW w:w="2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416,250</w:t>
            </w:r>
          </w:p>
        </w:tc>
        <w:tc>
          <w:tcPr>
            <w:tcW w:w="28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426,002</w:t>
            </w:r>
          </w:p>
        </w:tc>
        <w:tc>
          <w:tcPr>
            <w:tcW w:w="26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line="142" w:lineRule="exact"/>
              <w:rPr>
                <w:sz w:val="20"/>
                <w:szCs w:val="20"/>
                <w:color w:val="auto"/>
              </w:rPr>
            </w:pPr>
            <w:r>
              <w:rPr>
                <w:rFonts w:ascii="Arial" w:cs="Arial" w:eastAsia="Arial" w:hAnsi="Arial"/>
                <w:sz w:val="14"/>
                <w:szCs w:val="14"/>
                <w:color w:val="auto"/>
              </w:rPr>
              <w:t>48,895</w:t>
            </w: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1,429,897</w:t>
            </w:r>
          </w:p>
        </w:tc>
        <w:tc>
          <w:tcPr>
            <w:tcW w:w="0" w:type="dxa"/>
            <w:vAlign w:val="bottom"/>
          </w:tcPr>
          <w:p>
            <w:pPr>
              <w:spacing w:after="0"/>
              <w:rPr>
                <w:sz w:val="1"/>
                <w:szCs w:val="1"/>
                <w:color w:val="auto"/>
              </w:rPr>
            </w:pPr>
          </w:p>
        </w:tc>
      </w:tr>
      <w:tr>
        <w:trPr>
          <w:trHeight w:val="174"/>
        </w:trPr>
        <w:tc>
          <w:tcPr>
            <w:tcW w:w="3300" w:type="dxa"/>
            <w:vAlign w:val="bottom"/>
            <w:gridSpan w:val="2"/>
          </w:tcPr>
          <w:p>
            <w:pPr>
              <w:ind w:left="140"/>
              <w:spacing w:after="0"/>
              <w:rPr>
                <w:sz w:val="20"/>
                <w:szCs w:val="20"/>
                <w:color w:val="auto"/>
              </w:rPr>
            </w:pPr>
            <w:r>
              <w:rPr>
                <w:rFonts w:ascii="Arial" w:cs="Arial" w:eastAsia="Arial" w:hAnsi="Arial"/>
                <w:sz w:val="14"/>
                <w:szCs w:val="14"/>
                <w:i w:val="1"/>
                <w:iCs w:val="1"/>
                <w:color w:val="auto"/>
              </w:rPr>
              <w:t>Secretary</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350,000</w:t>
            </w:r>
          </w:p>
        </w:tc>
        <w:tc>
          <w:tcPr>
            <w:tcW w:w="2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862,500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287,500</w:t>
            </w:r>
          </w:p>
        </w:tc>
        <w:tc>
          <w:tcPr>
            <w:tcW w:w="2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133,952</w:t>
            </w:r>
          </w:p>
        </w:tc>
        <w:tc>
          <w:tcPr>
            <w:tcW w:w="2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35,688</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1,669,340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1889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60" w:right="320" w:hanging="457"/>
        <w:spacing w:after="0" w:line="279"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amounts deferred on a pre-tax or after-tax basis at the election of the executive under our PSRP, which is described in greater detail under “Profit Sharing and Retirement Plan” on page 31 of this proxy statement.</w:t>
      </w:r>
    </w:p>
    <w:p>
      <w:pPr>
        <w:spacing w:after="0" w:line="73" w:lineRule="exact"/>
        <w:rPr>
          <w:rFonts w:ascii="Arial" w:cs="Arial" w:eastAsia="Arial" w:hAnsi="Arial"/>
          <w:sz w:val="17"/>
          <w:szCs w:val="17"/>
          <w:color w:val="auto"/>
        </w:rPr>
      </w:pPr>
    </w:p>
    <w:p>
      <w:pPr>
        <w:ind w:left="460" w:hanging="457"/>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amounts in this column represent payments to the Named Executive Officer under the Company’s Special Situation Program for the applicable fiscal year.</w:t>
      </w:r>
    </w:p>
    <w:p>
      <w:pPr>
        <w:spacing w:after="0" w:line="149" w:lineRule="exact"/>
        <w:rPr>
          <w:rFonts w:ascii="Arial" w:cs="Arial" w:eastAsia="Arial" w:hAnsi="Arial"/>
          <w:sz w:val="15"/>
          <w:szCs w:val="15"/>
          <w:color w:val="auto"/>
        </w:rPr>
      </w:pPr>
    </w:p>
    <w:p>
      <w:pPr>
        <w:ind w:left="460" w:right="140" w:hanging="457"/>
        <w:spacing w:after="0" w:line="291"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2014 included in the Fiscal 2014 Form 10-K;</w:t>
      </w:r>
    </w:p>
    <w:p>
      <w:pPr>
        <w:spacing w:after="0" w:line="1" w:lineRule="exact"/>
        <w:rPr>
          <w:rFonts w:ascii="Arial" w:cs="Arial" w:eastAsia="Arial" w:hAnsi="Arial"/>
          <w:sz w:val="15"/>
          <w:szCs w:val="15"/>
          <w:color w:val="auto"/>
        </w:rPr>
      </w:pPr>
    </w:p>
    <w:p>
      <w:pPr>
        <w:ind w:left="700" w:hanging="246"/>
        <w:spacing w:after="0"/>
        <w:tabs>
          <w:tab w:leader="none" w:pos="7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footnote (J) to the Company’s audited financial statements for the fiscal year ended March 31, 2013 included in the Fiscal 2013 Form 10-K; and</w:t>
      </w:r>
    </w:p>
    <w:p>
      <w:pPr>
        <w:spacing w:after="0" w:line="22" w:lineRule="exact"/>
        <w:rPr>
          <w:rFonts w:ascii="Arial" w:cs="Arial" w:eastAsia="Arial" w:hAnsi="Arial"/>
          <w:sz w:val="16"/>
          <w:szCs w:val="16"/>
          <w:color w:val="auto"/>
        </w:rPr>
      </w:pPr>
    </w:p>
    <w:p>
      <w:pPr>
        <w:ind w:left="680" w:hanging="226"/>
        <w:spacing w:after="0"/>
        <w:tabs>
          <w:tab w:leader="none" w:pos="6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footnote (I) to the Company’s audited financial statements for the fiscal year ended March 31, 2012 included in the Fiscal 2012</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Form 10-K.</w:t>
      </w:r>
    </w:p>
    <w:p>
      <w:pPr>
        <w:spacing w:after="0" w:line="116" w:lineRule="exact"/>
        <w:rPr>
          <w:sz w:val="20"/>
          <w:szCs w:val="20"/>
          <w:color w:val="auto"/>
        </w:rPr>
      </w:pPr>
    </w:p>
    <w:p>
      <w:pPr>
        <w:ind w:left="460" w:right="240" w:hanging="457"/>
        <w:spacing w:after="0" w:line="294"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w:t>
      </w:r>
    </w:p>
    <w:p>
      <w:pPr>
        <w:ind w:left="460"/>
        <w:spacing w:after="0"/>
        <w:rPr>
          <w:rFonts w:ascii="Arial" w:cs="Arial" w:eastAsia="Arial" w:hAnsi="Arial"/>
          <w:sz w:val="15"/>
          <w:szCs w:val="15"/>
          <w:color w:val="auto"/>
        </w:rPr>
      </w:pPr>
      <w:r>
        <w:rPr>
          <w:rFonts w:ascii="Arial" w:cs="Arial" w:eastAsia="Arial" w:hAnsi="Arial"/>
          <w:sz w:val="15"/>
          <w:szCs w:val="15"/>
          <w:color w:val="auto"/>
        </w:rPr>
        <w:t>(a) footnote (J) to the Company’s audited financial statements for the fiscal year ended March 31, 2014 included in the Fiscal 2014 Form 10-K; (b) footnote</w:t>
      </w:r>
    </w:p>
    <w:p>
      <w:pPr>
        <w:spacing w:after="0" w:line="33" w:lineRule="exact"/>
        <w:rPr>
          <w:rFonts w:ascii="Arial" w:cs="Arial" w:eastAsia="Arial" w:hAnsi="Arial"/>
          <w:sz w:val="15"/>
          <w:szCs w:val="15"/>
          <w:color w:val="auto"/>
        </w:rPr>
      </w:pPr>
    </w:p>
    <w:p>
      <w:pPr>
        <w:ind w:left="460" w:right="140"/>
        <w:spacing w:after="0" w:line="265" w:lineRule="auto"/>
        <w:rPr>
          <w:rFonts w:ascii="Arial" w:cs="Arial" w:eastAsia="Arial" w:hAnsi="Arial"/>
          <w:sz w:val="15"/>
          <w:szCs w:val="15"/>
          <w:color w:val="auto"/>
        </w:rPr>
      </w:pPr>
      <w:r>
        <w:rPr>
          <w:rFonts w:ascii="Arial" w:cs="Arial" w:eastAsia="Arial" w:hAnsi="Arial"/>
          <w:sz w:val="17"/>
          <w:szCs w:val="17"/>
          <w:color w:val="auto"/>
        </w:rPr>
        <w:t>(J) to the Company’s audited financial statements for the fiscal year ended March 31, 2013 included in the Fiscal 2013 Form 10-K; and (c) footnote (I) to the Company’s audited financial statements for the fiscal year ended March 31, 2012 included in the Fiscal 2012 Form 10-K.</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60"/>
          </w:cols>
          <w:pgMar w:left="240" w:top="444" w:right="2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60" w:right="20" w:hanging="457"/>
        <w:spacing w:after="0" w:line="261"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in this column represent payments to the Named Executive Officer under the applicable annual incentive compensation program for the applicable fiscal year. For fiscal 2013, the amounts also include awards to the Named Executive Officer under the Eagle Materials Inc. Long-Term Cash Compensation Program for Fiscal 2013. The amounts in this column do not reflect any dividend equivalent units which are accrued by or paid to holders of our RSUs at any time we pay a cash dividend on our Common Stock (see footnote 6 below).</w:t>
      </w:r>
    </w:p>
    <w:p>
      <w:pPr>
        <w:spacing w:after="0" w:line="89" w:lineRule="exact"/>
        <w:rPr>
          <w:rFonts w:ascii="Arial" w:cs="Arial" w:eastAsia="Arial" w:hAnsi="Arial"/>
          <w:sz w:val="17"/>
          <w:szCs w:val="17"/>
          <w:color w:val="auto"/>
        </w:rPr>
      </w:pPr>
    </w:p>
    <w:p>
      <w:pPr>
        <w:ind w:left="460" w:hanging="457"/>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2" w:lineRule="exact"/>
        <w:rPr>
          <w:rFonts w:ascii="Arial" w:cs="Arial" w:eastAsia="Arial" w:hAnsi="Arial"/>
          <w:sz w:val="16"/>
          <w:szCs w:val="16"/>
          <w:color w:val="auto"/>
        </w:rPr>
      </w:pPr>
    </w:p>
    <w:p>
      <w:pPr>
        <w:ind w:left="460"/>
        <w:spacing w:after="0" w:line="271" w:lineRule="auto"/>
        <w:rPr>
          <w:rFonts w:ascii="Arial" w:cs="Arial" w:eastAsia="Arial" w:hAnsi="Arial"/>
          <w:sz w:val="16"/>
          <w:szCs w:val="16"/>
          <w:color w:val="auto"/>
        </w:rPr>
      </w:pPr>
      <w:r>
        <w:rPr>
          <w:rFonts w:ascii="Arial" w:cs="Arial" w:eastAsia="Arial" w:hAnsi="Arial"/>
          <w:sz w:val="16"/>
          <w:szCs w:val="16"/>
          <w:color w:val="auto"/>
        </w:rPr>
        <w:t>(2) Company contributions to the account of the Named Executive Officer under our SERP; (3) premium costs to the Company of life insurance policies obtained by the Company in connection with our SCP; (4) wellness awards; and (5) dividend equivalent RSUs. The PSRP is described in greater detail under “Profit Sharing and Retirement Plan” on page 31 of this proxy statement. During fiscal 2014, the Named Executive Officers each received $25,500 in employer profit sharing contributions with respect to the PSRP. The SERP is described in greater detail under “SERP” on page 31 of this proxy statement. During fiscal 2014, the Named Executive Officers received the following employer contributions with respect to the SERP: Mr. Rowley – $62,375; Mr. Kesler – $6,750; Mr. Essl – $11,375; Mr. Powers – $11,375; and Mr. Graass – $10,625. The SCP is described in greater detail under “Salary Continuation Plan” on page 32 of this proxy statement. During fiscal 2014, the Company paid premium costs in the following amounts for life insurance policies obtained under the SCP with respect to the Named Executive Officers: Mr. Rowley – $5,274; Mr. Kesler – $5,274; Mr. Essl – $1,459; Mr. Powers – $1,738; and Mr. Graass – $4,166. For fiscal 2013 and 2012,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4"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the grants of plan-based awards made during fiscal 2014 to the Named Executive Officers.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160" w:type="dxa"/>
            <w:vAlign w:val="bottom"/>
          </w:tcPr>
          <w:p>
            <w:pPr>
              <w:spacing w:after="0"/>
              <w:rPr>
                <w:sz w:val="14"/>
                <w:szCs w:val="14"/>
                <w:color w:val="auto"/>
              </w:rPr>
            </w:pPr>
          </w:p>
        </w:tc>
        <w:tc>
          <w:tcPr>
            <w:tcW w:w="24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Estimated Future Payouts Under</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Under Non-Equity Incentive</w:t>
            </w:r>
          </w:p>
        </w:tc>
        <w:tc>
          <w:tcPr>
            <w:tcW w:w="16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or Base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0"/>
              </w:rPr>
              <w:t>Plan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Equity Incentive Plan Awards</w:t>
            </w:r>
          </w:p>
        </w:tc>
        <w:tc>
          <w:tcPr>
            <w:tcW w:w="2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12"/>
        </w:trPr>
        <w:tc>
          <w:tcPr>
            <w:tcW w:w="3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Grant</w:t>
            </w:r>
          </w:p>
        </w:tc>
        <w:tc>
          <w:tcPr>
            <w:tcW w:w="16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Thresh-</w:t>
            </w:r>
          </w:p>
        </w:tc>
        <w:tc>
          <w:tcPr>
            <w:tcW w:w="10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Target</w:t>
            </w:r>
          </w:p>
        </w:tc>
        <w:tc>
          <w:tcPr>
            <w:tcW w:w="560" w:type="dxa"/>
            <w:vAlign w:val="bottom"/>
          </w:tcPr>
          <w:p>
            <w:pPr>
              <w:jc w:val="center"/>
              <w:ind w:left="32"/>
              <w:spacing w:after="0" w:line="112" w:lineRule="exact"/>
              <w:rPr>
                <w:sz w:val="20"/>
                <w:szCs w:val="20"/>
                <w:color w:val="auto"/>
              </w:rPr>
            </w:pPr>
            <w:r>
              <w:rPr>
                <w:rFonts w:ascii="Arial" w:cs="Arial" w:eastAsia="Arial" w:hAnsi="Arial"/>
                <w:sz w:val="11"/>
                <w:szCs w:val="11"/>
                <w:b w:val="1"/>
                <w:bCs w:val="1"/>
                <w:color w:val="auto"/>
              </w:rPr>
              <w:t>Maxi-</w:t>
            </w:r>
          </w:p>
        </w:tc>
        <w:tc>
          <w:tcPr>
            <w:tcW w:w="160" w:type="dxa"/>
            <w:vAlign w:val="bottom"/>
          </w:tcPr>
          <w:p>
            <w:pPr>
              <w:spacing w:after="0"/>
              <w:rPr>
                <w:sz w:val="9"/>
                <w:szCs w:val="9"/>
                <w:color w:val="auto"/>
              </w:rPr>
            </w:pPr>
          </w:p>
        </w:tc>
        <w:tc>
          <w:tcPr>
            <w:tcW w:w="700" w:type="dxa"/>
            <w:vAlign w:val="bottom"/>
          </w:tcPr>
          <w:p>
            <w:pPr>
              <w:jc w:val="center"/>
              <w:ind w:right="12"/>
              <w:spacing w:after="0" w:line="112" w:lineRule="exact"/>
              <w:rPr>
                <w:sz w:val="20"/>
                <w:szCs w:val="20"/>
                <w:color w:val="auto"/>
              </w:rPr>
            </w:pPr>
            <w:r>
              <w:rPr>
                <w:rFonts w:ascii="Arial" w:cs="Arial" w:eastAsia="Arial" w:hAnsi="Arial"/>
                <w:sz w:val="11"/>
                <w:szCs w:val="11"/>
                <w:b w:val="1"/>
                <w:bCs w:val="1"/>
                <w:color w:val="auto"/>
              </w:rPr>
              <w:t>Thresh-</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960" w:type="dxa"/>
            <w:vAlign w:val="bottom"/>
            <w:gridSpan w:val="2"/>
          </w:tcPr>
          <w:p>
            <w:pPr>
              <w:jc w:val="right"/>
              <w:ind w:right="400"/>
              <w:spacing w:after="0" w:line="112" w:lineRule="exact"/>
              <w:rPr>
                <w:sz w:val="20"/>
                <w:szCs w:val="20"/>
                <w:color w:val="auto"/>
              </w:rPr>
            </w:pPr>
            <w:r>
              <w:rPr>
                <w:rFonts w:ascii="Arial" w:cs="Arial" w:eastAsia="Arial" w:hAnsi="Arial"/>
                <w:sz w:val="11"/>
                <w:szCs w:val="11"/>
                <w:b w:val="1"/>
                <w:bCs w:val="1"/>
                <w:color w:val="auto"/>
              </w:rPr>
              <w:t>Option</w:t>
            </w:r>
          </w:p>
        </w:tc>
        <w:tc>
          <w:tcPr>
            <w:tcW w:w="8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of Stock</w:t>
            </w:r>
          </w:p>
        </w:tc>
        <w:tc>
          <w:tcPr>
            <w:tcW w:w="0" w:type="dxa"/>
            <w:vAlign w:val="bottom"/>
          </w:tcPr>
          <w:p>
            <w:pPr>
              <w:spacing w:after="0"/>
              <w:rPr>
                <w:sz w:val="1"/>
                <w:szCs w:val="1"/>
                <w:color w:val="auto"/>
              </w:rPr>
            </w:pPr>
          </w:p>
        </w:tc>
      </w:tr>
      <w:tr>
        <w:trPr>
          <w:trHeight w:val="142"/>
        </w:trPr>
        <w:tc>
          <w:tcPr>
            <w:tcW w:w="358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old</w:t>
            </w:r>
          </w:p>
        </w:tc>
        <w:tc>
          <w:tcPr>
            <w:tcW w:w="1060" w:type="dxa"/>
            <w:vAlign w:val="bottom"/>
            <w:vMerge w:val="continue"/>
          </w:tcPr>
          <w:p>
            <w:pPr>
              <w:spacing w:after="0"/>
              <w:rPr>
                <w:sz w:val="12"/>
                <w:szCs w:val="12"/>
                <w:color w:val="auto"/>
              </w:rPr>
            </w:pPr>
          </w:p>
        </w:tc>
        <w:tc>
          <w:tcPr>
            <w:tcW w:w="560" w:type="dxa"/>
            <w:vAlign w:val="bottom"/>
          </w:tcPr>
          <w:p>
            <w:pPr>
              <w:jc w:val="center"/>
              <w:ind w:left="32"/>
              <w:spacing w:after="0" w:line="142" w:lineRule="exact"/>
              <w:rPr>
                <w:sz w:val="20"/>
                <w:szCs w:val="20"/>
                <w:color w:val="auto"/>
              </w:rPr>
            </w:pPr>
            <w:r>
              <w:rPr>
                <w:rFonts w:ascii="Arial" w:cs="Arial" w:eastAsia="Arial" w:hAnsi="Arial"/>
                <w:sz w:val="14"/>
                <w:szCs w:val="14"/>
                <w:b w:val="1"/>
                <w:bCs w:val="1"/>
                <w:color w:val="auto"/>
                <w:w w:val="89"/>
              </w:rPr>
              <w:t>mum</w:t>
            </w:r>
          </w:p>
        </w:tc>
        <w:tc>
          <w:tcPr>
            <w:tcW w:w="160" w:type="dxa"/>
            <w:vAlign w:val="bottom"/>
          </w:tcPr>
          <w:p>
            <w:pPr>
              <w:spacing w:after="0"/>
              <w:rPr>
                <w:sz w:val="12"/>
                <w:szCs w:val="12"/>
                <w:color w:val="auto"/>
              </w:rPr>
            </w:pPr>
          </w:p>
        </w:tc>
        <w:tc>
          <w:tcPr>
            <w:tcW w:w="70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old</w:t>
            </w:r>
          </w:p>
        </w:tc>
        <w:tc>
          <w:tcPr>
            <w:tcW w:w="6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Awards</w:t>
            </w: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4"/>
        </w:trPr>
        <w:tc>
          <w:tcPr>
            <w:tcW w:w="3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3"/>
              </w:rPr>
              <w:t>($)</w:t>
            </w: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w:t>
            </w: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29"/>
        </w:trPr>
        <w:tc>
          <w:tcPr>
            <w:tcW w:w="3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Steven R. Rowley</w:t>
            </w:r>
          </w:p>
        </w:tc>
        <w:tc>
          <w:tcPr>
            <w:tcW w:w="18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5/16/13</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$1,080,460</w:t>
            </w:r>
            <w:r>
              <w:rPr>
                <w:rFonts w:ascii="Arial" w:cs="Arial" w:eastAsia="Arial" w:hAnsi="Arial"/>
                <w:sz w:val="11"/>
                <w:szCs w:val="11"/>
                <w:color w:val="auto"/>
              </w:rPr>
              <w:t>(2)</w:t>
            </w:r>
          </w:p>
        </w:tc>
        <w:tc>
          <w:tcPr>
            <w:tcW w:w="560" w:type="dxa"/>
            <w:vAlign w:val="bottom"/>
            <w:tcBorders>
              <w:top w:val="single" w:sz="8" w:color="auto"/>
            </w:tcBorders>
          </w:tcPr>
          <w:p>
            <w:pPr>
              <w:jc w:val="center"/>
              <w:ind w:left="32"/>
              <w:spacing w:after="0" w:line="129"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680" w:type="dxa"/>
            <w:vAlign w:val="bottom"/>
            <w:gridSpan w:val="2"/>
          </w:tcPr>
          <w:p>
            <w:pPr>
              <w:jc w:val="center"/>
              <w:ind w:left="111"/>
              <w:spacing w:after="0" w:line="155" w:lineRule="exact"/>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70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86,411</w:t>
            </w:r>
            <w:r>
              <w:rPr>
                <w:rFonts w:ascii="Arial" w:cs="Arial" w:eastAsia="Arial" w:hAnsi="Arial"/>
                <w:sz w:val="11"/>
                <w:szCs w:val="11"/>
                <w:color w:val="auto"/>
              </w:rPr>
              <w:t>(3)</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$ 67.21</w:t>
            </w:r>
          </w:p>
        </w:tc>
        <w:tc>
          <w:tcPr>
            <w:tcW w:w="820" w:type="dxa"/>
            <w:vAlign w:val="bottom"/>
          </w:tcPr>
          <w:p>
            <w:pPr>
              <w:jc w:val="right"/>
              <w:ind w:right="12"/>
              <w:spacing w:after="0" w:line="155" w:lineRule="exact"/>
              <w:rPr>
                <w:sz w:val="20"/>
                <w:szCs w:val="20"/>
                <w:color w:val="auto"/>
              </w:rPr>
            </w:pPr>
            <w:r>
              <w:rPr>
                <w:rFonts w:ascii="Arial" w:cs="Arial" w:eastAsia="Arial" w:hAnsi="Arial"/>
                <w:sz w:val="14"/>
                <w:szCs w:val="14"/>
                <w:color w:val="auto"/>
                <w:w w:val="97"/>
              </w:rPr>
              <w:t>$ 2,250,000</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11,160</w:t>
            </w:r>
            <w:r>
              <w:rPr>
                <w:rFonts w:ascii="Arial" w:cs="Arial" w:eastAsia="Arial" w:hAnsi="Arial"/>
                <w:sz w:val="11"/>
                <w:szCs w:val="11"/>
                <w:color w:val="auto"/>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4"/>
                <w:szCs w:val="14"/>
                <w:color w:val="auto"/>
              </w:rPr>
              <w:t>D. Craig Kesler</w:t>
            </w: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5/16/13</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432,184</w:t>
            </w:r>
            <w:r>
              <w:rPr>
                <w:rFonts w:ascii="Arial" w:cs="Arial" w:eastAsia="Arial" w:hAnsi="Arial"/>
                <w:sz w:val="11"/>
                <w:szCs w:val="11"/>
                <w:color w:val="auto"/>
              </w:rPr>
              <w:t>(2)</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680" w:type="dxa"/>
            <w:vAlign w:val="bottom"/>
            <w:gridSpan w:val="2"/>
          </w:tcPr>
          <w:p>
            <w:pPr>
              <w:jc w:val="center"/>
              <w:ind w:left="111"/>
              <w:spacing w:after="0" w:line="155" w:lineRule="exact"/>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70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21,603</w:t>
            </w:r>
            <w:r>
              <w:rPr>
                <w:rFonts w:ascii="Arial" w:cs="Arial" w:eastAsia="Arial" w:hAnsi="Arial"/>
                <w:sz w:val="11"/>
                <w:szCs w:val="11"/>
                <w:color w:val="auto"/>
              </w:rPr>
              <w:t>(3)</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67.21</w:t>
            </w:r>
          </w:p>
        </w:tc>
        <w:tc>
          <w:tcPr>
            <w:tcW w:w="8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562,500</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2,790</w:t>
            </w:r>
            <w:r>
              <w:rPr>
                <w:rFonts w:ascii="Arial" w:cs="Arial" w:eastAsia="Arial" w:hAnsi="Arial"/>
                <w:sz w:val="11"/>
                <w:szCs w:val="11"/>
                <w:color w:val="auto"/>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187,500</w:t>
            </w:r>
          </w:p>
        </w:tc>
        <w:tc>
          <w:tcPr>
            <w:tcW w:w="0" w:type="dxa"/>
            <w:vAlign w:val="bottom"/>
          </w:tcPr>
          <w:p>
            <w:pPr>
              <w:spacing w:after="0"/>
              <w:rPr>
                <w:sz w:val="1"/>
                <w:szCs w:val="1"/>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4"/>
                <w:szCs w:val="14"/>
                <w:color w:val="auto"/>
              </w:rPr>
              <w:t>Gerald J. Essl</w:t>
            </w: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5/16/13</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425,246</w:t>
            </w:r>
            <w:r>
              <w:rPr>
                <w:rFonts w:ascii="Arial" w:cs="Arial" w:eastAsia="Arial" w:hAnsi="Arial"/>
                <w:sz w:val="11"/>
                <w:szCs w:val="11"/>
                <w:color w:val="auto"/>
              </w:rPr>
              <w:t>(2)</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680" w:type="dxa"/>
            <w:vAlign w:val="bottom"/>
            <w:gridSpan w:val="2"/>
          </w:tcPr>
          <w:p>
            <w:pPr>
              <w:jc w:val="center"/>
              <w:ind w:left="111"/>
              <w:spacing w:after="0" w:line="155" w:lineRule="exact"/>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70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8,161</w:t>
            </w:r>
            <w:r>
              <w:rPr>
                <w:rFonts w:ascii="Arial" w:cs="Arial" w:eastAsia="Arial" w:hAnsi="Arial"/>
                <w:sz w:val="11"/>
                <w:szCs w:val="11"/>
                <w:color w:val="auto"/>
              </w:rPr>
              <w:t>(3)</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67.21</w:t>
            </w:r>
          </w:p>
        </w:tc>
        <w:tc>
          <w:tcPr>
            <w:tcW w:w="8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212,500</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9,486</w:t>
            </w:r>
            <w:r>
              <w:rPr>
                <w:rFonts w:ascii="Arial" w:cs="Arial" w:eastAsia="Arial" w:hAnsi="Arial"/>
                <w:sz w:val="11"/>
                <w:szCs w:val="11"/>
                <w:color w:val="auto"/>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637,500</w:t>
            </w:r>
          </w:p>
        </w:tc>
        <w:tc>
          <w:tcPr>
            <w:tcW w:w="0" w:type="dxa"/>
            <w:vAlign w:val="bottom"/>
          </w:tcPr>
          <w:p>
            <w:pPr>
              <w:spacing w:after="0"/>
              <w:rPr>
                <w:sz w:val="1"/>
                <w:szCs w:val="1"/>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4"/>
                <w:szCs w:val="14"/>
                <w:color w:val="auto"/>
              </w:rPr>
              <w:t>David B. Powers</w:t>
            </w: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5/16/13</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526,482</w:t>
            </w:r>
            <w:r>
              <w:rPr>
                <w:rFonts w:ascii="Arial" w:cs="Arial" w:eastAsia="Arial" w:hAnsi="Arial"/>
                <w:sz w:val="11"/>
                <w:szCs w:val="11"/>
                <w:color w:val="auto"/>
              </w:rPr>
              <w:t>(2)</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680" w:type="dxa"/>
            <w:vAlign w:val="bottom"/>
            <w:gridSpan w:val="2"/>
          </w:tcPr>
          <w:p>
            <w:pPr>
              <w:jc w:val="center"/>
              <w:ind w:left="111"/>
              <w:spacing w:after="0" w:line="155" w:lineRule="exact"/>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70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7,681</w:t>
            </w:r>
            <w:r>
              <w:rPr>
                <w:rFonts w:ascii="Arial" w:cs="Arial" w:eastAsia="Arial" w:hAnsi="Arial"/>
                <w:sz w:val="11"/>
                <w:szCs w:val="11"/>
                <w:color w:val="auto"/>
              </w:rPr>
              <w:t>(3)</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67.21</w:t>
            </w:r>
          </w:p>
        </w:tc>
        <w:tc>
          <w:tcPr>
            <w:tcW w:w="8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8,928</w:t>
            </w:r>
            <w:r>
              <w:rPr>
                <w:rFonts w:ascii="Arial" w:cs="Arial" w:eastAsia="Arial" w:hAnsi="Arial"/>
                <w:sz w:val="11"/>
                <w:szCs w:val="11"/>
                <w:color w:val="auto"/>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4"/>
                <w:szCs w:val="14"/>
                <w:color w:val="auto"/>
              </w:rPr>
              <w:t>James H. Graass</w:t>
            </w: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5/16/13</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432,184</w:t>
            </w:r>
            <w:r>
              <w:rPr>
                <w:rFonts w:ascii="Arial" w:cs="Arial" w:eastAsia="Arial" w:hAnsi="Arial"/>
                <w:sz w:val="11"/>
                <w:szCs w:val="11"/>
                <w:color w:val="auto"/>
              </w:rPr>
              <w:t>(2)</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680" w:type="dxa"/>
            <w:vAlign w:val="bottom"/>
            <w:gridSpan w:val="2"/>
          </w:tcPr>
          <w:p>
            <w:pPr>
              <w:jc w:val="center"/>
              <w:ind w:left="111"/>
              <w:spacing w:after="0" w:line="155" w:lineRule="exact"/>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70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14,402</w:t>
            </w:r>
            <w:r>
              <w:rPr>
                <w:rFonts w:ascii="Arial" w:cs="Arial" w:eastAsia="Arial" w:hAnsi="Arial"/>
                <w:sz w:val="11"/>
                <w:szCs w:val="11"/>
                <w:color w:val="auto"/>
              </w:rPr>
              <w:t>(3)</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67.21</w:t>
            </w:r>
          </w:p>
        </w:tc>
        <w:tc>
          <w:tcPr>
            <w:tcW w:w="8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680" w:type="dxa"/>
            <w:vAlign w:val="bottom"/>
            <w:gridSpan w:val="2"/>
          </w:tcPr>
          <w:p>
            <w:pPr>
              <w:jc w:val="center"/>
              <w:ind w:left="111"/>
              <w:spacing w:after="0"/>
              <w:rPr>
                <w:sz w:val="20"/>
                <w:szCs w:val="20"/>
                <w:color w:val="auto"/>
              </w:rPr>
            </w:pPr>
            <w:r>
              <w:rPr>
                <w:rFonts w:ascii="Arial" w:cs="Arial" w:eastAsia="Arial" w:hAnsi="Arial"/>
                <w:sz w:val="14"/>
                <w:szCs w:val="14"/>
                <w:color w:val="auto"/>
                <w:w w:val="89"/>
              </w:rPr>
              <w:t>8/12/13</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32"/>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5,580</w:t>
            </w:r>
            <w:r>
              <w:rPr>
                <w:rFonts w:ascii="Arial" w:cs="Arial" w:eastAsia="Arial" w:hAnsi="Arial"/>
                <w:sz w:val="11"/>
                <w:szCs w:val="11"/>
                <w:color w:val="auto"/>
              </w:rPr>
              <w:t>(4)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1889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53" w:lineRule="exact"/>
        <w:rPr>
          <w:sz w:val="20"/>
          <w:szCs w:val="20"/>
          <w:color w:val="auto"/>
        </w:rPr>
      </w:pPr>
    </w:p>
    <w:p>
      <w:pPr>
        <w:ind w:left="460" w:hanging="457"/>
        <w:spacing w:after="0" w:line="26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2014 included in the Fiscal 2014 Form 10-K.</w:t>
      </w:r>
    </w:p>
    <w:p>
      <w:pPr>
        <w:spacing w:after="0" w:line="84" w:lineRule="exact"/>
        <w:rPr>
          <w:rFonts w:ascii="Arial" w:cs="Arial" w:eastAsia="Arial" w:hAnsi="Arial"/>
          <w:sz w:val="17"/>
          <w:szCs w:val="17"/>
          <w:color w:val="auto"/>
        </w:rPr>
      </w:pPr>
    </w:p>
    <w:p>
      <w:pPr>
        <w:ind w:left="460" w:right="20" w:hanging="457"/>
        <w:spacing w:after="0" w:line="302"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These amounts represent the maximum annual incentive payments potentially payable to the Named Executive Officers pursuant to the Eagle Annual Incentive Program or the Divisional Annual Incentive Bonus Programs, as applicable, for fiscal year 2014. There are no thresholds or maximums for these awards—they are merely a function of multiplying the pre-determined percentage by the operating earnings for the fiscal year. The actual pay-outs to the Named Executive Officers were as follows: Mr. Rowley – $1,080,460; Mr. Kesler – $432,184; Mr. Essl – $425,246; Mr. Powers – $484,364; and Mr. Graass – $432,184. These incentive programs are described in greater detail under “Annual Incentive Bonus” beginning on page 25 of this proxy statement.</w:t>
      </w:r>
    </w:p>
    <w:p>
      <w:pPr>
        <w:spacing w:after="0" w:line="60" w:lineRule="exact"/>
        <w:rPr>
          <w:rFonts w:ascii="Arial" w:cs="Arial" w:eastAsia="Arial" w:hAnsi="Arial"/>
          <w:sz w:val="15"/>
          <w:szCs w:val="15"/>
          <w:color w:val="auto"/>
        </w:rPr>
      </w:pPr>
    </w:p>
    <w:p>
      <w:pPr>
        <w:ind w:left="460" w:right="320" w:hanging="457"/>
        <w:spacing w:after="0" w:line="290"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August 12, 2013 under our Incentive Plan. One-third of the stock options will vest on August 12, 2014; one-third will vest on August 12, 2015; and one-third will vest on August 12, 2016. These stock options are described in greater detail under “Long-Term Incentive Compensation—Fiscal 2014 Grants” beginning on page 30 of this proxy statement.</w:t>
      </w:r>
    </w:p>
    <w:p>
      <w:pPr>
        <w:spacing w:after="0" w:line="67" w:lineRule="exact"/>
        <w:rPr>
          <w:rFonts w:ascii="Arial" w:cs="Arial" w:eastAsia="Arial" w:hAnsi="Arial"/>
          <w:sz w:val="16"/>
          <w:szCs w:val="16"/>
          <w:color w:val="auto"/>
        </w:rPr>
      </w:pPr>
    </w:p>
    <w:p>
      <w:pPr>
        <w:ind w:left="460" w:right="120" w:hanging="457"/>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amounts represent grants of restricted stock made on August 12, 2014 under our Incentive Plan. The vesting of the restricted stock was subject to performance vesting criteria. One-fifth of the earned restricted stock vested on May 8, 2014; one-fifth will vest on March 31, 2015; one-fifth will vest on March 31, 2016; one-fifth will vest on March 31, 2017; and one-fifth will vest on March 31, 2018. These restricted stock grants are described in greater detail under “Long-Term Incentive Compensation—Fiscal 2014 Grants” beginning on page 30 of this proxy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4"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2014 for each of the Named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0"/>
              </w:rPr>
              <w:t>Option Awards</w:t>
            </w:r>
          </w:p>
        </w:tc>
        <w:tc>
          <w:tcPr>
            <w:tcW w:w="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6"/>
              </w:rPr>
              <w:t>Stock Awards</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3"/>
              </w:rPr>
              <w:t>Equity</w:t>
            </w: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00" w:type="dxa"/>
            <w:vAlign w:val="bottom"/>
          </w:tcPr>
          <w:p>
            <w:pPr>
              <w:jc w:val="center"/>
              <w:ind w:left="112"/>
              <w:spacing w:after="0" w:line="112" w:lineRule="exact"/>
              <w:rPr>
                <w:sz w:val="20"/>
                <w:szCs w:val="20"/>
                <w:color w:val="auto"/>
              </w:rPr>
            </w:pPr>
            <w:r>
              <w:rPr>
                <w:rFonts w:ascii="Arial" w:cs="Arial" w:eastAsia="Arial" w:hAnsi="Arial"/>
                <w:sz w:val="11"/>
                <w:szCs w:val="11"/>
                <w:b w:val="1"/>
                <w:bCs w:val="1"/>
                <w:color w:val="auto"/>
              </w:rPr>
              <w:t>Equity</w:t>
            </w:r>
          </w:p>
        </w:tc>
        <w:tc>
          <w:tcPr>
            <w:tcW w:w="120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1"/>
              </w:rPr>
              <w:t>Equity Incentive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jc w:val="center"/>
              <w:ind w:left="112"/>
              <w:spacing w:after="0" w:line="142" w:lineRule="exact"/>
              <w:rPr>
                <w:sz w:val="20"/>
                <w:szCs w:val="20"/>
                <w:color w:val="auto"/>
              </w:rPr>
            </w:pPr>
            <w:r>
              <w:rPr>
                <w:rFonts w:ascii="Arial" w:cs="Arial" w:eastAsia="Arial" w:hAnsi="Arial"/>
                <w:sz w:val="14"/>
                <w:szCs w:val="14"/>
                <w:b w:val="1"/>
                <w:bCs w:val="1"/>
                <w:color w:val="auto"/>
                <w:w w:val="89"/>
              </w:rPr>
              <w:t>Incentive Plan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0" w:type="dxa"/>
            <w:vAlign w:val="bottom"/>
          </w:tcPr>
          <w:p>
            <w:pPr>
              <w:spacing w:after="0"/>
              <w:rPr>
                <w:sz w:val="12"/>
                <w:szCs w:val="12"/>
                <w:color w:val="auto"/>
              </w:rPr>
            </w:pPr>
          </w:p>
        </w:tc>
        <w:tc>
          <w:tcPr>
            <w:tcW w:w="12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7"/>
              </w:rPr>
              <w:t>Market</w:t>
            </w:r>
          </w:p>
        </w:tc>
        <w:tc>
          <w:tcPr>
            <w:tcW w:w="1300" w:type="dxa"/>
            <w:vAlign w:val="bottom"/>
          </w:tcPr>
          <w:p>
            <w:pPr>
              <w:jc w:val="center"/>
              <w:ind w:left="112"/>
              <w:spacing w:after="0" w:line="142" w:lineRule="exact"/>
              <w:rPr>
                <w:sz w:val="20"/>
                <w:szCs w:val="20"/>
                <w:color w:val="auto"/>
              </w:rPr>
            </w:pPr>
            <w:r>
              <w:rPr>
                <w:rFonts w:ascii="Arial" w:cs="Arial" w:eastAsia="Arial" w:hAnsi="Arial"/>
                <w:sz w:val="14"/>
                <w:szCs w:val="14"/>
                <w:b w:val="1"/>
                <w:bCs w:val="1"/>
                <w:color w:val="auto"/>
                <w:w w:val="86"/>
              </w:rPr>
              <w:t>Awards:</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7"/>
              </w:rPr>
              <w:t>Plan Awards:</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300" w:type="dxa"/>
            <w:vAlign w:val="bottom"/>
          </w:tcPr>
          <w:p>
            <w:pPr>
              <w:jc w:val="center"/>
              <w:ind w:left="112"/>
              <w:spacing w:after="0" w:line="142" w:lineRule="exact"/>
              <w:rPr>
                <w:sz w:val="20"/>
                <w:szCs w:val="20"/>
                <w:color w:val="auto"/>
              </w:rPr>
            </w:pPr>
            <w:r>
              <w:rPr>
                <w:rFonts w:ascii="Arial" w:cs="Arial" w:eastAsia="Arial" w:hAnsi="Arial"/>
                <w:sz w:val="14"/>
                <w:szCs w:val="14"/>
                <w:b w:val="1"/>
                <w:bCs w:val="1"/>
                <w:color w:val="auto"/>
                <w:w w:val="91"/>
              </w:rPr>
              <w:t>Number of</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of</w:t>
            </w:r>
          </w:p>
        </w:tc>
        <w:tc>
          <w:tcPr>
            <w:tcW w:w="1000" w:type="dxa"/>
            <w:vAlign w:val="bottom"/>
            <w:vMerge w:val="continue"/>
          </w:tcPr>
          <w:p>
            <w:pPr>
              <w:spacing w:after="0"/>
              <w:rPr>
                <w:sz w:val="12"/>
                <w:szCs w:val="12"/>
                <w:color w:val="auto"/>
              </w:rPr>
            </w:pPr>
          </w:p>
        </w:tc>
        <w:tc>
          <w:tcPr>
            <w:tcW w:w="1200" w:type="dxa"/>
            <w:vAlign w:val="bottom"/>
          </w:tcPr>
          <w:p>
            <w:pPr>
              <w:jc w:val="center"/>
              <w:ind w:left="51"/>
              <w:spacing w:after="0" w:line="142" w:lineRule="exact"/>
              <w:rPr>
                <w:sz w:val="20"/>
                <w:szCs w:val="20"/>
                <w:color w:val="auto"/>
              </w:rPr>
            </w:pPr>
            <w:r>
              <w:rPr>
                <w:rFonts w:ascii="Arial" w:cs="Arial" w:eastAsia="Arial" w:hAnsi="Arial"/>
                <w:sz w:val="14"/>
                <w:szCs w:val="14"/>
                <w:b w:val="1"/>
                <w:bCs w:val="1"/>
                <w:color w:val="auto"/>
                <w:w w:val="91"/>
              </w:rPr>
              <w:t>Number of</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86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8"/>
              </w:rPr>
              <w:t>Value of</w:t>
            </w:r>
          </w:p>
        </w:tc>
        <w:tc>
          <w:tcPr>
            <w:tcW w:w="1300" w:type="dxa"/>
            <w:vAlign w:val="bottom"/>
          </w:tcPr>
          <w:p>
            <w:pPr>
              <w:jc w:val="center"/>
              <w:ind w:left="92"/>
              <w:spacing w:after="0" w:line="142" w:lineRule="exact"/>
              <w:rPr>
                <w:sz w:val="20"/>
                <w:szCs w:val="20"/>
                <w:color w:val="auto"/>
              </w:rPr>
            </w:pPr>
            <w:r>
              <w:rPr>
                <w:rFonts w:ascii="Arial" w:cs="Arial" w:eastAsia="Arial" w:hAnsi="Arial"/>
                <w:sz w:val="14"/>
                <w:szCs w:val="14"/>
                <w:b w:val="1"/>
                <w:bCs w:val="1"/>
                <w:color w:val="auto"/>
                <w:w w:val="89"/>
              </w:rPr>
              <w:t>Unearned</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9"/>
              </w:rPr>
              <w:t>Payout Value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6"/>
              </w:rPr>
              <w:t>Securities</w:t>
            </w:r>
          </w:p>
        </w:tc>
        <w:tc>
          <w:tcPr>
            <w:tcW w:w="12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6"/>
              </w:rPr>
              <w:t>Securities</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or Units</w:t>
            </w:r>
          </w:p>
        </w:tc>
        <w:tc>
          <w:tcPr>
            <w:tcW w:w="86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6"/>
              </w:rPr>
              <w:t>Shares or</w:t>
            </w:r>
          </w:p>
        </w:tc>
        <w:tc>
          <w:tcPr>
            <w:tcW w:w="1300" w:type="dxa"/>
            <w:vAlign w:val="bottom"/>
          </w:tcPr>
          <w:p>
            <w:pPr>
              <w:jc w:val="center"/>
              <w:ind w:left="92"/>
              <w:spacing w:after="0" w:line="142" w:lineRule="exact"/>
              <w:rPr>
                <w:sz w:val="20"/>
                <w:szCs w:val="20"/>
                <w:color w:val="auto"/>
              </w:rPr>
            </w:pPr>
            <w:r>
              <w:rPr>
                <w:rFonts w:ascii="Arial" w:cs="Arial" w:eastAsia="Arial" w:hAnsi="Arial"/>
                <w:sz w:val="14"/>
                <w:szCs w:val="14"/>
                <w:b w:val="1"/>
                <w:bCs w:val="1"/>
                <w:color w:val="auto"/>
                <w:w w:val="87"/>
              </w:rPr>
              <w:t>Shares, Units</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90"/>
              </w:rPr>
              <w:t>Underlying</w:t>
            </w:r>
          </w:p>
        </w:tc>
        <w:tc>
          <w:tcPr>
            <w:tcW w:w="12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90"/>
              </w:rPr>
              <w:t>Underlying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of Stock</w:t>
            </w:r>
          </w:p>
        </w:tc>
        <w:tc>
          <w:tcPr>
            <w:tcW w:w="860" w:type="dxa"/>
            <w:vAlign w:val="bottom"/>
          </w:tcPr>
          <w:p>
            <w:pPr>
              <w:jc w:val="center"/>
              <w:ind w:left="131"/>
              <w:spacing w:after="0" w:line="142" w:lineRule="exact"/>
              <w:rPr>
                <w:sz w:val="20"/>
                <w:szCs w:val="20"/>
                <w:color w:val="auto"/>
              </w:rPr>
            </w:pPr>
            <w:r>
              <w:rPr>
                <w:rFonts w:ascii="Arial" w:cs="Arial" w:eastAsia="Arial" w:hAnsi="Arial"/>
                <w:sz w:val="14"/>
                <w:szCs w:val="14"/>
                <w:b w:val="1"/>
                <w:bCs w:val="1"/>
                <w:color w:val="auto"/>
                <w:w w:val="88"/>
              </w:rPr>
              <w:t>Units of</w:t>
            </w:r>
          </w:p>
        </w:tc>
        <w:tc>
          <w:tcPr>
            <w:tcW w:w="1300" w:type="dxa"/>
            <w:vAlign w:val="bottom"/>
          </w:tcPr>
          <w:p>
            <w:pPr>
              <w:jc w:val="center"/>
              <w:ind w:left="112"/>
              <w:spacing w:after="0" w:line="142" w:lineRule="exact"/>
              <w:rPr>
                <w:sz w:val="20"/>
                <w:szCs w:val="20"/>
                <w:color w:val="auto"/>
              </w:rPr>
            </w:pPr>
            <w:r>
              <w:rPr>
                <w:rFonts w:ascii="Arial" w:cs="Arial" w:eastAsia="Arial" w:hAnsi="Arial"/>
                <w:sz w:val="14"/>
                <w:szCs w:val="14"/>
                <w:b w:val="1"/>
                <w:bCs w:val="1"/>
                <w:color w:val="auto"/>
                <w:w w:val="94"/>
              </w:rPr>
              <w:t>or Other</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7"/>
              </w:rPr>
              <w:t>Shares, Units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Unexercised</w:t>
            </w:r>
          </w:p>
        </w:tc>
        <w:tc>
          <w:tcPr>
            <w:tcW w:w="1000" w:type="dxa"/>
            <w:vAlign w:val="bottom"/>
          </w:tcPr>
          <w:p>
            <w:pPr>
              <w:jc w:val="center"/>
              <w:ind w:left="51"/>
              <w:spacing w:after="0" w:line="142" w:lineRule="exact"/>
              <w:rPr>
                <w:sz w:val="20"/>
                <w:szCs w:val="20"/>
                <w:color w:val="auto"/>
              </w:rPr>
            </w:pPr>
            <w:r>
              <w:rPr>
                <w:rFonts w:ascii="Arial" w:cs="Arial" w:eastAsia="Arial" w:hAnsi="Arial"/>
                <w:sz w:val="14"/>
                <w:szCs w:val="14"/>
                <w:b w:val="1"/>
                <w:bCs w:val="1"/>
                <w:color w:val="auto"/>
                <w:w w:val="86"/>
              </w:rPr>
              <w:t>Unexercised</w:t>
            </w:r>
          </w:p>
        </w:tc>
        <w:tc>
          <w:tcPr>
            <w:tcW w:w="1200" w:type="dxa"/>
            <w:vAlign w:val="bottom"/>
          </w:tcPr>
          <w:p>
            <w:pPr>
              <w:jc w:val="center"/>
              <w:ind w:left="51"/>
              <w:spacing w:after="0" w:line="142" w:lineRule="exact"/>
              <w:rPr>
                <w:sz w:val="20"/>
                <w:szCs w:val="20"/>
                <w:color w:val="auto"/>
              </w:rPr>
            </w:pPr>
            <w:r>
              <w:rPr>
                <w:rFonts w:ascii="Arial" w:cs="Arial" w:eastAsia="Arial" w:hAnsi="Arial"/>
                <w:sz w:val="14"/>
                <w:szCs w:val="14"/>
                <w:b w:val="1"/>
                <w:bCs w:val="1"/>
                <w:color w:val="auto"/>
                <w:w w:val="86"/>
              </w:rPr>
              <w:t>Unexercised</w:t>
            </w:r>
          </w:p>
        </w:tc>
        <w:tc>
          <w:tcPr>
            <w:tcW w:w="7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That</w:t>
            </w:r>
          </w:p>
        </w:tc>
        <w:tc>
          <w:tcPr>
            <w:tcW w:w="860" w:type="dxa"/>
            <w:vAlign w:val="bottom"/>
          </w:tcPr>
          <w:p>
            <w:pPr>
              <w:jc w:val="center"/>
              <w:ind w:left="111"/>
              <w:spacing w:after="0" w:line="142" w:lineRule="exact"/>
              <w:rPr>
                <w:sz w:val="20"/>
                <w:szCs w:val="20"/>
                <w:color w:val="auto"/>
              </w:rPr>
            </w:pPr>
            <w:r>
              <w:rPr>
                <w:rFonts w:ascii="Arial" w:cs="Arial" w:eastAsia="Arial" w:hAnsi="Arial"/>
                <w:sz w:val="14"/>
                <w:szCs w:val="14"/>
                <w:b w:val="1"/>
                <w:bCs w:val="1"/>
                <w:color w:val="auto"/>
                <w:w w:val="89"/>
              </w:rPr>
              <w:t>Stock That</w:t>
            </w:r>
          </w:p>
        </w:tc>
        <w:tc>
          <w:tcPr>
            <w:tcW w:w="1300" w:type="dxa"/>
            <w:vAlign w:val="bottom"/>
          </w:tcPr>
          <w:p>
            <w:pPr>
              <w:jc w:val="center"/>
              <w:ind w:left="92"/>
              <w:spacing w:after="0" w:line="142" w:lineRule="exact"/>
              <w:rPr>
                <w:sz w:val="20"/>
                <w:szCs w:val="20"/>
                <w:color w:val="auto"/>
              </w:rPr>
            </w:pPr>
            <w:r>
              <w:rPr>
                <w:rFonts w:ascii="Arial" w:cs="Arial" w:eastAsia="Arial" w:hAnsi="Arial"/>
                <w:sz w:val="14"/>
                <w:szCs w:val="14"/>
                <w:b w:val="1"/>
                <w:bCs w:val="1"/>
                <w:color w:val="auto"/>
                <w:w w:val="90"/>
              </w:rPr>
              <w:t>Rights That</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91"/>
              </w:rPr>
              <w:t>Other Rights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ind w:right="11"/>
              <w:spacing w:after="0" w:line="151"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tcPr>
          <w:p>
            <w:pPr>
              <w:jc w:val="center"/>
              <w:ind w:left="71"/>
              <w:spacing w:after="0" w:line="151" w:lineRule="exact"/>
              <w:rPr>
                <w:sz w:val="20"/>
                <w:szCs w:val="20"/>
                <w:color w:val="auto"/>
              </w:rPr>
            </w:pPr>
            <w:r>
              <w:rPr>
                <w:rFonts w:ascii="Arial" w:cs="Arial" w:eastAsia="Arial" w:hAnsi="Arial"/>
                <w:sz w:val="14"/>
                <w:szCs w:val="14"/>
                <w:b w:val="1"/>
                <w:bCs w:val="1"/>
                <w:color w:val="auto"/>
                <w:w w:val="86"/>
              </w:rPr>
              <w:t>Options</w:t>
            </w:r>
          </w:p>
        </w:tc>
        <w:tc>
          <w:tcPr>
            <w:tcW w:w="1200" w:type="dxa"/>
            <w:vAlign w:val="bottom"/>
          </w:tcPr>
          <w:p>
            <w:pPr>
              <w:jc w:val="center"/>
              <w:ind w:left="71"/>
              <w:spacing w:after="0" w:line="151" w:lineRule="exact"/>
              <w:rPr>
                <w:sz w:val="20"/>
                <w:szCs w:val="20"/>
                <w:color w:val="auto"/>
              </w:rPr>
            </w:pPr>
            <w:r>
              <w:rPr>
                <w:rFonts w:ascii="Arial" w:cs="Arial" w:eastAsia="Arial" w:hAnsi="Arial"/>
                <w:sz w:val="14"/>
                <w:szCs w:val="14"/>
                <w:b w:val="1"/>
                <w:bCs w:val="1"/>
                <w:color w:val="auto"/>
                <w:w w:val="89"/>
              </w:rPr>
              <w:t>Unearned</w:t>
            </w:r>
          </w:p>
        </w:tc>
        <w:tc>
          <w:tcPr>
            <w:tcW w:w="7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tcPr>
          <w:p>
            <w:pPr>
              <w:jc w:val="center"/>
              <w:ind w:left="11"/>
              <w:spacing w:after="0" w:line="151"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Have Not</w:t>
            </w:r>
          </w:p>
        </w:tc>
        <w:tc>
          <w:tcPr>
            <w:tcW w:w="860" w:type="dxa"/>
            <w:vAlign w:val="bottom"/>
          </w:tcPr>
          <w:p>
            <w:pPr>
              <w:jc w:val="center"/>
              <w:ind w:left="131"/>
              <w:spacing w:after="0" w:line="151" w:lineRule="exact"/>
              <w:rPr>
                <w:sz w:val="20"/>
                <w:szCs w:val="20"/>
                <w:color w:val="auto"/>
              </w:rPr>
            </w:pPr>
            <w:r>
              <w:rPr>
                <w:rFonts w:ascii="Arial" w:cs="Arial" w:eastAsia="Arial" w:hAnsi="Arial"/>
                <w:sz w:val="14"/>
                <w:szCs w:val="14"/>
                <w:b w:val="1"/>
                <w:bCs w:val="1"/>
                <w:color w:val="auto"/>
                <w:w w:val="88"/>
              </w:rPr>
              <w:t>Have Not</w:t>
            </w:r>
          </w:p>
        </w:tc>
        <w:tc>
          <w:tcPr>
            <w:tcW w:w="1300" w:type="dxa"/>
            <w:vAlign w:val="bottom"/>
          </w:tcPr>
          <w:p>
            <w:pPr>
              <w:jc w:val="center"/>
              <w:ind w:left="112"/>
              <w:spacing w:after="0" w:line="151" w:lineRule="exact"/>
              <w:rPr>
                <w:sz w:val="20"/>
                <w:szCs w:val="20"/>
                <w:color w:val="auto"/>
              </w:rPr>
            </w:pPr>
            <w:r>
              <w:rPr>
                <w:rFonts w:ascii="Arial" w:cs="Arial" w:eastAsia="Arial" w:hAnsi="Arial"/>
                <w:sz w:val="14"/>
                <w:szCs w:val="14"/>
                <w:b w:val="1"/>
                <w:bCs w:val="1"/>
                <w:color w:val="auto"/>
                <w:w w:val="92"/>
              </w:rPr>
              <w:t>Have Not</w:t>
            </w:r>
          </w:p>
        </w:tc>
        <w:tc>
          <w:tcPr>
            <w:tcW w:w="1200" w:type="dxa"/>
            <w:vAlign w:val="bottom"/>
          </w:tcPr>
          <w:p>
            <w:pPr>
              <w:jc w:val="center"/>
              <w:ind w:left="31"/>
              <w:spacing w:after="0" w:line="151"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Exercisable</w:t>
            </w:r>
          </w:p>
        </w:tc>
        <w:tc>
          <w:tcPr>
            <w:tcW w:w="10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1200" w:type="dxa"/>
            <w:vAlign w:val="bottom"/>
          </w:tcPr>
          <w:p>
            <w:pPr>
              <w:jc w:val="center"/>
              <w:ind w:left="71"/>
              <w:spacing w:after="0" w:line="142" w:lineRule="exact"/>
              <w:rPr>
                <w:sz w:val="20"/>
                <w:szCs w:val="20"/>
                <w:color w:val="auto"/>
              </w:rPr>
            </w:pPr>
            <w:r>
              <w:rPr>
                <w:rFonts w:ascii="Arial" w:cs="Arial" w:eastAsia="Arial" w:hAnsi="Arial"/>
                <w:sz w:val="14"/>
                <w:szCs w:val="14"/>
                <w:b w:val="1"/>
                <w:bCs w:val="1"/>
                <w:color w:val="auto"/>
                <w:w w:val="86"/>
              </w:rPr>
              <w:t>Options</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2"/>
              </w:rPr>
              <w:t>Vested</w:t>
            </w:r>
          </w:p>
        </w:tc>
        <w:tc>
          <w:tcPr>
            <w:tcW w:w="860" w:type="dxa"/>
            <w:vAlign w:val="bottom"/>
          </w:tcPr>
          <w:p>
            <w:pPr>
              <w:jc w:val="center"/>
              <w:ind w:left="131"/>
              <w:spacing w:after="0" w:line="142" w:lineRule="exact"/>
              <w:rPr>
                <w:sz w:val="20"/>
                <w:szCs w:val="20"/>
                <w:color w:val="auto"/>
              </w:rPr>
            </w:pPr>
            <w:r>
              <w:rPr>
                <w:rFonts w:ascii="Arial" w:cs="Arial" w:eastAsia="Arial" w:hAnsi="Arial"/>
                <w:sz w:val="14"/>
                <w:szCs w:val="14"/>
                <w:b w:val="1"/>
                <w:bCs w:val="1"/>
                <w:color w:val="auto"/>
                <w:w w:val="82"/>
              </w:rPr>
              <w:t>Vested</w:t>
            </w:r>
          </w:p>
        </w:tc>
        <w:tc>
          <w:tcPr>
            <w:tcW w:w="1300" w:type="dxa"/>
            <w:vAlign w:val="bottom"/>
          </w:tcPr>
          <w:p>
            <w:pPr>
              <w:jc w:val="center"/>
              <w:ind w:left="92"/>
              <w:spacing w:after="0" w:line="142" w:lineRule="exact"/>
              <w:rPr>
                <w:sz w:val="20"/>
                <w:szCs w:val="20"/>
                <w:color w:val="auto"/>
              </w:rPr>
            </w:pPr>
            <w:r>
              <w:rPr>
                <w:rFonts w:ascii="Arial" w:cs="Arial" w:eastAsia="Arial" w:hAnsi="Arial"/>
                <w:sz w:val="14"/>
                <w:szCs w:val="14"/>
                <w:b w:val="1"/>
                <w:bCs w:val="1"/>
                <w:color w:val="auto"/>
                <w:w w:val="82"/>
              </w:rPr>
              <w:t>Vested</w:t>
            </w:r>
          </w:p>
        </w:tc>
        <w:tc>
          <w:tcPr>
            <w:tcW w:w="12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center"/>
              <w:ind w:left="51"/>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Pr>
          <w:p>
            <w:pPr>
              <w:jc w:val="center"/>
              <w:ind w:left="51"/>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jc w:val="center"/>
              <w:ind w:left="31"/>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jc w:val="center"/>
              <w:ind w:left="131"/>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(1)</w:t>
            </w:r>
          </w:p>
        </w:tc>
        <w:tc>
          <w:tcPr>
            <w:tcW w:w="1300" w:type="dxa"/>
            <w:vAlign w:val="bottom"/>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20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Steven R. Rowley</w:t>
            </w:r>
          </w:p>
        </w:tc>
        <w:tc>
          <w:tcPr>
            <w:tcW w:w="80" w:type="dxa"/>
            <w:vAlign w:val="bottom"/>
          </w:tcPr>
          <w:p>
            <w:pPr>
              <w:spacing w:after="0"/>
              <w:rPr>
                <w:sz w:val="11"/>
                <w:szCs w:val="11"/>
                <w:color w:val="auto"/>
              </w:rPr>
            </w:pPr>
          </w:p>
        </w:tc>
        <w:tc>
          <w:tcPr>
            <w:tcW w:w="94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14,755</w:t>
            </w:r>
          </w:p>
        </w:tc>
        <w:tc>
          <w:tcPr>
            <w:tcW w:w="100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$ 62.830</w:t>
            </w:r>
          </w:p>
        </w:tc>
        <w:tc>
          <w:tcPr>
            <w:tcW w:w="9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05/09/2016</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color w:val="auto"/>
              </w:rPr>
              <w:t>33,333</w:t>
            </w:r>
            <w:r>
              <w:rPr>
                <w:rFonts w:ascii="Arial" w:cs="Arial" w:eastAsia="Arial" w:hAnsi="Arial"/>
                <w:sz w:val="11"/>
                <w:szCs w:val="11"/>
                <w:color w:val="auto"/>
              </w:rPr>
              <w:t>(2)</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$ 2,955,304</w:t>
            </w:r>
          </w:p>
        </w:tc>
        <w:tc>
          <w:tcPr>
            <w:tcW w:w="130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color w:val="auto"/>
              </w:rPr>
              <w:t>11,160</w:t>
            </w:r>
            <w:r>
              <w:rPr>
                <w:rFonts w:ascii="Arial" w:cs="Arial" w:eastAsia="Arial" w:hAnsi="Arial"/>
                <w:sz w:val="11"/>
                <w:szCs w:val="11"/>
                <w:color w:val="auto"/>
              </w:rPr>
              <w:t>(3)</w:t>
            </w:r>
          </w:p>
        </w:tc>
        <w:tc>
          <w:tcPr>
            <w:tcW w:w="120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color w:val="auto"/>
              </w:rPr>
              <w:t>$  989,446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500,000</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47.530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06/20/2014</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41,409</w:t>
            </w:r>
            <w:r>
              <w:rPr>
                <w:rFonts w:ascii="Arial" w:cs="Arial" w:eastAsia="Arial" w:hAnsi="Arial"/>
                <w:sz w:val="11"/>
                <w:szCs w:val="11"/>
                <w:color w:val="auto"/>
              </w:rPr>
              <w:t>(4)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3,671,322</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33,232</w:t>
            </w:r>
          </w:p>
        </w:tc>
        <w:tc>
          <w:tcPr>
            <w:tcW w:w="1000" w:type="dxa"/>
            <w:vAlign w:val="bottom"/>
          </w:tcPr>
          <w:p>
            <w:pPr>
              <w:jc w:val="right"/>
              <w:ind w:right="151"/>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30.735</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05/18/2020</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9,261</w:t>
            </w:r>
            <w:r>
              <w:rPr>
                <w:rFonts w:ascii="Arial" w:cs="Arial" w:eastAsia="Arial" w:hAnsi="Arial"/>
                <w:sz w:val="11"/>
                <w:szCs w:val="11"/>
                <w:color w:val="auto"/>
              </w:rPr>
              <w:t>(5)</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821,080</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59,080</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29,540</w:t>
            </w:r>
            <w:r>
              <w:rPr>
                <w:rFonts w:ascii="Arial" w:cs="Arial" w:eastAsia="Arial" w:hAnsi="Arial"/>
                <w:sz w:val="11"/>
                <w:szCs w:val="11"/>
                <w:color w:val="auto"/>
              </w:rPr>
              <w:t>(6)</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06/27/2021</w:t>
            </w:r>
          </w:p>
        </w:tc>
        <w:tc>
          <w:tcPr>
            <w:tcW w:w="160" w:type="dxa"/>
            <w:vAlign w:val="bottom"/>
          </w:tcPr>
          <w:p>
            <w:pPr>
              <w:spacing w:after="0"/>
              <w:rPr>
                <w:sz w:val="12"/>
                <w:szCs w:val="12"/>
                <w:color w:val="auto"/>
              </w:rPr>
            </w:pPr>
          </w:p>
        </w:tc>
        <w:tc>
          <w:tcPr>
            <w:tcW w:w="800" w:type="dxa"/>
            <w:vAlign w:val="bottom"/>
          </w:tcPr>
          <w:p>
            <w:pPr>
              <w:jc w:val="right"/>
              <w:ind w:right="251"/>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40,206</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80,412</w:t>
            </w:r>
            <w:r>
              <w:rPr>
                <w:rFonts w:ascii="Arial" w:cs="Arial" w:eastAsia="Arial" w:hAnsi="Arial"/>
                <w:sz w:val="11"/>
                <w:szCs w:val="11"/>
                <w:color w:val="auto"/>
              </w:rPr>
              <w:t>(7)</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33.690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06/19/2022</w:t>
            </w:r>
          </w:p>
        </w:tc>
        <w:tc>
          <w:tcPr>
            <w:tcW w:w="160" w:type="dxa"/>
            <w:vAlign w:val="bottom"/>
          </w:tcPr>
          <w:p>
            <w:pPr>
              <w:spacing w:after="0"/>
              <w:rPr>
                <w:sz w:val="12"/>
                <w:szCs w:val="12"/>
                <w:color w:val="auto"/>
              </w:rPr>
            </w:pPr>
          </w:p>
        </w:tc>
        <w:tc>
          <w:tcPr>
            <w:tcW w:w="800" w:type="dxa"/>
            <w:vAlign w:val="bottom"/>
          </w:tcPr>
          <w:p>
            <w:pPr>
              <w:jc w:val="right"/>
              <w:ind w:right="251"/>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86,411</w:t>
            </w:r>
            <w:r>
              <w:rPr>
                <w:rFonts w:ascii="Arial" w:cs="Arial" w:eastAsia="Arial" w:hAnsi="Arial"/>
                <w:sz w:val="11"/>
                <w:szCs w:val="11"/>
                <w:color w:val="auto"/>
              </w:rPr>
              <w:t>(8)</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67.210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08/12/2023</w:t>
            </w:r>
          </w:p>
        </w:tc>
        <w:tc>
          <w:tcPr>
            <w:tcW w:w="16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4"/>
                <w:szCs w:val="14"/>
                <w:color w:val="auto"/>
              </w:rPr>
              <w:t>D. Craig Kesler</w:t>
            </w:r>
          </w:p>
        </w:tc>
        <w:tc>
          <w:tcPr>
            <w:tcW w:w="80" w:type="dxa"/>
            <w:vAlign w:val="bottom"/>
          </w:tcPr>
          <w:p>
            <w:pPr>
              <w:spacing w:after="0"/>
              <w:rPr>
                <w:sz w:val="24"/>
                <w:szCs w:val="2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35,000</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47.530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06/20/2014</w:t>
            </w:r>
          </w:p>
        </w:tc>
        <w:tc>
          <w:tcPr>
            <w:tcW w:w="960" w:type="dxa"/>
            <w:vAlign w:val="bottom"/>
            <w:gridSpan w:val="2"/>
          </w:tcPr>
          <w:p>
            <w:pPr>
              <w:jc w:val="right"/>
              <w:ind w:right="111"/>
              <w:spacing w:after="0"/>
              <w:rPr>
                <w:sz w:val="20"/>
                <w:szCs w:val="20"/>
                <w:color w:val="auto"/>
              </w:rPr>
            </w:pPr>
            <w:r>
              <w:rPr>
                <w:rFonts w:ascii="Arial" w:cs="Arial" w:eastAsia="Arial" w:hAnsi="Arial"/>
                <w:sz w:val="14"/>
                <w:szCs w:val="14"/>
                <w:color w:val="auto"/>
              </w:rPr>
              <w:t>11,667</w:t>
            </w:r>
            <w:r>
              <w:rPr>
                <w:rFonts w:ascii="Arial" w:cs="Arial" w:eastAsia="Arial" w:hAnsi="Arial"/>
                <w:sz w:val="11"/>
                <w:szCs w:val="11"/>
                <w:color w:val="auto"/>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1,034,396</w:t>
            </w: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2,790</w:t>
            </w:r>
            <w:r>
              <w:rPr>
                <w:rFonts w:ascii="Arial" w:cs="Arial" w:eastAsia="Arial" w:hAnsi="Arial"/>
                <w:sz w:val="11"/>
                <w:szCs w:val="11"/>
                <w:color w:val="auto"/>
              </w:rPr>
              <w:t>(3)</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247,361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17,102</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8,551</w:t>
            </w:r>
            <w:r>
              <w:rPr>
                <w:rFonts w:ascii="Arial" w:cs="Arial" w:eastAsia="Arial" w:hAnsi="Arial"/>
                <w:sz w:val="11"/>
                <w:szCs w:val="11"/>
                <w:color w:val="auto"/>
              </w:rPr>
              <w:t>(6)</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06/27/2021</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11,986</w:t>
            </w:r>
            <w:r>
              <w:rPr>
                <w:rFonts w:ascii="Arial" w:cs="Arial" w:eastAsia="Arial" w:hAnsi="Arial"/>
                <w:sz w:val="11"/>
                <w:szCs w:val="11"/>
                <w:color w:val="auto"/>
              </w:rPr>
              <w:t>(4)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1,062,679</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10,728</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21,456</w:t>
            </w:r>
            <w:r>
              <w:rPr>
                <w:rFonts w:ascii="Arial" w:cs="Arial" w:eastAsia="Arial" w:hAnsi="Arial"/>
                <w:sz w:val="11"/>
                <w:szCs w:val="11"/>
                <w:color w:val="auto"/>
              </w:rPr>
              <w:t>(7)</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33.690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06/19/2022</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2,471</w:t>
            </w:r>
            <w:r>
              <w:rPr>
                <w:rFonts w:ascii="Arial" w:cs="Arial" w:eastAsia="Arial" w:hAnsi="Arial"/>
                <w:sz w:val="11"/>
                <w:szCs w:val="11"/>
                <w:color w:val="auto"/>
              </w:rPr>
              <w:t>(5)</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219,079</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21,603</w:t>
            </w:r>
            <w:r>
              <w:rPr>
                <w:rFonts w:ascii="Arial" w:cs="Arial" w:eastAsia="Arial" w:hAnsi="Arial"/>
                <w:sz w:val="11"/>
                <w:szCs w:val="11"/>
                <w:color w:val="auto"/>
              </w:rPr>
              <w:t>(8)</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67.210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08/12/2023</w:t>
            </w:r>
          </w:p>
        </w:tc>
        <w:tc>
          <w:tcPr>
            <w:tcW w:w="960" w:type="dxa"/>
            <w:vAlign w:val="bottom"/>
            <w:gridSpan w:val="2"/>
          </w:tcPr>
          <w:p>
            <w:pPr>
              <w:jc w:val="right"/>
              <w:ind w:right="111"/>
              <w:spacing w:after="0"/>
              <w:rPr>
                <w:sz w:val="20"/>
                <w:szCs w:val="20"/>
                <w:color w:val="auto"/>
              </w:rPr>
            </w:pPr>
            <w:r>
              <w:rPr>
                <w:rFonts w:ascii="Arial" w:cs="Arial" w:eastAsia="Arial" w:hAnsi="Arial"/>
                <w:sz w:val="14"/>
                <w:szCs w:val="14"/>
                <w:color w:val="auto"/>
              </w:rPr>
              <w:t>2,000</w:t>
            </w:r>
            <w:r>
              <w:rPr>
                <w:rFonts w:ascii="Arial" w:cs="Arial" w:eastAsia="Arial" w:hAnsi="Arial"/>
                <w:sz w:val="11"/>
                <w:szCs w:val="11"/>
                <w:color w:val="auto"/>
              </w:rPr>
              <w:t>(9)</w:t>
            </w:r>
          </w:p>
        </w:tc>
        <w:tc>
          <w:tcPr>
            <w:tcW w:w="860" w:type="dxa"/>
            <w:vAlign w:val="bottom"/>
          </w:tcPr>
          <w:p>
            <w:pPr>
              <w:jc w:val="right"/>
              <w:spacing w:after="0"/>
              <w:rPr>
                <w:sz w:val="20"/>
                <w:szCs w:val="20"/>
                <w:color w:val="auto"/>
              </w:rPr>
            </w:pPr>
            <w:r>
              <w:rPr>
                <w:rFonts w:ascii="Arial" w:cs="Arial" w:eastAsia="Arial" w:hAnsi="Arial"/>
                <w:sz w:val="14"/>
                <w:szCs w:val="14"/>
                <w:color w:val="auto"/>
              </w:rPr>
              <w:t>177,320</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4"/>
                <w:szCs w:val="14"/>
                <w:color w:val="auto"/>
              </w:rPr>
              <w:t>Gerald J. Essl</w:t>
            </w:r>
          </w:p>
        </w:tc>
        <w:tc>
          <w:tcPr>
            <w:tcW w:w="80" w:type="dxa"/>
            <w:vAlign w:val="bottom"/>
          </w:tcPr>
          <w:p>
            <w:pPr>
              <w:spacing w:after="0"/>
              <w:rPr>
                <w:sz w:val="24"/>
                <w:szCs w:val="2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87,000</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47.530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06/20/2014</w:t>
            </w:r>
          </w:p>
        </w:tc>
        <w:tc>
          <w:tcPr>
            <w:tcW w:w="960" w:type="dxa"/>
            <w:vAlign w:val="bottom"/>
            <w:gridSpan w:val="2"/>
          </w:tcPr>
          <w:p>
            <w:pPr>
              <w:jc w:val="right"/>
              <w:ind w:right="111"/>
              <w:spacing w:after="0"/>
              <w:rPr>
                <w:sz w:val="20"/>
                <w:szCs w:val="20"/>
                <w:color w:val="auto"/>
              </w:rPr>
            </w:pPr>
            <w:r>
              <w:rPr>
                <w:rFonts w:ascii="Arial" w:cs="Arial" w:eastAsia="Arial" w:hAnsi="Arial"/>
                <w:sz w:val="14"/>
                <w:szCs w:val="14"/>
                <w:color w:val="auto"/>
              </w:rPr>
              <w:t>11,667</w:t>
            </w:r>
            <w:r>
              <w:rPr>
                <w:rFonts w:ascii="Arial" w:cs="Arial" w:eastAsia="Arial" w:hAnsi="Arial"/>
                <w:sz w:val="11"/>
                <w:szCs w:val="11"/>
                <w:color w:val="auto"/>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1,034,396</w:t>
            </w: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9,486</w:t>
            </w:r>
            <w:r>
              <w:rPr>
                <w:rFonts w:ascii="Arial" w:cs="Arial" w:eastAsia="Arial" w:hAnsi="Arial"/>
                <w:sz w:val="11"/>
                <w:szCs w:val="11"/>
                <w:color w:val="auto"/>
              </w:rPr>
              <w:t>(3)</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841,029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9,523</w:t>
            </w:r>
            <w:r>
              <w:rPr>
                <w:rFonts w:ascii="Arial" w:cs="Arial" w:eastAsia="Arial" w:hAnsi="Arial"/>
                <w:sz w:val="11"/>
                <w:szCs w:val="11"/>
                <w:color w:val="auto"/>
              </w:rPr>
              <w:t>(6)</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06/27/2021</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13,348</w:t>
            </w:r>
            <w:r>
              <w:rPr>
                <w:rFonts w:ascii="Arial" w:cs="Arial" w:eastAsia="Arial" w:hAnsi="Arial"/>
                <w:sz w:val="11"/>
                <w:szCs w:val="11"/>
                <w:color w:val="auto"/>
              </w:rPr>
              <w:t>(4)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1,183,434</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23,196</w:t>
            </w:r>
            <w:r>
              <w:rPr>
                <w:rFonts w:ascii="Arial" w:cs="Arial" w:eastAsia="Arial" w:hAnsi="Arial"/>
                <w:sz w:val="11"/>
                <w:szCs w:val="11"/>
                <w:color w:val="auto"/>
              </w:rPr>
              <w:t>(7)</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33.690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06/19/2022</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2,671</w:t>
            </w:r>
            <w:r>
              <w:rPr>
                <w:rFonts w:ascii="Arial" w:cs="Arial" w:eastAsia="Arial" w:hAnsi="Arial"/>
                <w:sz w:val="11"/>
                <w:szCs w:val="11"/>
                <w:color w:val="auto"/>
              </w:rPr>
              <w:t>(5)</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236,811</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8,161</w:t>
            </w:r>
            <w:r>
              <w:rPr>
                <w:rFonts w:ascii="Arial" w:cs="Arial" w:eastAsia="Arial" w:hAnsi="Arial"/>
                <w:sz w:val="11"/>
                <w:szCs w:val="11"/>
                <w:color w:val="auto"/>
              </w:rPr>
              <w:t>(8)</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67.210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08/12/2023</w:t>
            </w:r>
          </w:p>
        </w:tc>
        <w:tc>
          <w:tcPr>
            <w:tcW w:w="16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4"/>
                <w:szCs w:val="14"/>
                <w:color w:val="auto"/>
              </w:rPr>
              <w:t>David B. Powers</w:t>
            </w:r>
          </w:p>
        </w:tc>
        <w:tc>
          <w:tcPr>
            <w:tcW w:w="80" w:type="dxa"/>
            <w:vAlign w:val="bottom"/>
          </w:tcPr>
          <w:p>
            <w:pPr>
              <w:spacing w:after="0"/>
              <w:rPr>
                <w:sz w:val="24"/>
                <w:szCs w:val="2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122,000</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47.530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06/20/2014</w:t>
            </w:r>
          </w:p>
        </w:tc>
        <w:tc>
          <w:tcPr>
            <w:tcW w:w="960" w:type="dxa"/>
            <w:vAlign w:val="bottom"/>
            <w:gridSpan w:val="2"/>
          </w:tcPr>
          <w:p>
            <w:pPr>
              <w:jc w:val="right"/>
              <w:ind w:right="111"/>
              <w:spacing w:after="0"/>
              <w:rPr>
                <w:sz w:val="20"/>
                <w:szCs w:val="20"/>
                <w:color w:val="auto"/>
              </w:rPr>
            </w:pPr>
            <w:r>
              <w:rPr>
                <w:rFonts w:ascii="Arial" w:cs="Arial" w:eastAsia="Arial" w:hAnsi="Arial"/>
                <w:sz w:val="14"/>
                <w:szCs w:val="14"/>
                <w:color w:val="auto"/>
              </w:rPr>
              <w:t>11,667</w:t>
            </w:r>
            <w:r>
              <w:rPr>
                <w:rFonts w:ascii="Arial" w:cs="Arial" w:eastAsia="Arial" w:hAnsi="Arial"/>
                <w:sz w:val="11"/>
                <w:szCs w:val="11"/>
                <w:color w:val="auto"/>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1,034,396</w:t>
            </w: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8,928</w:t>
            </w:r>
            <w:r>
              <w:rPr>
                <w:rFonts w:ascii="Arial" w:cs="Arial" w:eastAsia="Arial" w:hAnsi="Arial"/>
                <w:sz w:val="11"/>
                <w:szCs w:val="11"/>
                <w:color w:val="auto"/>
              </w:rPr>
              <w:t>(3)</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791,556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9,523</w:t>
            </w:r>
            <w:r>
              <w:rPr>
                <w:rFonts w:ascii="Arial" w:cs="Arial" w:eastAsia="Arial" w:hAnsi="Arial"/>
                <w:sz w:val="11"/>
                <w:szCs w:val="11"/>
                <w:color w:val="auto"/>
              </w:rPr>
              <w:t>(6)</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06/27/2021</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13,348</w:t>
            </w:r>
            <w:r>
              <w:rPr>
                <w:rFonts w:ascii="Arial" w:cs="Arial" w:eastAsia="Arial" w:hAnsi="Arial"/>
                <w:sz w:val="11"/>
                <w:szCs w:val="11"/>
                <w:color w:val="auto"/>
              </w:rPr>
              <w:t>(4)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1,183,434</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11,598</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23,196</w:t>
            </w:r>
            <w:r>
              <w:rPr>
                <w:rFonts w:ascii="Arial" w:cs="Arial" w:eastAsia="Arial" w:hAnsi="Arial"/>
                <w:sz w:val="11"/>
                <w:szCs w:val="11"/>
                <w:color w:val="auto"/>
              </w:rPr>
              <w:t>(7)</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33.690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06/19/2022</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2,671</w:t>
            </w:r>
            <w:r>
              <w:rPr>
                <w:rFonts w:ascii="Arial" w:cs="Arial" w:eastAsia="Arial" w:hAnsi="Arial"/>
                <w:sz w:val="11"/>
                <w:szCs w:val="11"/>
                <w:color w:val="auto"/>
              </w:rPr>
              <w:t>(5)</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236,811</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7,681</w:t>
            </w:r>
            <w:r>
              <w:rPr>
                <w:rFonts w:ascii="Arial" w:cs="Arial" w:eastAsia="Arial" w:hAnsi="Arial"/>
                <w:sz w:val="11"/>
                <w:szCs w:val="11"/>
                <w:color w:val="auto"/>
              </w:rPr>
              <w:t>(8)</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67.210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08/12/2023</w:t>
            </w:r>
          </w:p>
        </w:tc>
        <w:tc>
          <w:tcPr>
            <w:tcW w:w="16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4"/>
                <w:szCs w:val="14"/>
                <w:color w:val="auto"/>
              </w:rPr>
              <w:t>James H. Graass</w:t>
            </w:r>
          </w:p>
        </w:tc>
        <w:tc>
          <w:tcPr>
            <w:tcW w:w="80" w:type="dxa"/>
            <w:vAlign w:val="bottom"/>
          </w:tcPr>
          <w:p>
            <w:pPr>
              <w:spacing w:after="0"/>
              <w:rPr>
                <w:sz w:val="24"/>
                <w:szCs w:val="2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122,000</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47.530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06/20/2014</w:t>
            </w:r>
          </w:p>
        </w:tc>
        <w:tc>
          <w:tcPr>
            <w:tcW w:w="960" w:type="dxa"/>
            <w:vAlign w:val="bottom"/>
            <w:gridSpan w:val="2"/>
          </w:tcPr>
          <w:p>
            <w:pPr>
              <w:jc w:val="right"/>
              <w:ind w:right="111"/>
              <w:spacing w:after="0"/>
              <w:rPr>
                <w:sz w:val="20"/>
                <w:szCs w:val="20"/>
                <w:color w:val="auto"/>
              </w:rPr>
            </w:pPr>
            <w:r>
              <w:rPr>
                <w:rFonts w:ascii="Arial" w:cs="Arial" w:eastAsia="Arial" w:hAnsi="Arial"/>
                <w:sz w:val="14"/>
                <w:szCs w:val="14"/>
                <w:color w:val="auto"/>
              </w:rPr>
              <w:t>11,667</w:t>
            </w:r>
            <w:r>
              <w:rPr>
                <w:rFonts w:ascii="Arial" w:cs="Arial" w:eastAsia="Arial" w:hAnsi="Arial"/>
                <w:sz w:val="11"/>
                <w:szCs w:val="11"/>
                <w:color w:val="auto"/>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1,034,396</w:t>
            </w:r>
          </w:p>
        </w:tc>
        <w:tc>
          <w:tcPr>
            <w:tcW w:w="1300" w:type="dxa"/>
            <w:vAlign w:val="bottom"/>
          </w:tcPr>
          <w:p>
            <w:pPr>
              <w:jc w:val="right"/>
              <w:ind w:right="132"/>
              <w:spacing w:after="0"/>
              <w:rPr>
                <w:sz w:val="20"/>
                <w:szCs w:val="20"/>
                <w:color w:val="auto"/>
              </w:rPr>
            </w:pPr>
            <w:r>
              <w:rPr>
                <w:rFonts w:ascii="Arial" w:cs="Arial" w:eastAsia="Arial" w:hAnsi="Arial"/>
                <w:sz w:val="14"/>
                <w:szCs w:val="14"/>
                <w:color w:val="auto"/>
              </w:rPr>
              <w:t>5,580</w:t>
            </w:r>
            <w:r>
              <w:rPr>
                <w:rFonts w:ascii="Arial" w:cs="Arial" w:eastAsia="Arial" w:hAnsi="Arial"/>
                <w:sz w:val="11"/>
                <w:szCs w:val="11"/>
                <w:color w:val="auto"/>
              </w:rPr>
              <w:t>(3)</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494,723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9,576</w:t>
            </w:r>
          </w:p>
        </w:tc>
        <w:tc>
          <w:tcPr>
            <w:tcW w:w="1000" w:type="dxa"/>
            <w:vAlign w:val="bottom"/>
          </w:tcPr>
          <w:p>
            <w:pPr>
              <w:jc w:val="right"/>
              <w:ind w:right="151"/>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30.735</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05/18/2020</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12,532</w:t>
            </w:r>
            <w:r>
              <w:rPr>
                <w:rFonts w:ascii="Arial" w:cs="Arial" w:eastAsia="Arial" w:hAnsi="Arial"/>
                <w:sz w:val="11"/>
                <w:szCs w:val="11"/>
                <w:color w:val="auto"/>
              </w:rPr>
              <w:t>(4)</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1,111,087</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17,880</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8,940</w:t>
            </w:r>
            <w:r>
              <w:rPr>
                <w:rFonts w:ascii="Arial" w:cs="Arial" w:eastAsia="Arial" w:hAnsi="Arial"/>
                <w:sz w:val="11"/>
                <w:szCs w:val="11"/>
                <w:color w:val="auto"/>
              </w:rPr>
              <w:t>(6)</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27.530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06/27/2021</w:t>
            </w:r>
          </w:p>
        </w:tc>
        <w:tc>
          <w:tcPr>
            <w:tcW w:w="96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2,471</w:t>
            </w:r>
            <w:r>
              <w:rPr>
                <w:rFonts w:ascii="Arial" w:cs="Arial" w:eastAsia="Arial" w:hAnsi="Arial"/>
                <w:sz w:val="11"/>
                <w:szCs w:val="11"/>
                <w:color w:val="auto"/>
              </w:rPr>
              <w:t>(5)</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219,079</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right"/>
              <w:ind w:right="71"/>
              <w:spacing w:after="0" w:line="142" w:lineRule="exact"/>
              <w:rPr>
                <w:sz w:val="20"/>
                <w:szCs w:val="20"/>
                <w:color w:val="auto"/>
              </w:rPr>
            </w:pPr>
            <w:r>
              <w:rPr>
                <w:rFonts w:ascii="Arial" w:cs="Arial" w:eastAsia="Arial" w:hAnsi="Arial"/>
                <w:sz w:val="14"/>
                <w:szCs w:val="14"/>
                <w:color w:val="auto"/>
              </w:rPr>
              <w:t>10,728</w:t>
            </w:r>
          </w:p>
        </w:tc>
        <w:tc>
          <w:tcPr>
            <w:tcW w:w="10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21,456</w:t>
            </w:r>
            <w:r>
              <w:rPr>
                <w:rFonts w:ascii="Arial" w:cs="Arial" w:eastAsia="Arial" w:hAnsi="Arial"/>
                <w:sz w:val="11"/>
                <w:szCs w:val="11"/>
                <w:color w:val="auto"/>
              </w:rPr>
              <w:t>(7)</w:t>
            </w:r>
          </w:p>
        </w:tc>
        <w:tc>
          <w:tcPr>
            <w:tcW w:w="12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33.690</w:t>
            </w:r>
          </w:p>
        </w:tc>
        <w:tc>
          <w:tcPr>
            <w:tcW w:w="900" w:type="dxa"/>
            <w:vAlign w:val="bottom"/>
          </w:tcPr>
          <w:p>
            <w:pPr>
              <w:jc w:val="right"/>
              <w:ind w:right="71"/>
              <w:spacing w:after="0" w:line="142" w:lineRule="exact"/>
              <w:rPr>
                <w:sz w:val="20"/>
                <w:szCs w:val="20"/>
                <w:color w:val="auto"/>
              </w:rPr>
            </w:pPr>
            <w:r>
              <w:rPr>
                <w:rFonts w:ascii="Arial" w:cs="Arial" w:eastAsia="Arial" w:hAnsi="Arial"/>
                <w:sz w:val="14"/>
                <w:szCs w:val="14"/>
                <w:color w:val="auto"/>
              </w:rPr>
              <w:t>06/19/2022</w:t>
            </w:r>
          </w:p>
        </w:tc>
        <w:tc>
          <w:tcPr>
            <w:tcW w:w="160" w:type="dxa"/>
            <w:vAlign w:val="bottom"/>
          </w:tcPr>
          <w:p>
            <w:pPr>
              <w:spacing w:after="0"/>
              <w:rPr>
                <w:sz w:val="12"/>
                <w:szCs w:val="12"/>
                <w:color w:val="auto"/>
              </w:rPr>
            </w:pPr>
          </w:p>
        </w:tc>
        <w:tc>
          <w:tcPr>
            <w:tcW w:w="800" w:type="dxa"/>
            <w:vAlign w:val="bottom"/>
          </w:tcPr>
          <w:p>
            <w:pPr>
              <w:jc w:val="right"/>
              <w:ind w:right="251"/>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14,402</w:t>
            </w:r>
            <w:r>
              <w:rPr>
                <w:rFonts w:ascii="Arial" w:cs="Arial" w:eastAsia="Arial" w:hAnsi="Arial"/>
                <w:sz w:val="11"/>
                <w:szCs w:val="11"/>
                <w:color w:val="auto"/>
              </w:rPr>
              <w:t>(8)</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67.210</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08/12/2023</w:t>
            </w:r>
          </w:p>
        </w:tc>
        <w:tc>
          <w:tcPr>
            <w:tcW w:w="16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1889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65" w:lineRule="exact"/>
        <w:rPr>
          <w:sz w:val="20"/>
          <w:szCs w:val="20"/>
          <w:color w:val="auto"/>
        </w:rPr>
      </w:pPr>
    </w:p>
    <w:p>
      <w:pPr>
        <w:ind w:left="460" w:hanging="457"/>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the closing price per share of Common Stock on the NYSE on March 31, 2014 ($88.66).</w:t>
      </w:r>
    </w:p>
    <w:p>
      <w:pPr>
        <w:spacing w:after="0" w:line="126" w:lineRule="exact"/>
        <w:rPr>
          <w:rFonts w:ascii="Arial" w:cs="Arial" w:eastAsia="Arial" w:hAnsi="Arial"/>
          <w:sz w:val="17"/>
          <w:szCs w:val="17"/>
          <w:color w:val="auto"/>
        </w:rPr>
      </w:pPr>
    </w:p>
    <w:p>
      <w:pPr>
        <w:ind w:left="460" w:right="640" w:hanging="457"/>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restricted stock granted on May 18, 2010 under our Incentive Plan. Restrictions will lapse upon the Named Executive Officer meeting the requirements of retirement, as defined in the award agreement.</w:t>
      </w:r>
    </w:p>
    <w:p>
      <w:pPr>
        <w:spacing w:after="0" w:line="73" w:lineRule="exact"/>
        <w:rPr>
          <w:rFonts w:ascii="Arial" w:cs="Arial" w:eastAsia="Arial" w:hAnsi="Arial"/>
          <w:sz w:val="17"/>
          <w:szCs w:val="17"/>
          <w:color w:val="auto"/>
        </w:rPr>
      </w:pPr>
    </w:p>
    <w:p>
      <w:pPr>
        <w:ind w:left="460" w:hanging="457"/>
        <w:spacing w:after="0" w:line="31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restricted stock granted on August 12, 2013 under our Incentive Plan. The Compensation Committee determined in May 2014 (i.e., after the end of fiscal 2014) that 100% of such stock was earned. One-fifth of the earned restricted shares was paid to the Named Executive Officer on May 8, 2014. Restrictions will lapse on the remaining four-fifths of the restricted shares on March 31, 2015; March 31, 2016; March 31, 2017; and March 31, 2018.</w:t>
      </w:r>
    </w:p>
    <w:p>
      <w:pPr>
        <w:spacing w:after="0" w:line="50" w:lineRule="exact"/>
        <w:rPr>
          <w:rFonts w:ascii="Arial" w:cs="Arial" w:eastAsia="Arial" w:hAnsi="Arial"/>
          <w:sz w:val="15"/>
          <w:szCs w:val="15"/>
          <w:color w:val="auto"/>
        </w:rPr>
      </w:pPr>
    </w:p>
    <w:p>
      <w:pPr>
        <w:ind w:left="460" w:right="100" w:hanging="457"/>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restricted stock granted on June 27, 2011 under our Incentive Plan. Restrictions will lapse ratably on the remaining restricted shares on March 31, 2015; and March 31, 2016.</w:t>
      </w:r>
    </w:p>
    <w:p>
      <w:pPr>
        <w:spacing w:after="0" w:line="73" w:lineRule="exact"/>
        <w:rPr>
          <w:rFonts w:ascii="Arial" w:cs="Arial" w:eastAsia="Arial" w:hAnsi="Arial"/>
          <w:sz w:val="17"/>
          <w:szCs w:val="17"/>
          <w:color w:val="auto"/>
        </w:rPr>
      </w:pPr>
    </w:p>
    <w:p>
      <w:pPr>
        <w:ind w:left="460" w:right="80" w:hanging="457"/>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restricted stock granted on June 19, 2012 under our Incentive Plan. Restrictions will lapse ratably on the remaining restricted shares on March 31, 2015; March 31, 2016; and March 31, 2017.</w:t>
      </w:r>
    </w:p>
    <w:p>
      <w:pPr>
        <w:spacing w:after="0" w:line="73" w:lineRule="exact"/>
        <w:rPr>
          <w:rFonts w:ascii="Arial" w:cs="Arial" w:eastAsia="Arial" w:hAnsi="Arial"/>
          <w:sz w:val="17"/>
          <w:szCs w:val="17"/>
          <w:color w:val="auto"/>
        </w:rPr>
      </w:pPr>
    </w:p>
    <w:p>
      <w:pPr>
        <w:ind w:left="460" w:hanging="457"/>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stock options granted on June 27, 2011 under our Incentive Plan. The options vest ratably over 3 years.</w:t>
      </w:r>
    </w:p>
    <w:p>
      <w:pPr>
        <w:spacing w:after="0" w:line="126" w:lineRule="exact"/>
        <w:rPr>
          <w:rFonts w:ascii="Arial" w:cs="Arial" w:eastAsia="Arial" w:hAnsi="Arial"/>
          <w:sz w:val="17"/>
          <w:szCs w:val="17"/>
          <w:color w:val="auto"/>
        </w:rPr>
      </w:pPr>
    </w:p>
    <w:p>
      <w:pPr>
        <w:ind w:left="460" w:hanging="457"/>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stock options granted on June 19, 2012 under our Incentive Plan. The options vest ratably over 3 years.</w:t>
      </w:r>
    </w:p>
    <w:p>
      <w:pPr>
        <w:spacing w:after="0" w:line="126" w:lineRule="exact"/>
        <w:rPr>
          <w:rFonts w:ascii="Arial" w:cs="Arial" w:eastAsia="Arial" w:hAnsi="Arial"/>
          <w:sz w:val="17"/>
          <w:szCs w:val="17"/>
          <w:color w:val="auto"/>
        </w:rPr>
      </w:pPr>
    </w:p>
    <w:p>
      <w:pPr>
        <w:ind w:left="460" w:hanging="457"/>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stock options granted on August 12, 2013 under our Incentive Plan. The options vest ratably over 3 years.</w:t>
      </w:r>
    </w:p>
    <w:p>
      <w:pPr>
        <w:spacing w:after="0" w:line="126" w:lineRule="exact"/>
        <w:rPr>
          <w:rFonts w:ascii="Arial" w:cs="Arial" w:eastAsia="Arial" w:hAnsi="Arial"/>
          <w:sz w:val="17"/>
          <w:szCs w:val="17"/>
          <w:color w:val="auto"/>
        </w:rPr>
      </w:pPr>
    </w:p>
    <w:p>
      <w:pPr>
        <w:ind w:left="460" w:right="520" w:hanging="457"/>
        <w:spacing w:after="0" w:line="31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remaining unvested shares under a restricted stock grant of 10,000 shares made to Mr. Kesler in connection with his promotion to Chief Financial Officer on August 21, 2009 under our Incentive Plan. The remaining shares will vest as follows: 2,000 on August 21, 2014.</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40"/>
          </w:cols>
          <w:pgMar w:left="240" w:top="444" w:right="3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Option Exercises and Stock Vested</w:t>
      </w:r>
    </w:p>
    <w:p>
      <w:pPr>
        <w:spacing w:after="0" w:line="197" w:lineRule="exact"/>
        <w:rPr>
          <w:sz w:val="20"/>
          <w:szCs w:val="20"/>
          <w:color w:val="auto"/>
        </w:rPr>
      </w:pPr>
    </w:p>
    <w:p>
      <w:pPr>
        <w:ind w:right="340" w:firstLine="799"/>
        <w:spacing w:after="0" w:line="279" w:lineRule="auto"/>
        <w:rPr>
          <w:sz w:val="20"/>
          <w:szCs w:val="20"/>
          <w:color w:val="auto"/>
        </w:rPr>
      </w:pPr>
      <w:r>
        <w:rPr>
          <w:rFonts w:ascii="Arial" w:cs="Arial" w:eastAsia="Arial" w:hAnsi="Arial"/>
          <w:sz w:val="17"/>
          <w:szCs w:val="17"/>
          <w:color w:val="auto"/>
        </w:rPr>
        <w:t>The following table sets forth information regarding the exercise of stock options and the vesting of restricted stock during fiscal 2014 for each of our Named Executive Officers.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202"/>
        </w:trPr>
        <w:tc>
          <w:tcPr>
            <w:tcW w:w="1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gridSpan w:val="2"/>
          </w:tcPr>
          <w:p>
            <w:pPr>
              <w:ind w:left="1240"/>
              <w:spacing w:after="0"/>
              <w:rPr>
                <w:sz w:val="20"/>
                <w:szCs w:val="20"/>
                <w:color w:val="auto"/>
              </w:rPr>
            </w:pPr>
            <w:r>
              <w:rPr>
                <w:rFonts w:ascii="Arial" w:cs="Arial" w:eastAsia="Arial" w:hAnsi="Arial"/>
                <w:sz w:val="15"/>
                <w:szCs w:val="15"/>
                <w:b w:val="1"/>
                <w:bCs w:val="1"/>
                <w:color w:val="auto"/>
                <w:w w:val="93"/>
              </w:rPr>
              <w:t>Option Awards</w:t>
            </w: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0" w:type="dxa"/>
            <w:vAlign w:val="bottom"/>
            <w:gridSpan w:val="2"/>
          </w:tcPr>
          <w:p>
            <w:pPr>
              <w:ind w:left="1420"/>
              <w:spacing w:after="0"/>
              <w:rPr>
                <w:sz w:val="20"/>
                <w:szCs w:val="20"/>
                <w:color w:val="auto"/>
              </w:rPr>
            </w:pPr>
            <w:r>
              <w:rPr>
                <w:rFonts w:ascii="Arial" w:cs="Arial" w:eastAsia="Arial" w:hAnsi="Arial"/>
                <w:sz w:val="15"/>
                <w:szCs w:val="15"/>
                <w:b w:val="1"/>
                <w:bCs w:val="1"/>
                <w:color w:val="auto"/>
                <w:w w:val="96"/>
              </w:rPr>
              <w:t>Stock Awards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60" w:type="dxa"/>
            <w:vAlign w:val="bottom"/>
            <w:tcBorders>
              <w:bottom w:val="single" w:sz="8" w:color="auto"/>
            </w:tcBorders>
            <w:gridSpan w:val="2"/>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0" w:type="dxa"/>
            <w:vAlign w:val="bottom"/>
            <w:tcBorders>
              <w:bottom w:val="single" w:sz="8" w:color="auto"/>
            </w:tcBorders>
            <w:gridSpan w:val="2"/>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92"/>
              </w:rPr>
              <w:t>Number of Shares</w:t>
            </w:r>
          </w:p>
        </w:tc>
        <w:tc>
          <w:tcPr>
            <w:tcW w:w="182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92"/>
              </w:rPr>
              <w:t>Value Realized on</w:t>
            </w:r>
          </w:p>
        </w:tc>
        <w:tc>
          <w:tcPr>
            <w:tcW w:w="2400" w:type="dxa"/>
            <w:vAlign w:val="bottom"/>
            <w:gridSpan w:val="2"/>
          </w:tcPr>
          <w:p>
            <w:pPr>
              <w:ind w:left="320"/>
              <w:spacing w:after="0"/>
              <w:rPr>
                <w:sz w:val="20"/>
                <w:szCs w:val="20"/>
                <w:color w:val="auto"/>
              </w:rPr>
            </w:pPr>
            <w:r>
              <w:rPr>
                <w:rFonts w:ascii="Arial" w:cs="Arial" w:eastAsia="Arial" w:hAnsi="Arial"/>
                <w:sz w:val="15"/>
                <w:szCs w:val="15"/>
                <w:b w:val="1"/>
                <w:bCs w:val="1"/>
                <w:color w:val="auto"/>
              </w:rPr>
              <w:t>Number of Shares</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2"/>
              </w:rPr>
              <w:t>Value Realized on</w:t>
            </w:r>
          </w:p>
        </w:tc>
        <w:tc>
          <w:tcPr>
            <w:tcW w:w="0" w:type="dxa"/>
            <w:vAlign w:val="bottom"/>
          </w:tcPr>
          <w:p>
            <w:pPr>
              <w:spacing w:after="0"/>
              <w:rPr>
                <w:sz w:val="1"/>
                <w:szCs w:val="1"/>
                <w:color w:val="auto"/>
              </w:rPr>
            </w:pPr>
          </w:p>
        </w:tc>
      </w:tr>
      <w:tr>
        <w:trPr>
          <w:trHeight w:val="198"/>
        </w:trPr>
        <w:tc>
          <w:tcPr>
            <w:tcW w:w="2480" w:type="dxa"/>
            <w:vAlign w:val="bottom"/>
            <w:gridSpan w:val="2"/>
            <w:vMerge w:val="restart"/>
          </w:tcPr>
          <w:p>
            <w:pPr>
              <w:ind w:left="800"/>
              <w:spacing w:after="0"/>
              <w:rPr>
                <w:sz w:val="20"/>
                <w:szCs w:val="20"/>
                <w:color w:val="auto"/>
              </w:rPr>
            </w:pPr>
            <w:r>
              <w:rPr>
                <w:rFonts w:ascii="Arial" w:cs="Arial" w:eastAsia="Arial" w:hAnsi="Arial"/>
                <w:sz w:val="15"/>
                <w:szCs w:val="15"/>
                <w:b w:val="1"/>
                <w:bCs w:val="1"/>
                <w:color w:val="auto"/>
              </w:rPr>
              <w:t>Name</w:t>
            </w:r>
          </w:p>
        </w:tc>
        <w:tc>
          <w:tcPr>
            <w:tcW w:w="226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91"/>
              </w:rPr>
              <w:t>Acquired on Exercise</w:t>
            </w:r>
          </w:p>
        </w:tc>
        <w:tc>
          <w:tcPr>
            <w:tcW w:w="182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87"/>
              </w:rPr>
              <w:t>Exercise</w:t>
            </w:r>
          </w:p>
        </w:tc>
        <w:tc>
          <w:tcPr>
            <w:tcW w:w="2400" w:type="dxa"/>
            <w:vAlign w:val="bottom"/>
            <w:gridSpan w:val="2"/>
          </w:tcPr>
          <w:p>
            <w:pPr>
              <w:ind w:left="140"/>
              <w:spacing w:after="0" w:line="198" w:lineRule="exact"/>
              <w:rPr>
                <w:sz w:val="20"/>
                <w:szCs w:val="20"/>
                <w:color w:val="auto"/>
              </w:rPr>
            </w:pPr>
            <w:r>
              <w:rPr>
                <w:rFonts w:ascii="Arial" w:cs="Arial" w:eastAsia="Arial" w:hAnsi="Arial"/>
                <w:sz w:val="14"/>
                <w:szCs w:val="14"/>
                <w:b w:val="1"/>
                <w:bCs w:val="1"/>
                <w:color w:val="auto"/>
              </w:rPr>
              <w:t>Acquired on Vesting</w:t>
            </w:r>
            <w:r>
              <w:rPr>
                <w:rFonts w:ascii="Arial" w:cs="Arial" w:eastAsia="Arial" w:hAnsi="Arial"/>
                <w:sz w:val="22"/>
                <w:szCs w:val="22"/>
                <w:b w:val="1"/>
                <w:bCs w:val="1"/>
                <w:color w:val="auto"/>
                <w:vertAlign w:val="superscript"/>
              </w:rPr>
              <w:t>(1)</w:t>
            </w:r>
          </w:p>
        </w:tc>
        <w:tc>
          <w:tcPr>
            <w:tcW w:w="136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3"/>
              </w:rPr>
              <w:t>Vesting</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204"/>
        </w:trPr>
        <w:tc>
          <w:tcPr>
            <w:tcW w:w="2480" w:type="dxa"/>
            <w:vAlign w:val="bottom"/>
            <w:gridSpan w:val="2"/>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5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580" w:type="dxa"/>
            <w:vAlign w:val="bottom"/>
          </w:tcPr>
          <w:p>
            <w:pPr>
              <w:spacing w:after="0"/>
              <w:rPr>
                <w:sz w:val="17"/>
                <w:szCs w:val="17"/>
                <w:color w:val="auto"/>
              </w:rPr>
            </w:pPr>
          </w:p>
        </w:tc>
        <w:tc>
          <w:tcPr>
            <w:tcW w:w="1840" w:type="dxa"/>
            <w:vAlign w:val="bottom"/>
          </w:tcPr>
          <w:p>
            <w:pPr>
              <w:jc w:val="right"/>
              <w:ind w:right="764"/>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191"/>
        </w:trPr>
        <w:tc>
          <w:tcPr>
            <w:tcW w:w="198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Steven R. Rowley</w:t>
            </w:r>
          </w:p>
        </w:tc>
        <w:tc>
          <w:tcPr>
            <w:tcW w:w="500" w:type="dxa"/>
            <w:vAlign w:val="bottom"/>
          </w:tcPr>
          <w:p>
            <w:pPr>
              <w:spacing w:after="0"/>
              <w:rPr>
                <w:sz w:val="16"/>
                <w:szCs w:val="16"/>
                <w:color w:val="auto"/>
              </w:rPr>
            </w:pPr>
          </w:p>
        </w:tc>
        <w:tc>
          <w:tcPr>
            <w:tcW w:w="170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color w:val="auto"/>
              </w:rPr>
              <w:t>197,000</w:t>
            </w:r>
          </w:p>
        </w:tc>
        <w:tc>
          <w:tcPr>
            <w:tcW w:w="560" w:type="dxa"/>
            <w:vAlign w:val="bottom"/>
          </w:tcPr>
          <w:p>
            <w:pPr>
              <w:spacing w:after="0"/>
              <w:rPr>
                <w:sz w:val="16"/>
                <w:szCs w:val="16"/>
                <w:color w:val="auto"/>
              </w:rPr>
            </w:pPr>
          </w:p>
        </w:tc>
        <w:tc>
          <w:tcPr>
            <w:tcW w:w="124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rPr>
              <w:t>$  8,944,282</w:t>
            </w:r>
          </w:p>
        </w:tc>
        <w:tc>
          <w:tcPr>
            <w:tcW w:w="580" w:type="dxa"/>
            <w:vAlign w:val="bottom"/>
          </w:tcPr>
          <w:p>
            <w:pPr>
              <w:spacing w:after="0"/>
              <w:rPr>
                <w:sz w:val="16"/>
                <w:szCs w:val="16"/>
                <w:color w:val="auto"/>
              </w:rPr>
            </w:pPr>
          </w:p>
        </w:tc>
        <w:tc>
          <w:tcPr>
            <w:tcW w:w="184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rPr>
              <w:t>26,879</w:t>
            </w:r>
          </w:p>
        </w:tc>
        <w:tc>
          <w:tcPr>
            <w:tcW w:w="560" w:type="dxa"/>
            <w:vAlign w:val="bottom"/>
          </w:tcPr>
          <w:p>
            <w:pPr>
              <w:spacing w:after="0"/>
              <w:rPr>
                <w:sz w:val="16"/>
                <w:szCs w:val="16"/>
                <w:color w:val="auto"/>
              </w:rPr>
            </w:pPr>
          </w:p>
        </w:tc>
        <w:tc>
          <w:tcPr>
            <w:tcW w:w="136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color w:val="auto"/>
              </w:rPr>
              <w:t>$  2,301,265</w:t>
            </w:r>
          </w:p>
        </w:tc>
        <w:tc>
          <w:tcPr>
            <w:tcW w:w="0" w:type="dxa"/>
            <w:vAlign w:val="bottom"/>
          </w:tcPr>
          <w:p>
            <w:pPr>
              <w:spacing w:after="0"/>
              <w:rPr>
                <w:sz w:val="1"/>
                <w:szCs w:val="1"/>
                <w:color w:val="auto"/>
              </w:rPr>
            </w:pPr>
          </w:p>
        </w:tc>
      </w:tr>
      <w:tr>
        <w:trPr>
          <w:trHeight w:val="250"/>
        </w:trPr>
        <w:tc>
          <w:tcPr>
            <w:tcW w:w="2480" w:type="dxa"/>
            <w:vAlign w:val="bottom"/>
            <w:gridSpan w:val="2"/>
          </w:tcPr>
          <w:p>
            <w:pPr>
              <w:ind w:left="40"/>
              <w:spacing w:after="0"/>
              <w:rPr>
                <w:sz w:val="20"/>
                <w:szCs w:val="20"/>
                <w:color w:val="auto"/>
              </w:rPr>
            </w:pPr>
            <w:r>
              <w:rPr>
                <w:rFonts w:ascii="Arial" w:cs="Arial" w:eastAsia="Arial" w:hAnsi="Arial"/>
                <w:sz w:val="15"/>
                <w:szCs w:val="15"/>
                <w:color w:val="auto"/>
              </w:rPr>
              <w:t>D. Craig Kesler</w:t>
            </w:r>
          </w:p>
        </w:tc>
        <w:tc>
          <w:tcPr>
            <w:tcW w:w="1700" w:type="dxa"/>
            <w:vAlign w:val="bottom"/>
          </w:tcPr>
          <w:p>
            <w:pPr>
              <w:jc w:val="right"/>
              <w:ind w:right="383"/>
              <w:spacing w:after="0"/>
              <w:rPr>
                <w:sz w:val="20"/>
                <w:szCs w:val="20"/>
                <w:color w:val="auto"/>
              </w:rPr>
            </w:pPr>
            <w:r>
              <w:rPr>
                <w:rFonts w:ascii="Arial" w:cs="Arial" w:eastAsia="Arial" w:hAnsi="Arial"/>
                <w:sz w:val="15"/>
                <w:szCs w:val="15"/>
                <w:color w:val="auto"/>
              </w:rPr>
              <w:t>10,167</w:t>
            </w:r>
          </w:p>
        </w:tc>
        <w:tc>
          <w:tcPr>
            <w:tcW w:w="560" w:type="dxa"/>
            <w:vAlign w:val="bottom"/>
          </w:tcPr>
          <w:p>
            <w:pPr>
              <w:spacing w:after="0"/>
              <w:rPr>
                <w:sz w:val="21"/>
                <w:szCs w:val="21"/>
                <w:color w:val="auto"/>
              </w:rPr>
            </w:pPr>
          </w:p>
        </w:tc>
        <w:tc>
          <w:tcPr>
            <w:tcW w:w="1240" w:type="dxa"/>
            <w:vAlign w:val="bottom"/>
          </w:tcPr>
          <w:p>
            <w:pPr>
              <w:jc w:val="right"/>
              <w:ind w:right="223"/>
              <w:spacing w:after="0"/>
              <w:rPr>
                <w:sz w:val="20"/>
                <w:szCs w:val="20"/>
                <w:color w:val="auto"/>
              </w:rPr>
            </w:pPr>
            <w:r>
              <w:rPr>
                <w:rFonts w:ascii="Arial" w:cs="Arial" w:eastAsia="Arial" w:hAnsi="Arial"/>
                <w:sz w:val="15"/>
                <w:szCs w:val="15"/>
                <w:color w:val="auto"/>
              </w:rPr>
              <w:t>388,676</w:t>
            </w:r>
          </w:p>
        </w:tc>
        <w:tc>
          <w:tcPr>
            <w:tcW w:w="580" w:type="dxa"/>
            <w:vAlign w:val="bottom"/>
          </w:tcPr>
          <w:p>
            <w:pPr>
              <w:spacing w:after="0"/>
              <w:rPr>
                <w:sz w:val="21"/>
                <w:szCs w:val="21"/>
                <w:color w:val="auto"/>
              </w:rPr>
            </w:pPr>
          </w:p>
        </w:tc>
        <w:tc>
          <w:tcPr>
            <w:tcW w:w="1840" w:type="dxa"/>
            <w:vAlign w:val="bottom"/>
          </w:tcPr>
          <w:p>
            <w:pPr>
              <w:jc w:val="right"/>
              <w:ind w:right="324"/>
              <w:spacing w:after="0"/>
              <w:rPr>
                <w:sz w:val="20"/>
                <w:szCs w:val="20"/>
                <w:color w:val="auto"/>
              </w:rPr>
            </w:pPr>
            <w:r>
              <w:rPr>
                <w:rFonts w:ascii="Arial" w:cs="Arial" w:eastAsia="Arial" w:hAnsi="Arial"/>
                <w:sz w:val="15"/>
                <w:szCs w:val="15"/>
                <w:color w:val="auto"/>
              </w:rPr>
              <w:t>9,642</w:t>
            </w:r>
          </w:p>
        </w:tc>
        <w:tc>
          <w:tcPr>
            <w:tcW w:w="560" w:type="dxa"/>
            <w:vAlign w:val="bottom"/>
          </w:tcPr>
          <w:p>
            <w:pPr>
              <w:spacing w:after="0"/>
              <w:rPr>
                <w:sz w:val="21"/>
                <w:szCs w:val="21"/>
                <w:color w:val="auto"/>
              </w:rPr>
            </w:pPr>
          </w:p>
        </w:tc>
        <w:tc>
          <w:tcPr>
            <w:tcW w:w="1360" w:type="dxa"/>
            <w:vAlign w:val="bottom"/>
          </w:tcPr>
          <w:p>
            <w:pPr>
              <w:jc w:val="right"/>
              <w:ind w:right="244"/>
              <w:spacing w:after="0"/>
              <w:rPr>
                <w:sz w:val="20"/>
                <w:szCs w:val="20"/>
                <w:color w:val="auto"/>
              </w:rPr>
            </w:pPr>
            <w:r>
              <w:rPr>
                <w:rFonts w:ascii="Arial" w:cs="Arial" w:eastAsia="Arial" w:hAnsi="Arial"/>
                <w:sz w:val="15"/>
                <w:szCs w:val="15"/>
                <w:color w:val="auto"/>
              </w:rPr>
              <w:t>788,399</w:t>
            </w:r>
          </w:p>
        </w:tc>
        <w:tc>
          <w:tcPr>
            <w:tcW w:w="0" w:type="dxa"/>
            <w:vAlign w:val="bottom"/>
          </w:tcPr>
          <w:p>
            <w:pPr>
              <w:spacing w:after="0"/>
              <w:rPr>
                <w:sz w:val="1"/>
                <w:szCs w:val="1"/>
                <w:color w:val="auto"/>
              </w:rPr>
            </w:pPr>
          </w:p>
        </w:tc>
      </w:tr>
      <w:tr>
        <w:trPr>
          <w:trHeight w:val="258"/>
        </w:trPr>
        <w:tc>
          <w:tcPr>
            <w:tcW w:w="2480" w:type="dxa"/>
            <w:vAlign w:val="bottom"/>
            <w:gridSpan w:val="2"/>
          </w:tcPr>
          <w:p>
            <w:pPr>
              <w:ind w:left="40"/>
              <w:spacing w:after="0"/>
              <w:rPr>
                <w:sz w:val="20"/>
                <w:szCs w:val="20"/>
                <w:color w:val="auto"/>
              </w:rPr>
            </w:pPr>
            <w:r>
              <w:rPr>
                <w:rFonts w:ascii="Arial" w:cs="Arial" w:eastAsia="Arial" w:hAnsi="Arial"/>
                <w:sz w:val="15"/>
                <w:szCs w:val="15"/>
                <w:color w:val="auto"/>
              </w:rPr>
              <w:t>Gerald J. Essl</w:t>
            </w:r>
          </w:p>
        </w:tc>
        <w:tc>
          <w:tcPr>
            <w:tcW w:w="1700" w:type="dxa"/>
            <w:vAlign w:val="bottom"/>
          </w:tcPr>
          <w:p>
            <w:pPr>
              <w:jc w:val="right"/>
              <w:ind w:right="383"/>
              <w:spacing w:after="0"/>
              <w:rPr>
                <w:sz w:val="20"/>
                <w:szCs w:val="20"/>
                <w:color w:val="auto"/>
              </w:rPr>
            </w:pPr>
            <w:r>
              <w:rPr>
                <w:rFonts w:ascii="Arial" w:cs="Arial" w:eastAsia="Arial" w:hAnsi="Arial"/>
                <w:sz w:val="15"/>
                <w:szCs w:val="15"/>
                <w:color w:val="auto"/>
              </w:rPr>
              <w:t>48,019</w:t>
            </w:r>
          </w:p>
        </w:tc>
        <w:tc>
          <w:tcPr>
            <w:tcW w:w="560" w:type="dxa"/>
            <w:vAlign w:val="bottom"/>
          </w:tcPr>
          <w:p>
            <w:pPr>
              <w:spacing w:after="0"/>
              <w:rPr>
                <w:sz w:val="22"/>
                <w:szCs w:val="22"/>
                <w:color w:val="auto"/>
              </w:rPr>
            </w:pPr>
          </w:p>
        </w:tc>
        <w:tc>
          <w:tcPr>
            <w:tcW w:w="1240" w:type="dxa"/>
            <w:vAlign w:val="bottom"/>
          </w:tcPr>
          <w:p>
            <w:pPr>
              <w:jc w:val="right"/>
              <w:ind w:right="223"/>
              <w:spacing w:after="0"/>
              <w:rPr>
                <w:sz w:val="20"/>
                <w:szCs w:val="20"/>
                <w:color w:val="auto"/>
              </w:rPr>
            </w:pPr>
            <w:r>
              <w:rPr>
                <w:rFonts w:ascii="Arial" w:cs="Arial" w:eastAsia="Arial" w:hAnsi="Arial"/>
                <w:sz w:val="15"/>
                <w:szCs w:val="15"/>
                <w:color w:val="auto"/>
              </w:rPr>
              <w:t>2,115,448</w:t>
            </w:r>
          </w:p>
        </w:tc>
        <w:tc>
          <w:tcPr>
            <w:tcW w:w="580" w:type="dxa"/>
            <w:vAlign w:val="bottom"/>
          </w:tcPr>
          <w:p>
            <w:pPr>
              <w:spacing w:after="0"/>
              <w:rPr>
                <w:sz w:val="22"/>
                <w:szCs w:val="22"/>
                <w:color w:val="auto"/>
              </w:rPr>
            </w:pPr>
          </w:p>
        </w:tc>
        <w:tc>
          <w:tcPr>
            <w:tcW w:w="1840" w:type="dxa"/>
            <w:vAlign w:val="bottom"/>
          </w:tcPr>
          <w:p>
            <w:pPr>
              <w:jc w:val="right"/>
              <w:ind w:right="324"/>
              <w:spacing w:after="0"/>
              <w:rPr>
                <w:sz w:val="20"/>
                <w:szCs w:val="20"/>
                <w:color w:val="auto"/>
              </w:rPr>
            </w:pPr>
            <w:r>
              <w:rPr>
                <w:rFonts w:ascii="Arial" w:cs="Arial" w:eastAsia="Arial" w:hAnsi="Arial"/>
                <w:sz w:val="15"/>
                <w:szCs w:val="15"/>
                <w:color w:val="auto"/>
              </w:rPr>
              <w:t>8,457</w:t>
            </w:r>
          </w:p>
        </w:tc>
        <w:tc>
          <w:tcPr>
            <w:tcW w:w="56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Arial" w:cs="Arial" w:eastAsia="Arial" w:hAnsi="Arial"/>
                <w:sz w:val="15"/>
                <w:szCs w:val="15"/>
                <w:color w:val="auto"/>
              </w:rPr>
              <w:t>725,194</w:t>
            </w:r>
          </w:p>
        </w:tc>
        <w:tc>
          <w:tcPr>
            <w:tcW w:w="0" w:type="dxa"/>
            <w:vAlign w:val="bottom"/>
          </w:tcPr>
          <w:p>
            <w:pPr>
              <w:spacing w:after="0"/>
              <w:rPr>
                <w:sz w:val="1"/>
                <w:szCs w:val="1"/>
                <w:color w:val="auto"/>
              </w:rPr>
            </w:pPr>
          </w:p>
        </w:tc>
      </w:tr>
      <w:tr>
        <w:trPr>
          <w:trHeight w:val="258"/>
        </w:trPr>
        <w:tc>
          <w:tcPr>
            <w:tcW w:w="2480" w:type="dxa"/>
            <w:vAlign w:val="bottom"/>
            <w:gridSpan w:val="2"/>
          </w:tcPr>
          <w:p>
            <w:pPr>
              <w:ind w:left="40"/>
              <w:spacing w:after="0"/>
              <w:rPr>
                <w:sz w:val="20"/>
                <w:szCs w:val="20"/>
                <w:color w:val="auto"/>
              </w:rPr>
            </w:pPr>
            <w:r>
              <w:rPr>
                <w:rFonts w:ascii="Arial" w:cs="Arial" w:eastAsia="Arial" w:hAnsi="Arial"/>
                <w:sz w:val="15"/>
                <w:szCs w:val="15"/>
                <w:color w:val="auto"/>
              </w:rPr>
              <w:t>David B. Powers</w:t>
            </w:r>
          </w:p>
        </w:tc>
        <w:tc>
          <w:tcPr>
            <w:tcW w:w="1700" w:type="dxa"/>
            <w:vAlign w:val="bottom"/>
          </w:tcPr>
          <w:p>
            <w:pPr>
              <w:jc w:val="right"/>
              <w:ind w:right="383"/>
              <w:spacing w:after="0"/>
              <w:rPr>
                <w:sz w:val="20"/>
                <w:szCs w:val="20"/>
                <w:color w:val="auto"/>
              </w:rPr>
            </w:pPr>
            <w:r>
              <w:rPr>
                <w:rFonts w:ascii="Arial" w:cs="Arial" w:eastAsia="Arial" w:hAnsi="Arial"/>
                <w:sz w:val="15"/>
                <w:szCs w:val="15"/>
                <w:color w:val="auto"/>
              </w:rPr>
              <w:t>42,960</w:t>
            </w:r>
          </w:p>
        </w:tc>
        <w:tc>
          <w:tcPr>
            <w:tcW w:w="560" w:type="dxa"/>
            <w:vAlign w:val="bottom"/>
          </w:tcPr>
          <w:p>
            <w:pPr>
              <w:spacing w:after="0"/>
              <w:rPr>
                <w:sz w:val="22"/>
                <w:szCs w:val="22"/>
                <w:color w:val="auto"/>
              </w:rPr>
            </w:pPr>
          </w:p>
        </w:tc>
        <w:tc>
          <w:tcPr>
            <w:tcW w:w="1240" w:type="dxa"/>
            <w:vAlign w:val="bottom"/>
          </w:tcPr>
          <w:p>
            <w:pPr>
              <w:jc w:val="right"/>
              <w:ind w:right="223"/>
              <w:spacing w:after="0"/>
              <w:rPr>
                <w:sz w:val="20"/>
                <w:szCs w:val="20"/>
                <w:color w:val="auto"/>
              </w:rPr>
            </w:pPr>
            <w:r>
              <w:rPr>
                <w:rFonts w:ascii="Arial" w:cs="Arial" w:eastAsia="Arial" w:hAnsi="Arial"/>
                <w:sz w:val="15"/>
                <w:szCs w:val="15"/>
                <w:color w:val="auto"/>
              </w:rPr>
              <w:t>2,165,783</w:t>
            </w:r>
          </w:p>
        </w:tc>
        <w:tc>
          <w:tcPr>
            <w:tcW w:w="580" w:type="dxa"/>
            <w:vAlign w:val="bottom"/>
          </w:tcPr>
          <w:p>
            <w:pPr>
              <w:spacing w:after="0"/>
              <w:rPr>
                <w:sz w:val="22"/>
                <w:szCs w:val="22"/>
                <w:color w:val="auto"/>
              </w:rPr>
            </w:pPr>
          </w:p>
        </w:tc>
        <w:tc>
          <w:tcPr>
            <w:tcW w:w="1840" w:type="dxa"/>
            <w:vAlign w:val="bottom"/>
          </w:tcPr>
          <w:p>
            <w:pPr>
              <w:jc w:val="right"/>
              <w:ind w:right="324"/>
              <w:spacing w:after="0"/>
              <w:rPr>
                <w:sz w:val="20"/>
                <w:szCs w:val="20"/>
                <w:color w:val="auto"/>
              </w:rPr>
            </w:pPr>
            <w:r>
              <w:rPr>
                <w:rFonts w:ascii="Arial" w:cs="Arial" w:eastAsia="Arial" w:hAnsi="Arial"/>
                <w:sz w:val="15"/>
                <w:szCs w:val="15"/>
                <w:color w:val="auto"/>
              </w:rPr>
              <w:t>8,457</w:t>
            </w:r>
          </w:p>
        </w:tc>
        <w:tc>
          <w:tcPr>
            <w:tcW w:w="56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Arial" w:cs="Arial" w:eastAsia="Arial" w:hAnsi="Arial"/>
                <w:sz w:val="15"/>
                <w:szCs w:val="15"/>
                <w:color w:val="auto"/>
              </w:rPr>
              <w:t>725,194</w:t>
            </w:r>
          </w:p>
        </w:tc>
        <w:tc>
          <w:tcPr>
            <w:tcW w:w="0" w:type="dxa"/>
            <w:vAlign w:val="bottom"/>
          </w:tcPr>
          <w:p>
            <w:pPr>
              <w:spacing w:after="0"/>
              <w:rPr>
                <w:sz w:val="1"/>
                <w:szCs w:val="1"/>
                <w:color w:val="auto"/>
              </w:rPr>
            </w:pPr>
          </w:p>
        </w:tc>
      </w:tr>
      <w:tr>
        <w:trPr>
          <w:trHeight w:val="258"/>
        </w:trPr>
        <w:tc>
          <w:tcPr>
            <w:tcW w:w="2480" w:type="dxa"/>
            <w:vAlign w:val="bottom"/>
            <w:gridSpan w:val="2"/>
          </w:tcPr>
          <w:p>
            <w:pPr>
              <w:ind w:left="40"/>
              <w:spacing w:after="0"/>
              <w:rPr>
                <w:sz w:val="20"/>
                <w:szCs w:val="20"/>
                <w:color w:val="auto"/>
              </w:rPr>
            </w:pPr>
            <w:r>
              <w:rPr>
                <w:rFonts w:ascii="Arial" w:cs="Arial" w:eastAsia="Arial" w:hAnsi="Arial"/>
                <w:sz w:val="15"/>
                <w:szCs w:val="15"/>
                <w:color w:val="auto"/>
              </w:rPr>
              <w:t>James H. Graass</w:t>
            </w:r>
          </w:p>
        </w:tc>
        <w:tc>
          <w:tcPr>
            <w:tcW w:w="1700" w:type="dxa"/>
            <w:vAlign w:val="bottom"/>
          </w:tcPr>
          <w:p>
            <w:pPr>
              <w:jc w:val="right"/>
              <w:ind w:right="383"/>
              <w:spacing w:after="0"/>
              <w:rPr>
                <w:sz w:val="20"/>
                <w:szCs w:val="20"/>
                <w:color w:val="auto"/>
              </w:rPr>
            </w:pPr>
            <w:r>
              <w:rPr>
                <w:rFonts w:ascii="Arial" w:cs="Arial" w:eastAsia="Arial" w:hAnsi="Arial"/>
                <w:sz w:val="15"/>
                <w:szCs w:val="15"/>
                <w:color w:val="auto"/>
              </w:rPr>
              <w:t>3,354</w:t>
            </w:r>
          </w:p>
        </w:tc>
        <w:tc>
          <w:tcPr>
            <w:tcW w:w="560" w:type="dxa"/>
            <w:vAlign w:val="bottom"/>
          </w:tcPr>
          <w:p>
            <w:pPr>
              <w:spacing w:after="0"/>
              <w:rPr>
                <w:sz w:val="22"/>
                <w:szCs w:val="22"/>
                <w:color w:val="auto"/>
              </w:rPr>
            </w:pPr>
          </w:p>
        </w:tc>
        <w:tc>
          <w:tcPr>
            <w:tcW w:w="1240" w:type="dxa"/>
            <w:vAlign w:val="bottom"/>
          </w:tcPr>
          <w:p>
            <w:pPr>
              <w:jc w:val="right"/>
              <w:ind w:right="223"/>
              <w:spacing w:after="0"/>
              <w:rPr>
                <w:sz w:val="20"/>
                <w:szCs w:val="20"/>
                <w:color w:val="auto"/>
              </w:rPr>
            </w:pPr>
            <w:r>
              <w:rPr>
                <w:rFonts w:ascii="Arial" w:cs="Arial" w:eastAsia="Arial" w:hAnsi="Arial"/>
                <w:sz w:val="15"/>
                <w:szCs w:val="15"/>
                <w:color w:val="auto"/>
              </w:rPr>
              <w:t>73,453</w:t>
            </w:r>
          </w:p>
        </w:tc>
        <w:tc>
          <w:tcPr>
            <w:tcW w:w="580" w:type="dxa"/>
            <w:vAlign w:val="bottom"/>
          </w:tcPr>
          <w:p>
            <w:pPr>
              <w:spacing w:after="0"/>
              <w:rPr>
                <w:sz w:val="22"/>
                <w:szCs w:val="22"/>
                <w:color w:val="auto"/>
              </w:rPr>
            </w:pPr>
          </w:p>
        </w:tc>
        <w:tc>
          <w:tcPr>
            <w:tcW w:w="1840" w:type="dxa"/>
            <w:vAlign w:val="bottom"/>
          </w:tcPr>
          <w:p>
            <w:pPr>
              <w:jc w:val="right"/>
              <w:ind w:right="324"/>
              <w:spacing w:after="0"/>
              <w:rPr>
                <w:sz w:val="20"/>
                <w:szCs w:val="20"/>
                <w:color w:val="auto"/>
              </w:rPr>
            </w:pPr>
            <w:r>
              <w:rPr>
                <w:rFonts w:ascii="Arial" w:cs="Arial" w:eastAsia="Arial" w:hAnsi="Arial"/>
                <w:sz w:val="15"/>
                <w:szCs w:val="15"/>
                <w:color w:val="auto"/>
              </w:rPr>
              <w:t>7,914</w:t>
            </w:r>
          </w:p>
        </w:tc>
        <w:tc>
          <w:tcPr>
            <w:tcW w:w="56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Arial" w:cs="Arial" w:eastAsia="Arial" w:hAnsi="Arial"/>
                <w:sz w:val="15"/>
                <w:szCs w:val="15"/>
                <w:color w:val="auto"/>
              </w:rPr>
              <w:t>678,771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1889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47" w:lineRule="exact"/>
        <w:rPr>
          <w:sz w:val="20"/>
          <w:szCs w:val="20"/>
          <w:color w:val="auto"/>
        </w:rPr>
      </w:pPr>
    </w:p>
    <w:p>
      <w:pPr>
        <w:ind w:left="460" w:hanging="457"/>
        <w:spacing w:after="0" w:line="279"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of the amounts in this column represent shares of Common Stock received by the Named Executive Officer in connection with the lapsing of restrictions on restricted stock previously granted to the Named Executive Officers.</w:t>
      </w:r>
    </w:p>
    <w:p>
      <w:pPr>
        <w:spacing w:after="0" w:line="73" w:lineRule="exact"/>
        <w:rPr>
          <w:rFonts w:ascii="Arial" w:cs="Arial" w:eastAsia="Arial" w:hAnsi="Arial"/>
          <w:sz w:val="17"/>
          <w:szCs w:val="17"/>
          <w:color w:val="auto"/>
        </w:rPr>
      </w:pPr>
    </w:p>
    <w:p>
      <w:pPr>
        <w:ind w:left="460" w:hanging="457"/>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in this column represents the dollar amount realized by the Named Executive Officer valued at the time of the vesting of such shares.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4"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Nonqualified Deferred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FY 2014</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93"/>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Executive</w:t>
            </w:r>
          </w:p>
        </w:tc>
        <w:tc>
          <w:tcPr>
            <w:tcW w:w="1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Registrant</w:t>
            </w:r>
          </w:p>
        </w:tc>
        <w:tc>
          <w:tcPr>
            <w:tcW w:w="25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Aggregate Earnings</w:t>
            </w:r>
          </w:p>
        </w:tc>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Aggregate</w:t>
            </w: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Contributions in</w:t>
            </w:r>
          </w:p>
        </w:tc>
        <w:tc>
          <w:tcPr>
            <w:tcW w:w="1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Contributions in</w:t>
            </w:r>
          </w:p>
        </w:tc>
        <w:tc>
          <w:tcPr>
            <w:tcW w:w="940" w:type="dxa"/>
            <w:vAlign w:val="bottom"/>
          </w:tcPr>
          <w:p>
            <w:pPr>
              <w:spacing w:after="0"/>
              <w:rPr>
                <w:sz w:val="16"/>
                <w:szCs w:val="16"/>
                <w:color w:val="auto"/>
              </w:rPr>
            </w:pPr>
          </w:p>
        </w:tc>
        <w:tc>
          <w:tcPr>
            <w:tcW w:w="1560" w:type="dxa"/>
            <w:vAlign w:val="bottom"/>
            <w:gridSpan w:val="2"/>
          </w:tcPr>
          <w:p>
            <w:pPr>
              <w:jc w:val="center"/>
              <w:ind w:right="1180"/>
              <w:spacing w:after="0"/>
              <w:rPr>
                <w:sz w:val="20"/>
                <w:szCs w:val="20"/>
                <w:color w:val="auto"/>
              </w:rPr>
            </w:pPr>
            <w:r>
              <w:rPr>
                <w:rFonts w:ascii="Arial" w:cs="Arial" w:eastAsia="Arial" w:hAnsi="Arial"/>
                <w:sz w:val="15"/>
                <w:szCs w:val="15"/>
                <w:b w:val="1"/>
                <w:bCs w:val="1"/>
                <w:color w:val="auto"/>
              </w:rPr>
              <w:t>in</w:t>
            </w:r>
          </w:p>
        </w:tc>
        <w:tc>
          <w:tcPr>
            <w:tcW w:w="13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7"/>
              </w:rPr>
              <w:t>Withdrawals/</w:t>
            </w: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0"/>
              </w:rPr>
              <w:t>Balance at</w:t>
            </w:r>
          </w:p>
        </w:tc>
        <w:tc>
          <w:tcPr>
            <w:tcW w:w="0" w:type="dxa"/>
            <w:vAlign w:val="bottom"/>
          </w:tcPr>
          <w:p>
            <w:pPr>
              <w:spacing w:after="0"/>
              <w:rPr>
                <w:sz w:val="1"/>
                <w:szCs w:val="1"/>
                <w:color w:val="auto"/>
              </w:rPr>
            </w:pPr>
          </w:p>
        </w:tc>
      </w:tr>
      <w:tr>
        <w:trPr>
          <w:trHeight w:val="194"/>
        </w:trPr>
        <w:tc>
          <w:tcPr>
            <w:tcW w:w="1660" w:type="dxa"/>
            <w:vAlign w:val="bottom"/>
            <w:gridSpan w:val="2"/>
            <w:vMerge w:val="restart"/>
          </w:tcPr>
          <w:p>
            <w:pPr>
              <w:ind w:left="520"/>
              <w:spacing w:after="0"/>
              <w:rPr>
                <w:sz w:val="20"/>
                <w:szCs w:val="20"/>
                <w:color w:val="auto"/>
              </w:rPr>
            </w:pPr>
            <w:r>
              <w:rPr>
                <w:rFonts w:ascii="Arial" w:cs="Arial" w:eastAsia="Arial" w:hAnsi="Arial"/>
                <w:sz w:val="15"/>
                <w:szCs w:val="15"/>
                <w:b w:val="1"/>
                <w:bCs w:val="1"/>
                <w:color w:val="auto"/>
              </w:rPr>
              <w:t>Name</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Last FY</w:t>
            </w:r>
          </w:p>
        </w:tc>
        <w:tc>
          <w:tcPr>
            <w:tcW w:w="196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99"/>
              </w:rPr>
              <w:t>Last FY</w:t>
            </w:r>
            <w:r>
              <w:rPr>
                <w:rFonts w:ascii="Arial" w:cs="Arial" w:eastAsia="Arial" w:hAnsi="Arial"/>
                <w:sz w:val="22"/>
                <w:szCs w:val="22"/>
                <w:b w:val="1"/>
                <w:bCs w:val="1"/>
                <w:color w:val="auto"/>
                <w:w w:val="99"/>
                <w:vertAlign w:val="superscript"/>
              </w:rPr>
              <w:t>(1)</w:t>
            </w:r>
          </w:p>
        </w:tc>
        <w:tc>
          <w:tcPr>
            <w:tcW w:w="2500" w:type="dxa"/>
            <w:vAlign w:val="bottom"/>
            <w:gridSpan w:val="3"/>
          </w:tcPr>
          <w:p>
            <w:pPr>
              <w:jc w:val="center"/>
              <w:ind w:right="240"/>
              <w:spacing w:after="0" w:line="194"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22"/>
                <w:szCs w:val="22"/>
                <w:b w:val="1"/>
                <w:bCs w:val="1"/>
                <w:color w:val="auto"/>
                <w:vertAlign w:val="superscript"/>
              </w:rPr>
              <w:t>(2)</w:t>
            </w:r>
          </w:p>
        </w:tc>
        <w:tc>
          <w:tcPr>
            <w:tcW w:w="13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Distributions</w:t>
            </w:r>
          </w:p>
        </w:tc>
        <w:tc>
          <w:tcPr>
            <w:tcW w:w="2060" w:type="dxa"/>
            <w:vAlign w:val="bottom"/>
          </w:tcPr>
          <w:p>
            <w:pPr>
              <w:jc w:val="center"/>
              <w:spacing w:after="0" w:line="194" w:lineRule="exact"/>
              <w:rPr>
                <w:sz w:val="20"/>
                <w:szCs w:val="20"/>
                <w:color w:val="auto"/>
              </w:rPr>
            </w:pPr>
            <w:r>
              <w:rPr>
                <w:rFonts w:ascii="Arial" w:cs="Arial" w:eastAsia="Arial" w:hAnsi="Arial"/>
                <w:sz w:val="14"/>
                <w:szCs w:val="14"/>
                <w:b w:val="1"/>
                <w:bCs w:val="1"/>
                <w:color w:val="auto"/>
              </w:rPr>
              <w:t>Last FYE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04"/>
        </w:trPr>
        <w:tc>
          <w:tcPr>
            <w:tcW w:w="1660" w:type="dxa"/>
            <w:vAlign w:val="bottom"/>
            <w:gridSpan w:val="2"/>
            <w:vMerge w:val="continue"/>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jc w:val="center"/>
              <w:ind w:right="883"/>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191"/>
        </w:trPr>
        <w:tc>
          <w:tcPr>
            <w:tcW w:w="14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Steven R. Rowley</w:t>
            </w:r>
          </w:p>
        </w:tc>
        <w:tc>
          <w:tcPr>
            <w:tcW w:w="220" w:type="dxa"/>
            <w:vAlign w:val="bottom"/>
          </w:tcPr>
          <w:p>
            <w:pPr>
              <w:spacing w:after="0"/>
              <w:rPr>
                <w:sz w:val="16"/>
                <w:szCs w:val="16"/>
                <w:color w:val="auto"/>
              </w:rPr>
            </w:pPr>
          </w:p>
        </w:tc>
        <w:tc>
          <w:tcPr>
            <w:tcW w:w="1360" w:type="dxa"/>
            <w:vAlign w:val="bottom"/>
            <w:tcBorders>
              <w:top w:val="single" w:sz="8" w:color="auto"/>
            </w:tcBorders>
          </w:tcPr>
          <w:p>
            <w:pPr>
              <w:ind w:left="6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740" w:type="dxa"/>
            <w:vAlign w:val="bottom"/>
            <w:tcBorders>
              <w:top w:val="single" w:sz="8" w:color="auto"/>
            </w:tcBorders>
          </w:tcPr>
          <w:p>
            <w:pPr>
              <w:jc w:val="right"/>
              <w:ind w:right="564"/>
              <w:spacing w:after="0"/>
              <w:rPr>
                <w:sz w:val="20"/>
                <w:szCs w:val="20"/>
                <w:color w:val="auto"/>
              </w:rPr>
            </w:pPr>
            <w:r>
              <w:rPr>
                <w:rFonts w:ascii="Arial" w:cs="Arial" w:eastAsia="Arial" w:hAnsi="Arial"/>
                <w:sz w:val="15"/>
                <w:szCs w:val="15"/>
                <w:color w:val="auto"/>
              </w:rPr>
              <w:t>$62,375</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tcBorders>
          </w:tcPr>
          <w:p>
            <w:pPr>
              <w:jc w:val="right"/>
              <w:ind w:right="643"/>
              <w:spacing w:after="0"/>
              <w:rPr>
                <w:sz w:val="20"/>
                <w:szCs w:val="20"/>
                <w:color w:val="auto"/>
              </w:rPr>
            </w:pPr>
            <w:r>
              <w:rPr>
                <w:rFonts w:ascii="Arial" w:cs="Arial" w:eastAsia="Arial" w:hAnsi="Arial"/>
                <w:sz w:val="15"/>
                <w:szCs w:val="15"/>
                <w:color w:val="auto"/>
              </w:rPr>
              <w:t>226,147</w:t>
            </w:r>
          </w:p>
        </w:tc>
        <w:tc>
          <w:tcPr>
            <w:tcW w:w="220" w:type="dxa"/>
            <w:vAlign w:val="bottom"/>
          </w:tcPr>
          <w:p>
            <w:pPr>
              <w:spacing w:after="0"/>
              <w:rPr>
                <w:sz w:val="16"/>
                <w:szCs w:val="16"/>
                <w:color w:val="auto"/>
              </w:rPr>
            </w:pPr>
          </w:p>
        </w:tc>
        <w:tc>
          <w:tcPr>
            <w:tcW w:w="1100" w:type="dxa"/>
            <w:vAlign w:val="bottom"/>
            <w:tcBorders>
              <w:top w:val="single" w:sz="8" w:color="auto"/>
            </w:tcBorders>
          </w:tcPr>
          <w:p>
            <w:pPr>
              <w:ind w:left="5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right"/>
              <w:ind w:right="544"/>
              <w:spacing w:after="0"/>
              <w:rPr>
                <w:sz w:val="20"/>
                <w:szCs w:val="20"/>
                <w:color w:val="auto"/>
              </w:rPr>
            </w:pPr>
            <w:r>
              <w:rPr>
                <w:rFonts w:ascii="Arial" w:cs="Arial" w:eastAsia="Arial" w:hAnsi="Arial"/>
                <w:sz w:val="15"/>
                <w:szCs w:val="15"/>
                <w:color w:val="auto"/>
              </w:rPr>
              <w:t>$  1,254,198</w:t>
            </w:r>
          </w:p>
        </w:tc>
        <w:tc>
          <w:tcPr>
            <w:tcW w:w="0" w:type="dxa"/>
            <w:vAlign w:val="bottom"/>
          </w:tcPr>
          <w:p>
            <w:pPr>
              <w:spacing w:after="0"/>
              <w:rPr>
                <w:sz w:val="1"/>
                <w:szCs w:val="1"/>
                <w:color w:val="auto"/>
              </w:rPr>
            </w:pPr>
          </w:p>
        </w:tc>
      </w:tr>
      <w:tr>
        <w:trPr>
          <w:trHeight w:val="250"/>
        </w:trPr>
        <w:tc>
          <w:tcPr>
            <w:tcW w:w="1660" w:type="dxa"/>
            <w:vAlign w:val="bottom"/>
            <w:gridSpan w:val="2"/>
          </w:tcPr>
          <w:p>
            <w:pPr>
              <w:ind w:left="40"/>
              <w:spacing w:after="0"/>
              <w:rPr>
                <w:sz w:val="20"/>
                <w:szCs w:val="20"/>
                <w:color w:val="auto"/>
              </w:rPr>
            </w:pPr>
            <w:r>
              <w:rPr>
                <w:rFonts w:ascii="Arial" w:cs="Arial" w:eastAsia="Arial" w:hAnsi="Arial"/>
                <w:sz w:val="15"/>
                <w:szCs w:val="15"/>
                <w:color w:val="auto"/>
              </w:rPr>
              <w:t>D. Craig Kesler</w:t>
            </w:r>
          </w:p>
        </w:tc>
        <w:tc>
          <w:tcPr>
            <w:tcW w:w="15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564"/>
              <w:spacing w:after="0"/>
              <w:rPr>
                <w:sz w:val="20"/>
                <w:szCs w:val="20"/>
                <w:color w:val="auto"/>
              </w:rPr>
            </w:pPr>
            <w:r>
              <w:rPr>
                <w:rFonts w:ascii="Arial" w:cs="Arial" w:eastAsia="Arial" w:hAnsi="Arial"/>
                <w:sz w:val="15"/>
                <w:szCs w:val="15"/>
                <w:color w:val="auto"/>
              </w:rPr>
              <w:t>6,750</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color w:val="auto"/>
              </w:rPr>
              <w:t>1,670</w:t>
            </w:r>
          </w:p>
        </w:tc>
        <w:tc>
          <w:tcPr>
            <w:tcW w:w="220" w:type="dxa"/>
            <w:vAlign w:val="bottom"/>
          </w:tcPr>
          <w:p>
            <w:pPr>
              <w:spacing w:after="0"/>
              <w:rPr>
                <w:sz w:val="21"/>
                <w:szCs w:val="21"/>
                <w:color w:val="auto"/>
              </w:rPr>
            </w:pPr>
          </w:p>
        </w:tc>
        <w:tc>
          <w:tcPr>
            <w:tcW w:w="13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544"/>
              <w:spacing w:after="0"/>
              <w:rPr>
                <w:sz w:val="20"/>
                <w:szCs w:val="20"/>
                <w:color w:val="auto"/>
              </w:rPr>
            </w:pPr>
            <w:r>
              <w:rPr>
                <w:rFonts w:ascii="Arial" w:cs="Arial" w:eastAsia="Arial" w:hAnsi="Arial"/>
                <w:sz w:val="15"/>
                <w:szCs w:val="15"/>
                <w:color w:val="auto"/>
              </w:rPr>
              <w:t>15,971</w:t>
            </w:r>
          </w:p>
        </w:tc>
        <w:tc>
          <w:tcPr>
            <w:tcW w:w="0" w:type="dxa"/>
            <w:vAlign w:val="bottom"/>
          </w:tcPr>
          <w:p>
            <w:pPr>
              <w:spacing w:after="0"/>
              <w:rPr>
                <w:sz w:val="1"/>
                <w:szCs w:val="1"/>
                <w:color w:val="auto"/>
              </w:rPr>
            </w:pPr>
          </w:p>
        </w:tc>
      </w:tr>
      <w:tr>
        <w:trPr>
          <w:trHeight w:val="258"/>
        </w:trPr>
        <w:tc>
          <w:tcPr>
            <w:tcW w:w="1660" w:type="dxa"/>
            <w:vAlign w:val="bottom"/>
            <w:gridSpan w:val="2"/>
          </w:tcPr>
          <w:p>
            <w:pPr>
              <w:ind w:left="40"/>
              <w:spacing w:after="0"/>
              <w:rPr>
                <w:sz w:val="20"/>
                <w:szCs w:val="20"/>
                <w:color w:val="auto"/>
              </w:rPr>
            </w:pPr>
            <w:r>
              <w:rPr>
                <w:rFonts w:ascii="Arial" w:cs="Arial" w:eastAsia="Arial" w:hAnsi="Arial"/>
                <w:sz w:val="15"/>
                <w:szCs w:val="15"/>
                <w:color w:val="auto"/>
              </w:rPr>
              <w:t>Gerald J. Essl</w:t>
            </w:r>
          </w:p>
        </w:tc>
        <w:tc>
          <w:tcPr>
            <w:tcW w:w="15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564"/>
              <w:spacing w:after="0"/>
              <w:rPr>
                <w:sz w:val="20"/>
                <w:szCs w:val="20"/>
                <w:color w:val="auto"/>
              </w:rPr>
            </w:pPr>
            <w:r>
              <w:rPr>
                <w:rFonts w:ascii="Arial" w:cs="Arial" w:eastAsia="Arial" w:hAnsi="Arial"/>
                <w:sz w:val="15"/>
                <w:szCs w:val="15"/>
                <w:color w:val="auto"/>
              </w:rPr>
              <w:t>11,375</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color w:val="auto"/>
              </w:rPr>
              <w:t>8,450</w:t>
            </w:r>
          </w:p>
        </w:tc>
        <w:tc>
          <w:tcPr>
            <w:tcW w:w="220" w:type="dxa"/>
            <w:vAlign w:val="bottom"/>
          </w:tcPr>
          <w:p>
            <w:pPr>
              <w:spacing w:after="0"/>
              <w:rPr>
                <w:sz w:val="22"/>
                <w:szCs w:val="22"/>
                <w:color w:val="auto"/>
              </w:rPr>
            </w:pPr>
          </w:p>
        </w:tc>
        <w:tc>
          <w:tcPr>
            <w:tcW w:w="13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544"/>
              <w:spacing w:after="0"/>
              <w:rPr>
                <w:sz w:val="20"/>
                <w:szCs w:val="20"/>
                <w:color w:val="auto"/>
              </w:rPr>
            </w:pPr>
            <w:r>
              <w:rPr>
                <w:rFonts w:ascii="Arial" w:cs="Arial" w:eastAsia="Arial" w:hAnsi="Arial"/>
                <w:sz w:val="15"/>
                <w:szCs w:val="15"/>
                <w:color w:val="auto"/>
              </w:rPr>
              <w:t>349,151</w:t>
            </w:r>
          </w:p>
        </w:tc>
        <w:tc>
          <w:tcPr>
            <w:tcW w:w="0" w:type="dxa"/>
            <w:vAlign w:val="bottom"/>
          </w:tcPr>
          <w:p>
            <w:pPr>
              <w:spacing w:after="0"/>
              <w:rPr>
                <w:sz w:val="1"/>
                <w:szCs w:val="1"/>
                <w:color w:val="auto"/>
              </w:rPr>
            </w:pPr>
          </w:p>
        </w:tc>
      </w:tr>
      <w:tr>
        <w:trPr>
          <w:trHeight w:val="258"/>
        </w:trPr>
        <w:tc>
          <w:tcPr>
            <w:tcW w:w="1660" w:type="dxa"/>
            <w:vAlign w:val="bottom"/>
            <w:gridSpan w:val="2"/>
          </w:tcPr>
          <w:p>
            <w:pPr>
              <w:ind w:left="40"/>
              <w:spacing w:after="0"/>
              <w:rPr>
                <w:sz w:val="20"/>
                <w:szCs w:val="20"/>
                <w:color w:val="auto"/>
              </w:rPr>
            </w:pPr>
            <w:r>
              <w:rPr>
                <w:rFonts w:ascii="Arial" w:cs="Arial" w:eastAsia="Arial" w:hAnsi="Arial"/>
                <w:sz w:val="15"/>
                <w:szCs w:val="15"/>
                <w:color w:val="auto"/>
              </w:rPr>
              <w:t>David B. Powers</w:t>
            </w:r>
          </w:p>
        </w:tc>
        <w:tc>
          <w:tcPr>
            <w:tcW w:w="15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564"/>
              <w:spacing w:after="0"/>
              <w:rPr>
                <w:sz w:val="20"/>
                <w:szCs w:val="20"/>
                <w:color w:val="auto"/>
              </w:rPr>
            </w:pPr>
            <w:r>
              <w:rPr>
                <w:rFonts w:ascii="Arial" w:cs="Arial" w:eastAsia="Arial" w:hAnsi="Arial"/>
                <w:sz w:val="15"/>
                <w:szCs w:val="15"/>
                <w:color w:val="auto"/>
              </w:rPr>
              <w:t>11,375</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color w:val="auto"/>
              </w:rPr>
              <w:t>19,048</w:t>
            </w:r>
          </w:p>
        </w:tc>
        <w:tc>
          <w:tcPr>
            <w:tcW w:w="220" w:type="dxa"/>
            <w:vAlign w:val="bottom"/>
          </w:tcPr>
          <w:p>
            <w:pPr>
              <w:spacing w:after="0"/>
              <w:rPr>
                <w:sz w:val="22"/>
                <w:szCs w:val="22"/>
                <w:color w:val="auto"/>
              </w:rPr>
            </w:pPr>
          </w:p>
        </w:tc>
        <w:tc>
          <w:tcPr>
            <w:tcW w:w="13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544"/>
              <w:spacing w:after="0"/>
              <w:rPr>
                <w:sz w:val="20"/>
                <w:szCs w:val="20"/>
                <w:color w:val="auto"/>
              </w:rPr>
            </w:pPr>
            <w:r>
              <w:rPr>
                <w:rFonts w:ascii="Arial" w:cs="Arial" w:eastAsia="Arial" w:hAnsi="Arial"/>
                <w:sz w:val="15"/>
                <w:szCs w:val="15"/>
                <w:color w:val="auto"/>
              </w:rPr>
              <w:t>124,426</w:t>
            </w:r>
          </w:p>
        </w:tc>
        <w:tc>
          <w:tcPr>
            <w:tcW w:w="0" w:type="dxa"/>
            <w:vAlign w:val="bottom"/>
          </w:tcPr>
          <w:p>
            <w:pPr>
              <w:spacing w:after="0"/>
              <w:rPr>
                <w:sz w:val="1"/>
                <w:szCs w:val="1"/>
                <w:color w:val="auto"/>
              </w:rPr>
            </w:pPr>
          </w:p>
        </w:tc>
      </w:tr>
      <w:tr>
        <w:trPr>
          <w:trHeight w:val="258"/>
        </w:trPr>
        <w:tc>
          <w:tcPr>
            <w:tcW w:w="1660" w:type="dxa"/>
            <w:vAlign w:val="bottom"/>
            <w:gridSpan w:val="2"/>
          </w:tcPr>
          <w:p>
            <w:pPr>
              <w:ind w:left="40"/>
              <w:spacing w:after="0"/>
              <w:rPr>
                <w:sz w:val="20"/>
                <w:szCs w:val="20"/>
                <w:color w:val="auto"/>
              </w:rPr>
            </w:pPr>
            <w:r>
              <w:rPr>
                <w:rFonts w:ascii="Arial" w:cs="Arial" w:eastAsia="Arial" w:hAnsi="Arial"/>
                <w:sz w:val="15"/>
                <w:szCs w:val="15"/>
                <w:color w:val="auto"/>
              </w:rPr>
              <w:t>James H. Graass</w:t>
            </w:r>
          </w:p>
        </w:tc>
        <w:tc>
          <w:tcPr>
            <w:tcW w:w="15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564"/>
              <w:spacing w:after="0"/>
              <w:rPr>
                <w:sz w:val="20"/>
                <w:szCs w:val="20"/>
                <w:color w:val="auto"/>
              </w:rPr>
            </w:pPr>
            <w:r>
              <w:rPr>
                <w:rFonts w:ascii="Arial" w:cs="Arial" w:eastAsia="Arial" w:hAnsi="Arial"/>
                <w:sz w:val="15"/>
                <w:szCs w:val="15"/>
                <w:color w:val="auto"/>
              </w:rPr>
              <w:t>10,625</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color w:val="auto"/>
              </w:rPr>
              <w:t>23,206</w:t>
            </w:r>
          </w:p>
        </w:tc>
        <w:tc>
          <w:tcPr>
            <w:tcW w:w="220" w:type="dxa"/>
            <w:vAlign w:val="bottom"/>
          </w:tcPr>
          <w:p>
            <w:pPr>
              <w:spacing w:after="0"/>
              <w:rPr>
                <w:sz w:val="22"/>
                <w:szCs w:val="22"/>
                <w:color w:val="auto"/>
              </w:rPr>
            </w:pPr>
          </w:p>
        </w:tc>
        <w:tc>
          <w:tcPr>
            <w:tcW w:w="13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2060" w:type="dxa"/>
            <w:vAlign w:val="bottom"/>
          </w:tcPr>
          <w:p>
            <w:pPr>
              <w:jc w:val="right"/>
              <w:ind w:right="544"/>
              <w:spacing w:after="0"/>
              <w:rPr>
                <w:sz w:val="20"/>
                <w:szCs w:val="20"/>
                <w:color w:val="auto"/>
              </w:rPr>
            </w:pPr>
            <w:r>
              <w:rPr>
                <w:rFonts w:ascii="Arial" w:cs="Arial" w:eastAsia="Arial" w:hAnsi="Arial"/>
                <w:sz w:val="15"/>
                <w:szCs w:val="15"/>
                <w:color w:val="auto"/>
              </w:rPr>
              <w:t>157,961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1889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59" w:lineRule="exact"/>
        <w:rPr>
          <w:sz w:val="20"/>
          <w:szCs w:val="20"/>
          <w:color w:val="auto"/>
        </w:rPr>
      </w:pPr>
    </w:p>
    <w:p>
      <w:pPr>
        <w:ind w:left="460" w:right="60" w:hanging="457"/>
        <w:spacing w:after="0" w:line="27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2014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31 of this proxy statement. The amounts in this column are reflected in the “All Other Compensation” column of the Summary Compensation Table located on page 34.</w:t>
      </w:r>
    </w:p>
    <w:p>
      <w:pPr>
        <w:spacing w:after="0" w:line="2" w:lineRule="exact"/>
        <w:rPr>
          <w:rFonts w:ascii="Arial" w:cs="Arial" w:eastAsia="Arial" w:hAnsi="Arial"/>
          <w:sz w:val="16"/>
          <w:szCs w:val="16"/>
          <w:color w:val="auto"/>
        </w:rPr>
      </w:pPr>
    </w:p>
    <w:p>
      <w:pPr>
        <w:ind w:left="460" w:hanging="457"/>
        <w:spacing w:after="0" w:line="27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34 of this proxy statement. The table below shows the investment options available under our PSRP (other than the Common Stock fund) and the annual rate of return for the 12 month period ended March 31, 2014, as reported to us by the administrator of the plan.</w:t>
      </w:r>
    </w:p>
    <w:p>
      <w:pPr>
        <w:spacing w:after="0" w:line="86" w:lineRule="exact"/>
        <w:rPr>
          <w:sz w:val="20"/>
          <w:szCs w:val="20"/>
          <w:color w:val="auto"/>
        </w:rPr>
      </w:pPr>
    </w:p>
    <w:tbl>
      <w:tblPr>
        <w:tblLayout w:type="fixed"/>
        <w:tblInd w:w="184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87"/>
              </w:rPr>
              <w:t>Fund</w:t>
            </w:r>
          </w:p>
        </w:tc>
        <w:tc>
          <w:tcPr>
            <w:tcW w:w="366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4"/>
              </w:rPr>
              <w:t>Rate of Return</w:t>
            </w:r>
          </w:p>
        </w:tc>
        <w:tc>
          <w:tcPr>
            <w:tcW w:w="180" w:type="dxa"/>
            <w:vAlign w:val="bottom"/>
          </w:tcPr>
          <w:p>
            <w:pPr>
              <w:spacing w:after="0"/>
              <w:rPr>
                <w:sz w:val="17"/>
                <w:szCs w:val="17"/>
                <w:color w:val="auto"/>
              </w:rPr>
            </w:pPr>
          </w:p>
        </w:tc>
      </w:tr>
      <w:tr>
        <w:trPr>
          <w:trHeight w:val="181"/>
        </w:trPr>
        <w:tc>
          <w:tcPr>
            <w:tcW w:w="2520" w:type="dxa"/>
            <w:vAlign w:val="bottom"/>
          </w:tcPr>
          <w:p>
            <w:pPr>
              <w:spacing w:after="0"/>
              <w:rPr>
                <w:sz w:val="20"/>
                <w:szCs w:val="20"/>
                <w:color w:val="auto"/>
              </w:rPr>
            </w:pPr>
            <w:r>
              <w:rPr>
                <w:rFonts w:ascii="Arial" w:cs="Arial" w:eastAsia="Arial" w:hAnsi="Arial"/>
                <w:sz w:val="15"/>
                <w:szCs w:val="15"/>
                <w:color w:val="auto"/>
              </w:rPr>
              <w:t>ABF Large Cap Value</w:t>
            </w:r>
          </w:p>
        </w:tc>
        <w:tc>
          <w:tcPr>
            <w:tcW w:w="3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24.83%</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CBA Aggressive Growth I</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32.74%</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Mainstay Large Cap Growth</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23.49%</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Spartan 500 Index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21.8%</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Low Price Stock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24.14%</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JP Morgan Midcap Growth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33.05%</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Spartan Extended Market Index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25.60%</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ABF Small Cap Value PA</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25.22%</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Baron Small Cap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21.47%</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Harbor International Adm</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15.33%</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Spartan International Index Adv</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17.62%</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2000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4.06%</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2010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8.31%</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2020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9.83%</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2030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13.08%</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2040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15.08%</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Freedom Income Fund</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3.95%</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Fidelity Managed Income Portfolio</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0.91%</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rPr>
              <w:t>Spartan US Bond Index</w:t>
            </w:r>
          </w:p>
        </w:tc>
        <w:tc>
          <w:tcPr>
            <w:tcW w:w="4840" w:type="dxa"/>
            <w:vAlign w:val="bottom"/>
            <w:gridSpan w:val="3"/>
          </w:tcPr>
          <w:p>
            <w:pPr>
              <w:jc w:val="right"/>
              <w:spacing w:after="0"/>
              <w:rPr>
                <w:sz w:val="20"/>
                <w:szCs w:val="20"/>
                <w:color w:val="auto"/>
              </w:rPr>
            </w:pPr>
            <w:r>
              <w:rPr>
                <w:rFonts w:ascii="Arial" w:cs="Arial" w:eastAsia="Arial" w:hAnsi="Arial"/>
                <w:sz w:val="15"/>
                <w:szCs w:val="15"/>
                <w:color w:val="auto"/>
              </w:rPr>
              <w:t>(0.36%)</w:t>
            </w:r>
          </w:p>
        </w:tc>
      </w:tr>
      <w:tr>
        <w:trPr>
          <w:trHeight w:val="193"/>
        </w:trPr>
        <w:tc>
          <w:tcPr>
            <w:tcW w:w="2880" w:type="dxa"/>
            <w:vAlign w:val="bottom"/>
            <w:gridSpan w:val="2"/>
          </w:tcPr>
          <w:p>
            <w:pPr>
              <w:spacing w:after="0"/>
              <w:rPr>
                <w:sz w:val="20"/>
                <w:szCs w:val="20"/>
                <w:color w:val="auto"/>
              </w:rPr>
            </w:pPr>
            <w:r>
              <w:rPr>
                <w:rFonts w:ascii="Arial" w:cs="Arial" w:eastAsia="Arial" w:hAnsi="Arial"/>
                <w:sz w:val="15"/>
                <w:szCs w:val="15"/>
                <w:color w:val="auto"/>
                <w:w w:val="95"/>
              </w:rPr>
              <w:t>Vanguard Inflation Protected Securities Fund</w:t>
            </w:r>
          </w:p>
        </w:tc>
        <w:tc>
          <w:tcPr>
            <w:tcW w:w="4840" w:type="dxa"/>
            <w:vAlign w:val="bottom"/>
            <w:gridSpan w:val="3"/>
          </w:tcPr>
          <w:p>
            <w:pPr>
              <w:jc w:val="right"/>
              <w:spacing w:after="0"/>
              <w:rPr>
                <w:sz w:val="20"/>
                <w:szCs w:val="20"/>
                <w:color w:val="auto"/>
              </w:rPr>
            </w:pPr>
            <w:r>
              <w:rPr>
                <w:rFonts w:ascii="Arial" w:cs="Arial" w:eastAsia="Arial" w:hAnsi="Arial"/>
                <w:sz w:val="15"/>
                <w:szCs w:val="15"/>
                <w:color w:val="auto"/>
              </w:rPr>
              <w:t>(6.7%)</w:t>
            </w:r>
          </w:p>
        </w:tc>
      </w:tr>
      <w:tr>
        <w:trPr>
          <w:trHeight w:val="196"/>
        </w:trPr>
        <w:tc>
          <w:tcPr>
            <w:tcW w:w="2880" w:type="dxa"/>
            <w:vAlign w:val="bottom"/>
            <w:gridSpan w:val="2"/>
          </w:tcPr>
          <w:p>
            <w:pPr>
              <w:spacing w:after="0"/>
              <w:rPr>
                <w:sz w:val="20"/>
                <w:szCs w:val="20"/>
                <w:color w:val="auto"/>
              </w:rPr>
            </w:pPr>
            <w:r>
              <w:rPr>
                <w:rFonts w:ascii="Arial" w:cs="Arial" w:eastAsia="Arial" w:hAnsi="Arial"/>
                <w:sz w:val="15"/>
                <w:szCs w:val="15"/>
                <w:color w:val="auto"/>
              </w:rPr>
              <w:t>Fidelity Retirement Money Market</w:t>
            </w:r>
          </w:p>
        </w:tc>
        <w:tc>
          <w:tcPr>
            <w:tcW w:w="4840" w:type="dxa"/>
            <w:vAlign w:val="bottom"/>
            <w:gridSpan w:val="3"/>
          </w:tcPr>
          <w:p>
            <w:pPr>
              <w:jc w:val="right"/>
              <w:ind w:right="60"/>
              <w:spacing w:after="0"/>
              <w:rPr>
                <w:sz w:val="20"/>
                <w:szCs w:val="20"/>
                <w:color w:val="auto"/>
              </w:rPr>
            </w:pPr>
            <w:r>
              <w:rPr>
                <w:rFonts w:ascii="Arial" w:cs="Arial" w:eastAsia="Arial" w:hAnsi="Arial"/>
                <w:sz w:val="15"/>
                <w:szCs w:val="15"/>
                <w:color w:val="auto"/>
              </w:rPr>
              <w:t>0.01%</w:t>
            </w:r>
          </w:p>
        </w:tc>
      </w:tr>
    </w:tbl>
    <w:p>
      <w:pPr>
        <w:spacing w:after="0" w:line="109" w:lineRule="exact"/>
        <w:rPr>
          <w:sz w:val="20"/>
          <w:szCs w:val="20"/>
          <w:color w:val="auto"/>
        </w:rPr>
      </w:pPr>
    </w:p>
    <w:p>
      <w:pPr>
        <w:ind w:left="460" w:right="100" w:hanging="457"/>
        <w:spacing w:after="0" w:line="279"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4"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97" w:lineRule="exact"/>
        <w:rPr>
          <w:sz w:val="20"/>
          <w:szCs w:val="20"/>
          <w:color w:val="auto"/>
        </w:rPr>
      </w:pPr>
    </w:p>
    <w:p>
      <w:pPr>
        <w:ind w:right="20" w:firstLine="799"/>
        <w:spacing w:after="0" w:line="299" w:lineRule="auto"/>
        <w:rPr>
          <w:sz w:val="20"/>
          <w:szCs w:val="20"/>
          <w:color w:val="auto"/>
        </w:rPr>
      </w:pPr>
      <w:r>
        <w:rPr>
          <w:rFonts w:ascii="Arial" w:cs="Arial" w:eastAsia="Arial" w:hAnsi="Arial"/>
          <w:sz w:val="15"/>
          <w:szCs w:val="15"/>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2014,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Payments Made Upon Any Termination</w:t>
      </w:r>
    </w:p>
    <w:p>
      <w:pPr>
        <w:spacing w:after="0" w:line="184" w:lineRule="exact"/>
        <w:rPr>
          <w:sz w:val="20"/>
          <w:szCs w:val="20"/>
          <w:color w:val="auto"/>
        </w:rPr>
      </w:pPr>
    </w:p>
    <w:p>
      <w:pPr>
        <w:jc w:val="both"/>
        <w:ind w:firstLine="799"/>
        <w:spacing w:after="0" w:line="311"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2014 Table on page 40 of this proxy statement.</w:t>
      </w:r>
    </w:p>
    <w:p>
      <w:pPr>
        <w:spacing w:after="0" w:line="141" w:lineRule="exact"/>
        <w:rPr>
          <w:sz w:val="20"/>
          <w:szCs w:val="20"/>
          <w:color w:val="auto"/>
        </w:rPr>
      </w:pPr>
    </w:p>
    <w:p>
      <w:pPr>
        <w:jc w:val="both"/>
        <w:ind w:firstLine="799"/>
        <w:spacing w:after="0" w:line="317" w:lineRule="auto"/>
        <w:rPr>
          <w:sz w:val="20"/>
          <w:szCs w:val="20"/>
          <w:color w:val="auto"/>
        </w:rPr>
      </w:pPr>
      <w:r>
        <w:rPr>
          <w:rFonts w:ascii="Arial" w:cs="Arial" w:eastAsia="Arial" w:hAnsi="Arial"/>
          <w:sz w:val="15"/>
          <w:szCs w:val="15"/>
          <w:i w:val="1"/>
          <w:iCs w:val="1"/>
          <w:u w:val="single" w:color="auto"/>
          <w:color w:val="auto"/>
        </w:rPr>
        <w:t>Death and Disability</w:t>
      </w:r>
      <w:r>
        <w:rPr>
          <w:rFonts w:ascii="Arial" w:cs="Arial" w:eastAsia="Arial" w:hAnsi="Arial"/>
          <w:sz w:val="15"/>
          <w:szCs w:val="15"/>
          <w:color w:val="auto"/>
        </w:rPr>
        <w:t>. A termination of employment due to death or disability does not entitle the Named Executive Officer to any payments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32 of this proxy statement.</w:t>
      </w:r>
    </w:p>
    <w:p>
      <w:pPr>
        <w:spacing w:after="0" w:line="141" w:lineRule="exact"/>
        <w:rPr>
          <w:sz w:val="20"/>
          <w:szCs w:val="20"/>
          <w:color w:val="auto"/>
        </w:rPr>
      </w:pPr>
    </w:p>
    <w:p>
      <w:pPr>
        <w:ind w:right="300" w:firstLine="799"/>
        <w:spacing w:after="0" w:line="266" w:lineRule="auto"/>
        <w:rPr>
          <w:sz w:val="20"/>
          <w:szCs w:val="20"/>
          <w:color w:val="auto"/>
        </w:rPr>
      </w:pPr>
      <w:r>
        <w:rPr>
          <w:rFonts w:ascii="Arial" w:cs="Arial" w:eastAsia="Arial" w:hAnsi="Arial"/>
          <w:sz w:val="17"/>
          <w:szCs w:val="17"/>
          <w:i w:val="1"/>
          <w:iCs w:val="1"/>
          <w:u w:val="single" w:color="auto"/>
          <w:color w:val="auto"/>
        </w:rPr>
        <w:t>Accrued Pay and Profit Sharing Plan Benefits</w:t>
      </w:r>
      <w:r>
        <w:rPr>
          <w:rFonts w:ascii="Arial" w:cs="Arial" w:eastAsia="Arial" w:hAnsi="Arial"/>
          <w:sz w:val="17"/>
          <w:szCs w:val="17"/>
          <w:color w:val="auto"/>
        </w:rPr>
        <w:t>. The amounts shown in the table below do not include payments and benefits to the extent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on a non-discriminatory basis to salaried employees generally upon termination of employment or relate to equity grants that have already vested. These include:</w:t>
      </w:r>
    </w:p>
    <w:p>
      <w:pPr>
        <w:spacing w:after="0" w:line="174" w:lineRule="exact"/>
        <w:rPr>
          <w:sz w:val="20"/>
          <w:szCs w:val="20"/>
          <w:color w:val="auto"/>
        </w:rPr>
      </w:pPr>
    </w:p>
    <w:p>
      <w:pPr>
        <w:ind w:left="1120" w:hanging="319"/>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accrued salary pay through the date of termination;</w:t>
      </w:r>
    </w:p>
    <w:p>
      <w:pPr>
        <w:spacing w:after="0" w:line="74" w:lineRule="exact"/>
        <w:rPr>
          <w:rFonts w:ascii="Arial" w:cs="Arial" w:eastAsia="Arial" w:hAnsi="Arial"/>
          <w:sz w:val="17"/>
          <w:szCs w:val="17"/>
          <w:color w:val="auto"/>
        </w:rPr>
      </w:pPr>
    </w:p>
    <w:p>
      <w:pPr>
        <w:ind w:left="1120" w:hanging="319"/>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non-equity incentive compensation earned and payable prior to the date of termination;</w:t>
      </w:r>
    </w:p>
    <w:p>
      <w:pPr>
        <w:spacing w:after="0" w:line="74" w:lineRule="exact"/>
        <w:rPr>
          <w:rFonts w:ascii="Arial" w:cs="Arial" w:eastAsia="Arial" w:hAnsi="Arial"/>
          <w:sz w:val="17"/>
          <w:szCs w:val="17"/>
          <w:color w:val="auto"/>
        </w:rPr>
      </w:pPr>
    </w:p>
    <w:p>
      <w:pPr>
        <w:ind w:left="1120" w:right="60" w:hanging="319"/>
        <w:spacing w:after="0" w:line="279"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option grants received under the Incentive Plan which have already vested and are exercisable prior to the date of termination (subject to the terms of the applicable Nonqualified Stock Option Agreement);</w:t>
      </w:r>
    </w:p>
    <w:p>
      <w:pPr>
        <w:spacing w:after="0" w:line="21" w:lineRule="exact"/>
        <w:rPr>
          <w:rFonts w:ascii="Arial" w:cs="Arial" w:eastAsia="Arial" w:hAnsi="Arial"/>
          <w:sz w:val="17"/>
          <w:szCs w:val="17"/>
          <w:color w:val="auto"/>
        </w:rPr>
      </w:pPr>
    </w:p>
    <w:p>
      <w:pPr>
        <w:ind w:left="1120" w:right="400" w:hanging="319"/>
        <w:spacing w:after="0" w:line="279"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21" w:lineRule="exact"/>
        <w:rPr>
          <w:rFonts w:ascii="Arial" w:cs="Arial" w:eastAsia="Arial" w:hAnsi="Arial"/>
          <w:sz w:val="17"/>
          <w:szCs w:val="17"/>
          <w:color w:val="auto"/>
        </w:rPr>
      </w:pPr>
    </w:p>
    <w:p>
      <w:pPr>
        <w:ind w:left="1120" w:hanging="319"/>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unused accrued vacation pay.</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60"/>
              <w:spacing w:after="0"/>
              <w:rPr>
                <w:sz w:val="20"/>
                <w:szCs w:val="20"/>
                <w:color w:val="auto"/>
              </w:rPr>
            </w:pPr>
            <w:r>
              <w:rPr>
                <w:rFonts w:ascii="Arial" w:cs="Arial" w:eastAsia="Arial" w:hAnsi="Arial"/>
                <w:sz w:val="15"/>
                <w:szCs w:val="15"/>
                <w:b w:val="1"/>
                <w:bCs w:val="1"/>
                <w:color w:val="auto"/>
                <w:w w:val="96"/>
              </w:rPr>
              <w:t>Involuntary</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5"/>
              </w:rPr>
              <w:t>Termination or</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60"/>
              <w:spacing w:after="0"/>
              <w:rPr>
                <w:sz w:val="20"/>
                <w:szCs w:val="20"/>
                <w:color w:val="auto"/>
              </w:rPr>
            </w:pPr>
            <w:r>
              <w:rPr>
                <w:rFonts w:ascii="Arial" w:cs="Arial" w:eastAsia="Arial" w:hAnsi="Arial"/>
                <w:sz w:val="15"/>
                <w:szCs w:val="15"/>
                <w:b w:val="1"/>
                <w:bCs w:val="1"/>
                <w:color w:val="auto"/>
                <w:w w:val="95"/>
              </w:rPr>
              <w:t>Voluntary</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4"/>
              </w:rPr>
              <w:t>Termination (non</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right="540"/>
              <w:spacing w:after="0" w:line="169" w:lineRule="exact"/>
              <w:rPr>
                <w:sz w:val="20"/>
                <w:szCs w:val="20"/>
                <w:color w:val="auto"/>
              </w:rPr>
            </w:pPr>
            <w:r>
              <w:rPr>
                <w:rFonts w:ascii="Arial" w:cs="Arial" w:eastAsia="Arial" w:hAnsi="Arial"/>
                <w:sz w:val="15"/>
                <w:szCs w:val="15"/>
                <w:b w:val="1"/>
                <w:bCs w:val="1"/>
                <w:color w:val="auto"/>
                <w:w w:val="94"/>
              </w:rPr>
              <w:t>Change in Control)</w:t>
            </w:r>
          </w:p>
        </w:tc>
        <w:tc>
          <w:tcPr>
            <w:tcW w:w="300" w:type="dxa"/>
            <w:vAlign w:val="bottom"/>
          </w:tcPr>
          <w:p>
            <w:pPr>
              <w:spacing w:after="0"/>
              <w:rPr>
                <w:sz w:val="14"/>
                <w:szCs w:val="14"/>
                <w:color w:val="auto"/>
              </w:rPr>
            </w:pPr>
          </w:p>
        </w:tc>
        <w:tc>
          <w:tcPr>
            <w:tcW w:w="1260" w:type="dxa"/>
            <w:vAlign w:val="bottom"/>
            <w:gridSpan w:val="3"/>
          </w:tcPr>
          <w:p>
            <w:pPr>
              <w:jc w:val="center"/>
              <w:ind w:right="640"/>
              <w:spacing w:after="0" w:line="169" w:lineRule="exact"/>
              <w:rPr>
                <w:sz w:val="20"/>
                <w:szCs w:val="20"/>
                <w:color w:val="auto"/>
              </w:rPr>
            </w:pPr>
            <w:r>
              <w:rPr>
                <w:rFonts w:ascii="Arial" w:cs="Arial" w:eastAsia="Arial" w:hAnsi="Arial"/>
                <w:sz w:val="15"/>
                <w:szCs w:val="15"/>
                <w:b w:val="1"/>
                <w:bCs w:val="1"/>
                <w:color w:val="auto"/>
                <w:w w:val="95"/>
              </w:rPr>
              <w:t>Death or</w:t>
            </w:r>
          </w:p>
        </w:tc>
        <w:tc>
          <w:tcPr>
            <w:tcW w:w="1440" w:type="dxa"/>
            <w:vAlign w:val="bottom"/>
            <w:gridSpan w:val="4"/>
          </w:tcPr>
          <w:p>
            <w:pPr>
              <w:jc w:val="center"/>
              <w:ind w:right="40"/>
              <w:spacing w:after="0" w:line="169" w:lineRule="exact"/>
              <w:rPr>
                <w:sz w:val="20"/>
                <w:szCs w:val="20"/>
                <w:color w:val="auto"/>
              </w:rPr>
            </w:pPr>
            <w:r>
              <w:rPr>
                <w:rFonts w:ascii="Arial" w:cs="Arial" w:eastAsia="Arial" w:hAnsi="Arial"/>
                <w:sz w:val="15"/>
                <w:szCs w:val="15"/>
                <w:b w:val="1"/>
                <w:bCs w:val="1"/>
                <w:color w:val="auto"/>
                <w:w w:val="93"/>
              </w:rPr>
              <w:t>Change in</w:t>
            </w:r>
          </w:p>
        </w:tc>
        <w:tc>
          <w:tcPr>
            <w:tcW w:w="0" w:type="dxa"/>
            <w:vAlign w:val="bottom"/>
          </w:tcPr>
          <w:p>
            <w:pPr>
              <w:spacing w:after="0"/>
              <w:rPr>
                <w:sz w:val="1"/>
                <w:szCs w:val="1"/>
                <w:color w:val="auto"/>
              </w:rPr>
            </w:pPr>
          </w:p>
        </w:tc>
      </w:tr>
      <w:tr>
        <w:trPr>
          <w:trHeight w:val="109"/>
        </w:trPr>
        <w:tc>
          <w:tcPr>
            <w:tcW w:w="5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4"/>
            <w:vMerge w:val="restart"/>
          </w:tcPr>
          <w:p>
            <w:pPr>
              <w:jc w:val="center"/>
              <w:ind w:right="340"/>
              <w:spacing w:after="0"/>
              <w:rPr>
                <w:sz w:val="20"/>
                <w:szCs w:val="20"/>
                <w:color w:val="auto"/>
              </w:rPr>
            </w:pPr>
            <w:r>
              <w:rPr>
                <w:rFonts w:ascii="Arial" w:cs="Arial" w:eastAsia="Arial" w:hAnsi="Arial"/>
                <w:sz w:val="15"/>
                <w:szCs w:val="15"/>
                <w:b w:val="1"/>
                <w:bCs w:val="1"/>
                <w:color w:val="auto"/>
                <w:w w:val="92"/>
              </w:rPr>
              <w:t>Disability</w:t>
            </w:r>
          </w:p>
        </w:tc>
        <w:tc>
          <w:tcPr>
            <w:tcW w:w="400" w:type="dxa"/>
            <w:vAlign w:val="bottom"/>
          </w:tcPr>
          <w:p>
            <w:pPr>
              <w:spacing w:after="0"/>
              <w:rPr>
                <w:sz w:val="9"/>
                <w:szCs w:val="9"/>
                <w:color w:val="auto"/>
              </w:rPr>
            </w:pPr>
          </w:p>
        </w:tc>
        <w:tc>
          <w:tcPr>
            <w:tcW w:w="500" w:type="dxa"/>
            <w:vAlign w:val="bottom"/>
            <w:vMerge w:val="restart"/>
          </w:tcPr>
          <w:p>
            <w:pPr>
              <w:spacing w:after="0"/>
              <w:rPr>
                <w:sz w:val="20"/>
                <w:szCs w:val="20"/>
                <w:color w:val="auto"/>
              </w:rPr>
            </w:pPr>
            <w:r>
              <w:rPr>
                <w:rFonts w:ascii="Arial" w:cs="Arial" w:eastAsia="Arial" w:hAnsi="Arial"/>
                <w:sz w:val="15"/>
                <w:szCs w:val="15"/>
                <w:b w:val="1"/>
                <w:bCs w:val="1"/>
                <w:color w:val="auto"/>
                <w:w w:val="89"/>
              </w:rPr>
              <w:t>Control</w:t>
            </w:r>
          </w:p>
        </w:tc>
        <w:tc>
          <w:tcPr>
            <w:tcW w:w="1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color w:val="auto"/>
                <w:w w:val="90"/>
              </w:rPr>
              <w:t>(1)</w:t>
            </w:r>
          </w:p>
        </w:tc>
        <w:tc>
          <w:tcPr>
            <w:tcW w:w="4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5420" w:type="dxa"/>
            <w:vAlign w:val="bottom"/>
            <w:gridSpan w:val="2"/>
            <w:vMerge w:val="restart"/>
          </w:tcPr>
          <w:p>
            <w:pPr>
              <w:ind w:left="2020"/>
              <w:spacing w:after="0"/>
              <w:rPr>
                <w:sz w:val="20"/>
                <w:szCs w:val="20"/>
                <w:color w:val="auto"/>
              </w:rPr>
            </w:pPr>
            <w:r>
              <w:rPr>
                <w:rFonts w:ascii="Arial" w:cs="Arial" w:eastAsia="Arial" w:hAnsi="Arial"/>
                <w:sz w:val="15"/>
                <w:szCs w:val="15"/>
                <w:b w:val="1"/>
                <w:bCs w:val="1"/>
                <w:color w:val="auto"/>
              </w:rPr>
              <w:t>Type of Payment</w:t>
            </w: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420" w:type="dxa"/>
            <w:vAlign w:val="bottom"/>
            <w:gridSpan w:val="2"/>
            <w:vMerge w:val="continue"/>
          </w:tcPr>
          <w:p>
            <w:pPr>
              <w:spacing w:after="0"/>
              <w:rPr>
                <w:sz w:val="17"/>
                <w:szCs w:val="17"/>
                <w:color w:val="auto"/>
              </w:rPr>
            </w:pPr>
          </w:p>
        </w:tc>
        <w:tc>
          <w:tcPr>
            <w:tcW w:w="1460" w:type="dxa"/>
            <w:vAlign w:val="bottom"/>
            <w:gridSpan w:val="2"/>
          </w:tcPr>
          <w:p>
            <w:pPr>
              <w:jc w:val="center"/>
              <w:ind w:left="83"/>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tcBorders>
              <w:top w:val="single" w:sz="8" w:color="auto"/>
            </w:tcBorders>
          </w:tcPr>
          <w:p>
            <w:pPr>
              <w:ind w:left="80"/>
              <w:spacing w:after="0"/>
              <w:rPr>
                <w:sz w:val="20"/>
                <w:szCs w:val="20"/>
                <w:color w:val="auto"/>
              </w:rPr>
            </w:pPr>
            <w:r>
              <w:rPr>
                <w:rFonts w:ascii="Arial" w:cs="Arial" w:eastAsia="Arial" w:hAnsi="Arial"/>
                <w:sz w:val="15"/>
                <w:szCs w:val="15"/>
                <w:b w:val="1"/>
                <w:bCs w:val="1"/>
                <w:color w:val="auto"/>
              </w:rPr>
              <w:t>Steven R. Rowley</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20" w:type="dxa"/>
            <w:vAlign w:val="bottom"/>
            <w:gridSpan w:val="2"/>
          </w:tcPr>
          <w:p>
            <w:pPr>
              <w:ind w:left="240"/>
              <w:spacing w:after="0"/>
              <w:rPr>
                <w:sz w:val="20"/>
                <w:szCs w:val="20"/>
                <w:color w:val="auto"/>
              </w:rPr>
            </w:pPr>
            <w:r>
              <w:rPr>
                <w:rFonts w:ascii="Arial" w:cs="Arial" w:eastAsia="Arial" w:hAnsi="Arial"/>
                <w:sz w:val="15"/>
                <w:szCs w:val="15"/>
                <w:i w:val="1"/>
                <w:iCs w:val="1"/>
                <w:color w:val="auto"/>
              </w:rPr>
              <w:t>Long-Term Incentives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20" w:type="dxa"/>
            <w:vAlign w:val="bottom"/>
            <w:gridSpan w:val="2"/>
          </w:tcPr>
          <w:p>
            <w:pPr>
              <w:ind w:left="38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5"/>
                <w:szCs w:val="15"/>
                <w:color w:val="auto"/>
              </w:rPr>
              <w:t>$   28,644,544</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93"/>
        </w:trPr>
        <w:tc>
          <w:tcPr>
            <w:tcW w:w="5420" w:type="dxa"/>
            <w:vAlign w:val="bottom"/>
            <w:gridSpan w:val="2"/>
          </w:tcPr>
          <w:p>
            <w:pPr>
              <w:ind w:left="540"/>
              <w:spacing w:after="0"/>
              <w:rPr>
                <w:sz w:val="20"/>
                <w:szCs w:val="20"/>
                <w:color w:val="auto"/>
              </w:rPr>
            </w:pPr>
            <w:r>
              <w:rPr>
                <w:rFonts w:ascii="Arial" w:cs="Arial" w:eastAsia="Arial" w:hAnsi="Arial"/>
                <w:sz w:val="15"/>
                <w:szCs w:val="15"/>
                <w:color w:val="auto"/>
              </w:rPr>
              <w:t>Unexercisable and Accelerated Awards</w:t>
            </w:r>
          </w:p>
        </w:tc>
        <w:tc>
          <w:tcPr>
            <w:tcW w:w="200" w:type="dxa"/>
            <w:vAlign w:val="bottom"/>
          </w:tcPr>
          <w:p>
            <w:pPr>
              <w:spacing w:after="0"/>
              <w:rPr>
                <w:sz w:val="16"/>
                <w:szCs w:val="16"/>
                <w:color w:val="auto"/>
              </w:rPr>
            </w:pPr>
          </w:p>
        </w:tc>
        <w:tc>
          <w:tcPr>
            <w:tcW w:w="182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260" w:type="dxa"/>
            <w:vAlign w:val="bottom"/>
            <w:gridSpan w:val="3"/>
          </w:tcPr>
          <w:p>
            <w:pPr>
              <w:ind w:left="4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20" w:type="dxa"/>
            <w:vAlign w:val="bottom"/>
            <w:gridSpan w:val="2"/>
          </w:tcPr>
          <w:p>
            <w:pPr>
              <w:ind w:left="380"/>
              <w:spacing w:after="0"/>
              <w:rPr>
                <w:sz w:val="20"/>
                <w:szCs w:val="20"/>
                <w:color w:val="auto"/>
              </w:rPr>
            </w:pPr>
            <w:r>
              <w:rPr>
                <w:rFonts w:ascii="Arial" w:cs="Arial" w:eastAsia="Arial" w:hAnsi="Arial"/>
                <w:sz w:val="15"/>
                <w:szCs w:val="15"/>
                <w:color w:val="auto"/>
              </w:rPr>
              <w:t>Restricted Stock Award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5"/>
                <w:szCs w:val="15"/>
                <w:color w:val="auto"/>
              </w:rPr>
              <w:t>8,437,152</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96"/>
        </w:trPr>
        <w:tc>
          <w:tcPr>
            <w:tcW w:w="5420" w:type="dxa"/>
            <w:vAlign w:val="bottom"/>
            <w:gridSpan w:val="2"/>
          </w:tcPr>
          <w:p>
            <w:pPr>
              <w:ind w:left="540"/>
              <w:spacing w:after="0"/>
              <w:rPr>
                <w:sz w:val="20"/>
                <w:szCs w:val="20"/>
                <w:color w:val="auto"/>
              </w:rPr>
            </w:pPr>
            <w:r>
              <w:rPr>
                <w:rFonts w:ascii="Arial" w:cs="Arial" w:eastAsia="Arial" w:hAnsi="Arial"/>
                <w:sz w:val="15"/>
                <w:szCs w:val="15"/>
                <w:color w:val="auto"/>
              </w:rPr>
              <w:t>Unvested and Accelerated Awards</w:t>
            </w:r>
          </w:p>
        </w:tc>
        <w:tc>
          <w:tcPr>
            <w:tcW w:w="200" w:type="dxa"/>
            <w:vAlign w:val="bottom"/>
          </w:tcPr>
          <w:p>
            <w:pPr>
              <w:spacing w:after="0"/>
              <w:rPr>
                <w:sz w:val="24"/>
                <w:szCs w:val="24"/>
                <w:color w:val="auto"/>
              </w:rPr>
            </w:pPr>
          </w:p>
        </w:tc>
        <w:tc>
          <w:tcPr>
            <w:tcW w:w="1820" w:type="dxa"/>
            <w:vAlign w:val="bottom"/>
            <w:gridSpan w:val="3"/>
          </w:tcPr>
          <w:p>
            <w:pPr>
              <w:ind w:left="7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260" w:type="dxa"/>
            <w:vAlign w:val="bottom"/>
            <w:gridSpan w:val="3"/>
          </w:tcPr>
          <w:p>
            <w:pPr>
              <w:ind w:left="4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420" w:type="dxa"/>
            <w:vAlign w:val="bottom"/>
            <w:gridSpan w:val="2"/>
          </w:tcPr>
          <w:p>
            <w:pPr>
              <w:ind w:left="240"/>
              <w:spacing w:after="0"/>
              <w:rPr>
                <w:sz w:val="20"/>
                <w:szCs w:val="20"/>
                <w:color w:val="auto"/>
              </w:rPr>
            </w:pPr>
            <w:r>
              <w:rPr>
                <w:rFonts w:ascii="Arial" w:cs="Arial" w:eastAsia="Arial" w:hAnsi="Arial"/>
                <w:sz w:val="15"/>
                <w:szCs w:val="15"/>
                <w:i w:val="1"/>
                <w:iCs w:val="1"/>
                <w:color w:val="auto"/>
              </w:rPr>
              <w:t>Benefits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w w:val="97"/>
              </w:rPr>
              <w:t>$  1,500,000</w:t>
            </w:r>
            <w:r>
              <w:rPr>
                <w:rFonts w:ascii="Arial" w:cs="Arial" w:eastAsia="Arial" w:hAnsi="Arial"/>
                <w:sz w:val="26"/>
                <w:szCs w:val="26"/>
                <w:color w:val="auto"/>
                <w:w w:val="97"/>
                <w:vertAlign w:val="superscript"/>
              </w:rPr>
              <w:t>(4)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420" w:type="dxa"/>
            <w:vAlign w:val="bottom"/>
            <w:gridSpan w:val="2"/>
          </w:tcPr>
          <w:p>
            <w:pPr>
              <w:ind w:left="380"/>
              <w:spacing w:after="0"/>
              <w:rPr>
                <w:sz w:val="20"/>
                <w:szCs w:val="20"/>
                <w:color w:val="auto"/>
              </w:rPr>
            </w:pPr>
            <w:r>
              <w:rPr>
                <w:rFonts w:ascii="Arial" w:cs="Arial" w:eastAsia="Arial" w:hAnsi="Arial"/>
                <w:sz w:val="15"/>
                <w:szCs w:val="15"/>
                <w:color w:val="auto"/>
              </w:rPr>
              <w:t>Salary Continuation Plan Payments</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8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gridSpan w:val="3"/>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420" w:type="dxa"/>
            <w:vAlign w:val="bottom"/>
            <w:gridSpan w:val="2"/>
          </w:tcPr>
          <w:p>
            <w:pPr>
              <w:ind w:left="3880"/>
              <w:spacing w:after="0"/>
              <w:rPr>
                <w:sz w:val="20"/>
                <w:szCs w:val="20"/>
                <w:color w:val="auto"/>
              </w:rPr>
            </w:pPr>
            <w:r>
              <w:rPr>
                <w:rFonts w:ascii="Arial" w:cs="Arial" w:eastAsia="Arial" w:hAnsi="Arial"/>
                <w:sz w:val="15"/>
                <w:szCs w:val="15"/>
                <w:b w:val="1"/>
                <w:bCs w:val="1"/>
                <w:color w:val="auto"/>
              </w:rPr>
              <w:t>ROWLEY TOTAL</w:t>
            </w:r>
          </w:p>
        </w:tc>
        <w:tc>
          <w:tcPr>
            <w:tcW w:w="200" w:type="dxa"/>
            <w:vAlign w:val="bottom"/>
          </w:tcPr>
          <w:p>
            <w:pPr>
              <w:spacing w:after="0"/>
              <w:rPr>
                <w:sz w:val="16"/>
                <w:szCs w:val="16"/>
                <w:color w:val="auto"/>
              </w:rPr>
            </w:pPr>
          </w:p>
        </w:tc>
        <w:tc>
          <w:tcPr>
            <w:tcW w:w="1820" w:type="dxa"/>
            <w:vAlign w:val="bottom"/>
            <w:gridSpan w:val="3"/>
          </w:tcPr>
          <w:p>
            <w:pPr>
              <w:ind w:left="780"/>
              <w:spacing w:after="0"/>
              <w:rPr>
                <w:sz w:val="20"/>
                <w:szCs w:val="20"/>
                <w:color w:val="auto"/>
              </w:rPr>
            </w:pPr>
            <w:r>
              <w:rPr>
                <w:rFonts w:ascii="Arial" w:cs="Arial" w:eastAsia="Arial" w:hAnsi="Arial"/>
                <w:sz w:val="15"/>
                <w:szCs w:val="15"/>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1,500,000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tcPr>
          <w:p>
            <w:pPr>
              <w:ind w:left="380"/>
              <w:spacing w:after="0"/>
              <w:rPr>
                <w:sz w:val="20"/>
                <w:szCs w:val="20"/>
                <w:color w:val="auto"/>
              </w:rPr>
            </w:pPr>
            <w:r>
              <w:rPr>
                <w:rFonts w:ascii="Arial" w:cs="Arial" w:eastAsia="Arial" w:hAnsi="Arial"/>
                <w:sz w:val="15"/>
                <w:szCs w:val="15"/>
                <w:b w:val="1"/>
                <w:bCs w:val="1"/>
                <w:color w:val="auto"/>
              </w:rPr>
              <w:t>37,081,696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-1378585</wp:posOffset>
            </wp:positionV>
            <wp:extent cx="1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4"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8"/>
              </w:rPr>
              <w:t>Involuntary</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5"/>
              </w:rPr>
              <w:t>Termination or</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5"/>
                <w:szCs w:val="15"/>
                <w:b w:val="1"/>
                <w:bCs w:val="1"/>
                <w:color w:val="auto"/>
                <w:w w:val="95"/>
              </w:rPr>
              <w:t>Voluntary</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4"/>
              </w:rPr>
              <w:t>Termination (non</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right="540"/>
              <w:spacing w:after="0" w:line="169" w:lineRule="exact"/>
              <w:rPr>
                <w:sz w:val="20"/>
                <w:szCs w:val="20"/>
                <w:color w:val="auto"/>
              </w:rPr>
            </w:pPr>
            <w:r>
              <w:rPr>
                <w:rFonts w:ascii="Arial" w:cs="Arial" w:eastAsia="Arial" w:hAnsi="Arial"/>
                <w:sz w:val="15"/>
                <w:szCs w:val="15"/>
                <w:b w:val="1"/>
                <w:bCs w:val="1"/>
                <w:color w:val="auto"/>
                <w:w w:val="94"/>
              </w:rPr>
              <w:t>Change in Control)</w:t>
            </w:r>
          </w:p>
        </w:tc>
        <w:tc>
          <w:tcPr>
            <w:tcW w:w="380" w:type="dxa"/>
            <w:vAlign w:val="bottom"/>
          </w:tcPr>
          <w:p>
            <w:pPr>
              <w:spacing w:after="0"/>
              <w:rPr>
                <w:sz w:val="14"/>
                <w:szCs w:val="14"/>
                <w:color w:val="auto"/>
              </w:rPr>
            </w:pPr>
          </w:p>
        </w:tc>
        <w:tc>
          <w:tcPr>
            <w:tcW w:w="1360" w:type="dxa"/>
            <w:vAlign w:val="bottom"/>
            <w:gridSpan w:val="3"/>
          </w:tcPr>
          <w:p>
            <w:pPr>
              <w:jc w:val="center"/>
              <w:ind w:right="700"/>
              <w:spacing w:after="0" w:line="169" w:lineRule="exact"/>
              <w:rPr>
                <w:sz w:val="20"/>
                <w:szCs w:val="20"/>
                <w:color w:val="auto"/>
              </w:rPr>
            </w:pPr>
            <w:r>
              <w:rPr>
                <w:rFonts w:ascii="Arial" w:cs="Arial" w:eastAsia="Arial" w:hAnsi="Arial"/>
                <w:sz w:val="15"/>
                <w:szCs w:val="15"/>
                <w:b w:val="1"/>
                <w:bCs w:val="1"/>
                <w:color w:val="auto"/>
                <w:w w:val="95"/>
              </w:rPr>
              <w:t>Death or</w:t>
            </w:r>
          </w:p>
        </w:tc>
        <w:tc>
          <w:tcPr>
            <w:tcW w:w="1440" w:type="dxa"/>
            <w:vAlign w:val="bottom"/>
            <w:gridSpan w:val="4"/>
          </w:tcPr>
          <w:p>
            <w:pPr>
              <w:jc w:val="center"/>
              <w:ind w:right="40"/>
              <w:spacing w:after="0" w:line="169" w:lineRule="exact"/>
              <w:rPr>
                <w:sz w:val="20"/>
                <w:szCs w:val="20"/>
                <w:color w:val="auto"/>
              </w:rPr>
            </w:pPr>
            <w:r>
              <w:rPr>
                <w:rFonts w:ascii="Arial" w:cs="Arial" w:eastAsia="Arial" w:hAnsi="Arial"/>
                <w:sz w:val="15"/>
                <w:szCs w:val="15"/>
                <w:b w:val="1"/>
                <w:bCs w:val="1"/>
                <w:color w:val="auto"/>
                <w:w w:val="93"/>
              </w:rPr>
              <w:t>Change in</w:t>
            </w: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gridSpan w:val="3"/>
            <w:vMerge w:val="restart"/>
          </w:tcPr>
          <w:p>
            <w:pPr>
              <w:jc w:val="center"/>
              <w:ind w:right="720"/>
              <w:spacing w:after="0"/>
              <w:rPr>
                <w:sz w:val="20"/>
                <w:szCs w:val="20"/>
                <w:color w:val="auto"/>
              </w:rPr>
            </w:pPr>
            <w:r>
              <w:rPr>
                <w:rFonts w:ascii="Arial" w:cs="Arial" w:eastAsia="Arial" w:hAnsi="Arial"/>
                <w:sz w:val="15"/>
                <w:szCs w:val="15"/>
                <w:b w:val="1"/>
                <w:bCs w:val="1"/>
                <w:color w:val="auto"/>
                <w:w w:val="95"/>
              </w:rPr>
              <w:t>Disability</w:t>
            </w:r>
          </w:p>
        </w:tc>
        <w:tc>
          <w:tcPr>
            <w:tcW w:w="400" w:type="dxa"/>
            <w:vAlign w:val="bottom"/>
          </w:tcPr>
          <w:p>
            <w:pPr>
              <w:spacing w:after="0"/>
              <w:rPr>
                <w:sz w:val="9"/>
                <w:szCs w:val="9"/>
                <w:color w:val="auto"/>
              </w:rPr>
            </w:pPr>
          </w:p>
        </w:tc>
        <w:tc>
          <w:tcPr>
            <w:tcW w:w="500" w:type="dxa"/>
            <w:vAlign w:val="bottom"/>
            <w:vMerge w:val="restart"/>
          </w:tcPr>
          <w:p>
            <w:pPr>
              <w:spacing w:after="0"/>
              <w:rPr>
                <w:sz w:val="20"/>
                <w:szCs w:val="20"/>
                <w:color w:val="auto"/>
              </w:rPr>
            </w:pPr>
            <w:r>
              <w:rPr>
                <w:rFonts w:ascii="Arial" w:cs="Arial" w:eastAsia="Arial" w:hAnsi="Arial"/>
                <w:sz w:val="15"/>
                <w:szCs w:val="15"/>
                <w:b w:val="1"/>
                <w:bCs w:val="1"/>
                <w:color w:val="auto"/>
                <w:w w:val="89"/>
              </w:rPr>
              <w:t>Control</w:t>
            </w:r>
          </w:p>
        </w:tc>
        <w:tc>
          <w:tcPr>
            <w:tcW w:w="1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color w:val="auto"/>
                <w:w w:val="90"/>
              </w:rPr>
              <w:t>(1)</w:t>
            </w:r>
          </w:p>
        </w:tc>
        <w:tc>
          <w:tcPr>
            <w:tcW w:w="4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5240" w:type="dxa"/>
            <w:vAlign w:val="bottom"/>
            <w:gridSpan w:val="2"/>
            <w:vMerge w:val="restart"/>
          </w:tcPr>
          <w:p>
            <w:pPr>
              <w:ind w:left="1940"/>
              <w:spacing w:after="0"/>
              <w:rPr>
                <w:sz w:val="20"/>
                <w:szCs w:val="20"/>
                <w:color w:val="auto"/>
              </w:rPr>
            </w:pPr>
            <w:r>
              <w:rPr>
                <w:rFonts w:ascii="Arial" w:cs="Arial" w:eastAsia="Arial" w:hAnsi="Arial"/>
                <w:sz w:val="15"/>
                <w:szCs w:val="15"/>
                <w:b w:val="1"/>
                <w:bCs w:val="1"/>
                <w:color w:val="auto"/>
              </w:rPr>
              <w:t>Type of Payment</w:t>
            </w: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240" w:type="dxa"/>
            <w:vAlign w:val="bottom"/>
            <w:gridSpan w:val="2"/>
            <w:vMerge w:val="continue"/>
          </w:tcPr>
          <w:p>
            <w:pPr>
              <w:spacing w:after="0"/>
              <w:rPr>
                <w:sz w:val="17"/>
                <w:szCs w:val="17"/>
                <w:color w:val="auto"/>
              </w:rPr>
            </w:pPr>
          </w:p>
        </w:tc>
        <w:tc>
          <w:tcPr>
            <w:tcW w:w="1480" w:type="dxa"/>
            <w:vAlign w:val="bottom"/>
            <w:gridSpan w:val="2"/>
          </w:tcPr>
          <w:p>
            <w:pPr>
              <w:jc w:val="center"/>
              <w:ind w:left="103"/>
              <w:spacing w:after="0"/>
              <w:rPr>
                <w:sz w:val="20"/>
                <w:szCs w:val="20"/>
                <w:color w:val="auto"/>
              </w:rPr>
            </w:pPr>
            <w:r>
              <w:rPr>
                <w:rFonts w:ascii="Arial" w:cs="Arial" w:eastAsia="Arial" w:hAnsi="Arial"/>
                <w:sz w:val="15"/>
                <w:szCs w:val="15"/>
                <w:b w:val="1"/>
                <w:bCs w:val="1"/>
                <w:color w:val="auto"/>
                <w:w w:val="97"/>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00" w:type="dxa"/>
            <w:vAlign w:val="bottom"/>
            <w:tcBorders>
              <w:top w:val="single" w:sz="8" w:color="auto"/>
            </w:tcBorders>
          </w:tcPr>
          <w:p>
            <w:pPr>
              <w:ind w:left="80"/>
              <w:spacing w:after="0"/>
              <w:rPr>
                <w:sz w:val="20"/>
                <w:szCs w:val="20"/>
                <w:color w:val="auto"/>
              </w:rPr>
            </w:pPr>
            <w:r>
              <w:rPr>
                <w:rFonts w:ascii="Arial" w:cs="Arial" w:eastAsia="Arial" w:hAnsi="Arial"/>
                <w:sz w:val="15"/>
                <w:szCs w:val="15"/>
                <w:b w:val="1"/>
                <w:bCs w:val="1"/>
                <w:color w:val="auto"/>
              </w:rPr>
              <w:t>D. Craig Kesler</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Long-Term Incentives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   3,605,093</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93"/>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Unexercisable and Accelerated Awards</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Restricted Stock Award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2,740,835</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96"/>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Unvested and Accelerated Awards</w:t>
            </w:r>
          </w:p>
        </w:tc>
        <w:tc>
          <w:tcPr>
            <w:tcW w:w="200" w:type="dxa"/>
            <w:vAlign w:val="bottom"/>
          </w:tcPr>
          <w:p>
            <w:pPr>
              <w:spacing w:after="0"/>
              <w:rPr>
                <w:sz w:val="24"/>
                <w:szCs w:val="24"/>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Benefits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   1,500,000</w:t>
            </w:r>
            <w:r>
              <w:rPr>
                <w:rFonts w:ascii="Arial" w:cs="Arial" w:eastAsia="Arial" w:hAnsi="Arial"/>
                <w:sz w:val="26"/>
                <w:szCs w:val="26"/>
                <w:color w:val="auto"/>
                <w:vertAlign w:val="superscript"/>
              </w:rPr>
              <w:t>(4)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Salary Continuation Plan Payments</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gridSpan w:val="3"/>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KESLER TOTAL</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1,500,000</w:t>
            </w:r>
          </w:p>
        </w:tc>
        <w:tc>
          <w:tcPr>
            <w:tcW w:w="320" w:type="dxa"/>
            <w:vAlign w:val="bottom"/>
          </w:tcPr>
          <w:p>
            <w:pPr>
              <w:spacing w:after="0"/>
              <w:rPr>
                <w:sz w:val="16"/>
                <w:szCs w:val="16"/>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6,345,928</w:t>
            </w:r>
          </w:p>
        </w:tc>
        <w:tc>
          <w:tcPr>
            <w:tcW w:w="0" w:type="dxa"/>
            <w:vAlign w:val="bottom"/>
          </w:tcPr>
          <w:p>
            <w:pPr>
              <w:spacing w:after="0"/>
              <w:rPr>
                <w:sz w:val="1"/>
                <w:szCs w:val="1"/>
                <w:color w:val="auto"/>
              </w:rPr>
            </w:pPr>
          </w:p>
        </w:tc>
      </w:tr>
      <w:tr>
        <w:trPr>
          <w:trHeight w:val="292"/>
        </w:trPr>
        <w:tc>
          <w:tcPr>
            <w:tcW w:w="5240" w:type="dxa"/>
            <w:vAlign w:val="bottom"/>
            <w:gridSpan w:val="2"/>
          </w:tcPr>
          <w:p>
            <w:pPr>
              <w:ind w:left="80"/>
              <w:spacing w:after="0"/>
              <w:rPr>
                <w:sz w:val="20"/>
                <w:szCs w:val="20"/>
                <w:color w:val="auto"/>
              </w:rPr>
            </w:pPr>
            <w:r>
              <w:rPr>
                <w:rFonts w:ascii="Arial" w:cs="Arial" w:eastAsia="Arial" w:hAnsi="Arial"/>
                <w:sz w:val="15"/>
                <w:szCs w:val="15"/>
                <w:b w:val="1"/>
                <w:bCs w:val="1"/>
                <w:color w:val="auto"/>
              </w:rPr>
              <w:t>Gerald J. Essl</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Long-Term Incentives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5,610,589</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93"/>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Unexercisable and Accelerated Awards</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Restricted Stock Award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3,295,670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96"/>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Unvested and Accelerated Awards</w:t>
            </w:r>
          </w:p>
        </w:tc>
        <w:tc>
          <w:tcPr>
            <w:tcW w:w="200" w:type="dxa"/>
            <w:vAlign w:val="bottom"/>
          </w:tcPr>
          <w:p>
            <w:pPr>
              <w:spacing w:after="0"/>
              <w:rPr>
                <w:sz w:val="24"/>
                <w:szCs w:val="24"/>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Benefits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562,500</w:t>
            </w:r>
            <w:r>
              <w:rPr>
                <w:rFonts w:ascii="Arial" w:cs="Arial" w:eastAsia="Arial" w:hAnsi="Arial"/>
                <w:sz w:val="26"/>
                <w:szCs w:val="26"/>
                <w:color w:val="auto"/>
                <w:vertAlign w:val="superscript"/>
              </w:rPr>
              <w:t>(4)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Salary Continuation Plan Payments</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gridSpan w:val="3"/>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ESSL TOTAL</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562,500</w:t>
            </w:r>
          </w:p>
        </w:tc>
        <w:tc>
          <w:tcPr>
            <w:tcW w:w="320" w:type="dxa"/>
            <w:vAlign w:val="bottom"/>
          </w:tcPr>
          <w:p>
            <w:pPr>
              <w:spacing w:after="0"/>
              <w:rPr>
                <w:sz w:val="16"/>
                <w:szCs w:val="16"/>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8,906,259</w:t>
            </w:r>
          </w:p>
        </w:tc>
        <w:tc>
          <w:tcPr>
            <w:tcW w:w="0" w:type="dxa"/>
            <w:vAlign w:val="bottom"/>
          </w:tcPr>
          <w:p>
            <w:pPr>
              <w:spacing w:after="0"/>
              <w:rPr>
                <w:sz w:val="1"/>
                <w:szCs w:val="1"/>
                <w:color w:val="auto"/>
              </w:rPr>
            </w:pPr>
          </w:p>
        </w:tc>
      </w:tr>
      <w:tr>
        <w:trPr>
          <w:trHeight w:val="292"/>
        </w:trPr>
        <w:tc>
          <w:tcPr>
            <w:tcW w:w="5240" w:type="dxa"/>
            <w:vAlign w:val="bottom"/>
            <w:gridSpan w:val="2"/>
          </w:tcPr>
          <w:p>
            <w:pPr>
              <w:ind w:left="80"/>
              <w:spacing w:after="0"/>
              <w:rPr>
                <w:sz w:val="20"/>
                <w:szCs w:val="20"/>
                <w:color w:val="auto"/>
              </w:rPr>
            </w:pPr>
            <w:r>
              <w:rPr>
                <w:rFonts w:ascii="Arial" w:cs="Arial" w:eastAsia="Arial" w:hAnsi="Arial"/>
                <w:sz w:val="15"/>
                <w:szCs w:val="15"/>
                <w:b w:val="1"/>
                <w:bCs w:val="1"/>
                <w:color w:val="auto"/>
              </w:rPr>
              <w:t>David B. Powers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Long-Term Incentives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7,039,843</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93"/>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Unexercisable and Accelerated Awards</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Restricted Stock Award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3,246,197</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96"/>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Unvested and Accelerated Awards</w:t>
            </w:r>
          </w:p>
        </w:tc>
        <w:tc>
          <w:tcPr>
            <w:tcW w:w="200" w:type="dxa"/>
            <w:vAlign w:val="bottom"/>
          </w:tcPr>
          <w:p>
            <w:pPr>
              <w:spacing w:after="0"/>
              <w:rPr>
                <w:sz w:val="24"/>
                <w:szCs w:val="24"/>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Benefits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562,500</w:t>
            </w:r>
            <w:r>
              <w:rPr>
                <w:rFonts w:ascii="Arial" w:cs="Arial" w:eastAsia="Arial" w:hAnsi="Arial"/>
                <w:sz w:val="26"/>
                <w:szCs w:val="26"/>
                <w:color w:val="auto"/>
                <w:vertAlign w:val="superscript"/>
              </w:rPr>
              <w:t>(4)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Salary Continuation Plan Payments</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gridSpan w:val="3"/>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POWERS TOTAL</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562,500</w:t>
            </w:r>
          </w:p>
        </w:tc>
        <w:tc>
          <w:tcPr>
            <w:tcW w:w="320" w:type="dxa"/>
            <w:vAlign w:val="bottom"/>
          </w:tcPr>
          <w:p>
            <w:pPr>
              <w:spacing w:after="0"/>
              <w:rPr>
                <w:sz w:val="16"/>
                <w:szCs w:val="16"/>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10,286,040</w:t>
            </w:r>
          </w:p>
        </w:tc>
        <w:tc>
          <w:tcPr>
            <w:tcW w:w="0" w:type="dxa"/>
            <w:vAlign w:val="bottom"/>
          </w:tcPr>
          <w:p>
            <w:pPr>
              <w:spacing w:after="0"/>
              <w:rPr>
                <w:sz w:val="1"/>
                <w:szCs w:val="1"/>
                <w:color w:val="auto"/>
              </w:rPr>
            </w:pPr>
          </w:p>
        </w:tc>
      </w:tr>
      <w:tr>
        <w:trPr>
          <w:trHeight w:val="292"/>
        </w:trPr>
        <w:tc>
          <w:tcPr>
            <w:tcW w:w="5240" w:type="dxa"/>
            <w:vAlign w:val="bottom"/>
            <w:gridSpan w:val="2"/>
          </w:tcPr>
          <w:p>
            <w:pPr>
              <w:ind w:left="80"/>
              <w:spacing w:after="0"/>
              <w:rPr>
                <w:sz w:val="20"/>
                <w:szCs w:val="20"/>
                <w:color w:val="auto"/>
              </w:rPr>
            </w:pPr>
            <w:r>
              <w:rPr>
                <w:rFonts w:ascii="Arial" w:cs="Arial" w:eastAsia="Arial" w:hAnsi="Arial"/>
                <w:sz w:val="15"/>
                <w:szCs w:val="15"/>
                <w:b w:val="1"/>
                <w:bCs w:val="1"/>
                <w:color w:val="auto"/>
              </w:rPr>
              <w:t>James H. Graass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Long-Term Incentives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Stock Options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7,052,721</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93"/>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Unexercisable and Accelerated Awards</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Restricted Stock Award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2,859,285</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96"/>
        </w:trPr>
        <w:tc>
          <w:tcPr>
            <w:tcW w:w="5240" w:type="dxa"/>
            <w:vAlign w:val="bottom"/>
            <w:gridSpan w:val="2"/>
          </w:tcPr>
          <w:p>
            <w:pPr>
              <w:ind w:left="540"/>
              <w:spacing w:after="0"/>
              <w:rPr>
                <w:sz w:val="20"/>
                <w:szCs w:val="20"/>
                <w:color w:val="auto"/>
              </w:rPr>
            </w:pPr>
            <w:r>
              <w:rPr>
                <w:rFonts w:ascii="Arial" w:cs="Arial" w:eastAsia="Arial" w:hAnsi="Arial"/>
                <w:sz w:val="15"/>
                <w:szCs w:val="15"/>
                <w:color w:val="auto"/>
              </w:rPr>
              <w:t>Unvested and Accelerated Awards</w:t>
            </w:r>
          </w:p>
        </w:tc>
        <w:tc>
          <w:tcPr>
            <w:tcW w:w="200" w:type="dxa"/>
            <w:vAlign w:val="bottom"/>
          </w:tcPr>
          <w:p>
            <w:pPr>
              <w:spacing w:after="0"/>
              <w:rPr>
                <w:sz w:val="24"/>
                <w:szCs w:val="24"/>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5"/>
                <w:szCs w:val="15"/>
                <w:color w:val="auto"/>
              </w:rPr>
              <w:t>–</w:t>
            </w:r>
          </w:p>
        </w:tc>
        <w:tc>
          <w:tcPr>
            <w:tcW w:w="14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40"/>
              <w:spacing w:after="0"/>
              <w:rPr>
                <w:sz w:val="20"/>
                <w:szCs w:val="20"/>
                <w:color w:val="auto"/>
              </w:rPr>
            </w:pPr>
            <w:r>
              <w:rPr>
                <w:rFonts w:ascii="Arial" w:cs="Arial" w:eastAsia="Arial" w:hAnsi="Arial"/>
                <w:sz w:val="15"/>
                <w:szCs w:val="15"/>
                <w:i w:val="1"/>
                <w:iCs w:val="1"/>
                <w:color w:val="auto"/>
              </w:rPr>
              <w:t>Benefits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1,500,000</w:t>
            </w:r>
            <w:r>
              <w:rPr>
                <w:rFonts w:ascii="Arial" w:cs="Arial" w:eastAsia="Arial" w:hAnsi="Arial"/>
                <w:sz w:val="26"/>
                <w:szCs w:val="26"/>
                <w:color w:val="auto"/>
                <w:vertAlign w:val="superscript"/>
              </w:rPr>
              <w:t>(4)</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240" w:type="dxa"/>
            <w:vAlign w:val="bottom"/>
            <w:gridSpan w:val="2"/>
          </w:tcPr>
          <w:p>
            <w:pPr>
              <w:ind w:left="380"/>
              <w:spacing w:after="0"/>
              <w:rPr>
                <w:sz w:val="20"/>
                <w:szCs w:val="20"/>
                <w:color w:val="auto"/>
              </w:rPr>
            </w:pPr>
            <w:r>
              <w:rPr>
                <w:rFonts w:ascii="Arial" w:cs="Arial" w:eastAsia="Arial" w:hAnsi="Arial"/>
                <w:sz w:val="15"/>
                <w:szCs w:val="15"/>
                <w:color w:val="auto"/>
              </w:rPr>
              <w:t>Salary Continuation Plan Payments</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7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gridSpan w:val="3"/>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5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GRAASS TOTAL</w:t>
            </w:r>
          </w:p>
        </w:tc>
        <w:tc>
          <w:tcPr>
            <w:tcW w:w="200" w:type="dxa"/>
            <w:vAlign w:val="bottom"/>
          </w:tcPr>
          <w:p>
            <w:pPr>
              <w:spacing w:after="0"/>
              <w:rPr>
                <w:sz w:val="16"/>
                <w:szCs w:val="16"/>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1,500,000</w:t>
            </w:r>
          </w:p>
        </w:tc>
        <w:tc>
          <w:tcPr>
            <w:tcW w:w="320" w:type="dxa"/>
            <w:vAlign w:val="bottom"/>
          </w:tcPr>
          <w:p>
            <w:pPr>
              <w:spacing w:after="0"/>
              <w:rPr>
                <w:sz w:val="16"/>
                <w:szCs w:val="16"/>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9,912,006</w:t>
            </w:r>
          </w:p>
        </w:tc>
        <w:tc>
          <w:tcPr>
            <w:tcW w:w="0" w:type="dxa"/>
            <w:vAlign w:val="bottom"/>
          </w:tcPr>
          <w:p>
            <w:pPr>
              <w:spacing w:after="0"/>
              <w:rPr>
                <w:sz w:val="1"/>
                <w:szCs w:val="1"/>
                <w:color w:val="auto"/>
              </w:rPr>
            </w:pPr>
          </w:p>
        </w:tc>
      </w:tr>
      <w:tr>
        <w:trPr>
          <w:trHeight w:val="69"/>
        </w:trPr>
        <w:tc>
          <w:tcPr>
            <w:tcW w:w="5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AGGREGATE TOTAL FOR NAMED EXECUTIVE OFFICERS</w:t>
            </w:r>
          </w:p>
        </w:tc>
        <w:tc>
          <w:tcPr>
            <w:tcW w:w="200" w:type="dxa"/>
            <w:vAlign w:val="bottom"/>
          </w:tcPr>
          <w:p>
            <w:pPr>
              <w:spacing w:after="0"/>
              <w:rPr>
                <w:sz w:val="22"/>
                <w:szCs w:val="22"/>
                <w:color w:val="auto"/>
              </w:rPr>
            </w:pPr>
          </w:p>
        </w:tc>
        <w:tc>
          <w:tcPr>
            <w:tcW w:w="1820" w:type="dxa"/>
            <w:vAlign w:val="bottom"/>
            <w:gridSpan w:val="3"/>
          </w:tcPr>
          <w:p>
            <w:pPr>
              <w:ind w:left="720"/>
              <w:spacing w:after="0"/>
              <w:rPr>
                <w:sz w:val="20"/>
                <w:szCs w:val="20"/>
                <w:color w:val="auto"/>
              </w:rPr>
            </w:pPr>
            <w:r>
              <w:rPr>
                <w:rFonts w:ascii="Arial" w:cs="Arial" w:eastAsia="Arial" w:hAnsi="Arial"/>
                <w:sz w:val="15"/>
                <w:szCs w:val="15"/>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5,625,000</w:t>
            </w:r>
          </w:p>
        </w:tc>
        <w:tc>
          <w:tcPr>
            <w:tcW w:w="320" w:type="dxa"/>
            <w:vAlign w:val="bottom"/>
          </w:tcPr>
          <w:p>
            <w:pPr>
              <w:spacing w:after="0"/>
              <w:rPr>
                <w:sz w:val="22"/>
                <w:szCs w:val="22"/>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72,531,929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1889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91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-5474335</wp:posOffset>
            </wp:positionV>
            <wp:extent cx="16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153" w:lineRule="exact"/>
        <w:rPr>
          <w:sz w:val="20"/>
          <w:szCs w:val="20"/>
          <w:color w:val="auto"/>
        </w:rPr>
      </w:pPr>
    </w:p>
    <w:p>
      <w:pPr>
        <w:ind w:left="460" w:hanging="457"/>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definition of “Change in Control” is described under “Change in Control Benefits” on page 32 of this proxy statement.</w:t>
      </w:r>
    </w:p>
    <w:p>
      <w:pPr>
        <w:spacing w:after="0" w:line="126" w:lineRule="exact"/>
        <w:rPr>
          <w:rFonts w:ascii="Arial" w:cs="Arial" w:eastAsia="Arial" w:hAnsi="Arial"/>
          <w:sz w:val="17"/>
          <w:szCs w:val="17"/>
          <w:color w:val="auto"/>
        </w:rPr>
      </w:pPr>
    </w:p>
    <w:p>
      <w:pPr>
        <w:ind w:left="460" w:hanging="457"/>
        <w:spacing w:after="0" w:line="290"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dollar value of the unexercisable stock options that are accelerated because of a change in control based on the amount, if any, that the closing price of our Common Stock on March 31, 2014 ($88.66) exceeds the exercise price of the stock option. Note that the stated dollar value includes the following hypothetical values at March 31, 2014 of the June 2007 performance-based stock option grant that expired unvested and unexercised on June 20, 2014 for failure to meet the performance criteria: Mr. Rowley—$20,565,000; Mr. Kesler—$1,439,550; Mr. Essl—$3,578,310; Mr. Powers—$5,017,860; and Mr. Graass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—$5,017,860.</w:t>
      </w:r>
    </w:p>
    <w:p>
      <w:pPr>
        <w:spacing w:after="0" w:line="115" w:lineRule="exact"/>
        <w:rPr>
          <w:rFonts w:ascii="Arial" w:cs="Arial" w:eastAsia="Arial" w:hAnsi="Arial"/>
          <w:sz w:val="15"/>
          <w:szCs w:val="15"/>
          <w:color w:val="auto"/>
        </w:rPr>
      </w:pPr>
    </w:p>
    <w:p>
      <w:pPr>
        <w:ind w:left="460" w:hanging="457"/>
        <w:spacing w:after="0" w:line="279"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dollar value of the restricted stock for which restrictions will lapse upon a change in control based on the closing price of our Common Stock on March 31, 2014 ($88.66).</w:t>
      </w:r>
    </w:p>
    <w:p>
      <w:pPr>
        <w:spacing w:after="0" w:line="73" w:lineRule="exact"/>
        <w:rPr>
          <w:rFonts w:ascii="Arial" w:cs="Arial" w:eastAsia="Arial" w:hAnsi="Arial"/>
          <w:sz w:val="17"/>
          <w:szCs w:val="17"/>
          <w:color w:val="auto"/>
        </w:rPr>
      </w:pPr>
    </w:p>
    <w:p>
      <w:pPr>
        <w:ind w:left="460" w:right="300" w:hanging="457"/>
        <w:spacing w:after="0" w:line="266"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2014 salaries):</w:t>
      </w:r>
    </w:p>
    <w:p>
      <w:pPr>
        <w:spacing w:after="0" w:line="84" w:lineRule="exact"/>
        <w:rPr>
          <w:rFonts w:ascii="Arial" w:cs="Arial" w:eastAsia="Arial" w:hAnsi="Arial"/>
          <w:sz w:val="17"/>
          <w:szCs w:val="17"/>
          <w:color w:val="auto"/>
        </w:rPr>
      </w:pPr>
    </w:p>
    <w:p>
      <w:pPr>
        <w:ind w:left="1360" w:hanging="559"/>
        <w:spacing w:after="0"/>
        <w:tabs>
          <w:tab w:leader="none" w:pos="13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Rowley – $885,000 in a lump sum payment plus $442,500 per year until the beneficiaries have received a total of $1,500,000 in payments.</w:t>
      </w:r>
    </w:p>
    <w:p>
      <w:pPr>
        <w:sectPr>
          <w:pgSz w:w="11900" w:h="16838" w:orient="portrait"/>
          <w:cols w:equalWidth="0" w:num="1">
            <w:col w:w="11420"/>
          </w:cols>
          <w:pgMar w:left="240" w:top="44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44" w:right="23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1360" w:hanging="559"/>
        <w:spacing w:after="0"/>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Kesler – $330,000 in a lump sum payment plus $165,000 per year until the beneficiaries have received a total of $1,500,000 in payments.</w:t>
      </w:r>
    </w:p>
    <w:p>
      <w:pPr>
        <w:spacing w:after="0" w:line="149" w:lineRule="exact"/>
        <w:rPr>
          <w:rFonts w:ascii="Arial" w:cs="Arial" w:eastAsia="Arial" w:hAnsi="Arial"/>
          <w:sz w:val="15"/>
          <w:szCs w:val="15"/>
          <w:color w:val="auto"/>
        </w:rPr>
      </w:pPr>
    </w:p>
    <w:p>
      <w:pPr>
        <w:ind w:left="1360" w:hanging="55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Essl – $375,000 in a lump sum payment plus $187,500 per year until the date Mr. Essl would have reached 66.</w:t>
      </w:r>
    </w:p>
    <w:p>
      <w:pPr>
        <w:spacing w:after="0" w:line="126" w:lineRule="exact"/>
        <w:rPr>
          <w:rFonts w:ascii="Arial" w:cs="Arial" w:eastAsia="Arial" w:hAnsi="Arial"/>
          <w:sz w:val="17"/>
          <w:szCs w:val="17"/>
          <w:color w:val="auto"/>
        </w:rPr>
      </w:pPr>
    </w:p>
    <w:p>
      <w:pPr>
        <w:ind w:left="1360" w:hanging="55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Powers – $375,000 in a lump sum payment plus $187,500 per year until the date Mr. Powers would have reached 66.</w:t>
      </w:r>
    </w:p>
    <w:p>
      <w:pPr>
        <w:spacing w:after="0" w:line="126" w:lineRule="exact"/>
        <w:rPr>
          <w:rFonts w:ascii="Arial" w:cs="Arial" w:eastAsia="Arial" w:hAnsi="Arial"/>
          <w:sz w:val="17"/>
          <w:szCs w:val="17"/>
          <w:color w:val="auto"/>
        </w:rPr>
      </w:pPr>
    </w:p>
    <w:p>
      <w:pPr>
        <w:ind w:left="5620" w:hanging="4819"/>
        <w:spacing w:after="0" w:line="453" w:lineRule="auto"/>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Graass – $365,000 in a lump sum payment plus $182,500 per year until the beneficiaries have received a total of $1,500,000 in payments. 42</w:t>
      </w:r>
    </w:p>
    <w:p>
      <w:pPr>
        <w:sectPr>
          <w:pgSz w:w="11900" w:h="16838" w:orient="portrait"/>
          <w:cols w:equalWidth="0" w:num="1">
            <w:col w:w="10820"/>
          </w:cols>
          <w:pgMar w:left="240" w:top="444" w:right="8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OWNERSHIP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184" w:lineRule="exact"/>
        <w:rPr>
          <w:sz w:val="20"/>
          <w:szCs w:val="20"/>
          <w:color w:val="auto"/>
        </w:rPr>
      </w:pPr>
    </w:p>
    <w:p>
      <w:pPr>
        <w:ind w:firstLine="799"/>
        <w:spacing w:after="0" w:line="294" w:lineRule="auto"/>
        <w:rPr>
          <w:sz w:val="20"/>
          <w:szCs w:val="20"/>
          <w:color w:val="auto"/>
        </w:rPr>
      </w:pPr>
      <w:r>
        <w:rPr>
          <w:rFonts w:ascii="Arial" w:cs="Arial" w:eastAsia="Arial" w:hAnsi="Arial"/>
          <w:sz w:val="15"/>
          <w:szCs w:val="15"/>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w:t>
      </w:r>
    </w:p>
    <w:p>
      <w:pPr>
        <w:ind w:right="40" w:firstLine="3"/>
        <w:spacing w:after="0" w:line="265" w:lineRule="auto"/>
        <w:tabs>
          <w:tab w:leader="none" w:pos="2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by all directors and executive officers of the Company as a group (15 persons). Except as otherwise indicated, all shares are owned directly, and the owner of such shares has the sole voting and investment power with respect thereto.</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345"/>
        </w:trPr>
        <w:tc>
          <w:tcPr>
            <w:tcW w:w="4820" w:type="dxa"/>
            <w:vAlign w:val="bottom"/>
          </w:tcPr>
          <w:p>
            <w:pPr>
              <w:ind w:left="1600"/>
              <w:spacing w:after="0"/>
              <w:rPr>
                <w:sz w:val="20"/>
                <w:szCs w:val="20"/>
                <w:color w:val="auto"/>
              </w:rPr>
            </w:pPr>
            <w:r>
              <w:rPr>
                <w:rFonts w:ascii="Arial" w:cs="Arial" w:eastAsia="Arial" w:hAnsi="Arial"/>
                <w:sz w:val="15"/>
                <w:szCs w:val="15"/>
                <w:b w:val="1"/>
                <w:bCs w:val="1"/>
                <w:color w:val="auto"/>
                <w:w w:val="94"/>
              </w:rPr>
              <w:t xml:space="preserve">Amount and Nature of Beneficial Ownership </w:t>
            </w:r>
            <w:r>
              <w:rPr>
                <w:rFonts w:ascii="Arial" w:cs="Arial" w:eastAsia="Arial" w:hAnsi="Arial"/>
                <w:sz w:val="26"/>
                <w:szCs w:val="26"/>
                <w:b w:val="1"/>
                <w:bCs w:val="1"/>
                <w:color w:val="auto"/>
                <w:w w:val="94"/>
                <w:vertAlign w:val="superscript"/>
              </w:rPr>
              <w:t>(1)</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20" w:type="dxa"/>
            <w:vAlign w:val="bottom"/>
          </w:tcPr>
          <w:p>
            <w:pPr>
              <w:spacing w:after="0"/>
              <w:rPr>
                <w:sz w:val="22"/>
                <w:szCs w:val="22"/>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Number of Shares</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88"/>
              </w:rPr>
              <w:t>Percentage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3"/>
              </w:rPr>
              <w:t>Beneficially</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3"/>
              </w:rPr>
              <w:t>of Common</w:t>
            </w:r>
          </w:p>
        </w:tc>
        <w:tc>
          <w:tcPr>
            <w:tcW w:w="0" w:type="dxa"/>
            <w:vAlign w:val="bottom"/>
          </w:tcPr>
          <w:p>
            <w:pPr>
              <w:spacing w:after="0"/>
              <w:rPr>
                <w:sz w:val="1"/>
                <w:szCs w:val="1"/>
                <w:color w:val="auto"/>
              </w:rPr>
            </w:pPr>
          </w:p>
        </w:tc>
      </w:tr>
      <w:tr>
        <w:trPr>
          <w:trHeight w:val="208"/>
        </w:trPr>
        <w:tc>
          <w:tcPr>
            <w:tcW w:w="4820" w:type="dxa"/>
            <w:vAlign w:val="bottom"/>
            <w:vMerge w:val="restart"/>
          </w:tcPr>
          <w:p>
            <w:pPr>
              <w:spacing w:after="0"/>
              <w:rPr>
                <w:sz w:val="20"/>
                <w:szCs w:val="20"/>
                <w:color w:val="auto"/>
              </w:rPr>
            </w:pPr>
            <w:r>
              <w:rPr>
                <w:rFonts w:ascii="Arial" w:cs="Arial" w:eastAsia="Arial" w:hAnsi="Arial"/>
                <w:sz w:val="15"/>
                <w:szCs w:val="15"/>
                <w:color w:val="auto"/>
              </w:rPr>
              <w:t>F. William Barnett</w:t>
            </w:r>
          </w:p>
        </w:tc>
        <w:tc>
          <w:tcPr>
            <w:tcW w:w="1880" w:type="dxa"/>
            <w:vAlign w:val="bottom"/>
            <w:gridSpan w:val="2"/>
          </w:tcPr>
          <w:p>
            <w:pPr>
              <w:jc w:val="center"/>
              <w:ind w:right="380"/>
              <w:spacing w:after="0" w:line="209" w:lineRule="exact"/>
              <w:rPr>
                <w:sz w:val="20"/>
                <w:szCs w:val="20"/>
                <w:color w:val="auto"/>
              </w:rPr>
            </w:pPr>
            <w:r>
              <w:rPr>
                <w:rFonts w:ascii="Arial" w:cs="Arial" w:eastAsia="Arial" w:hAnsi="Arial"/>
                <w:sz w:val="15"/>
                <w:szCs w:val="15"/>
                <w:b w:val="1"/>
                <w:bCs w:val="1"/>
                <w:color w:val="auto"/>
                <w:w w:val="89"/>
              </w:rPr>
              <w:t>Owned</w:t>
            </w:r>
            <w:r>
              <w:rPr>
                <w:rFonts w:ascii="Arial" w:cs="Arial" w:eastAsia="Arial" w:hAnsi="Arial"/>
                <w:sz w:val="24"/>
                <w:szCs w:val="24"/>
                <w:b w:val="1"/>
                <w:bCs w:val="1"/>
                <w:color w:val="auto"/>
                <w:w w:val="89"/>
                <w:vertAlign w:val="superscript"/>
              </w:rPr>
              <w:t>(2)</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88"/>
              </w:rPr>
              <w:t>Stock</w:t>
            </w:r>
          </w:p>
        </w:tc>
        <w:tc>
          <w:tcPr>
            <w:tcW w:w="0" w:type="dxa"/>
            <w:vAlign w:val="bottom"/>
          </w:tcPr>
          <w:p>
            <w:pPr>
              <w:spacing w:after="0"/>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Borders>
              <w:top w:val="single" w:sz="8" w:color="auto"/>
            </w:tcBorders>
          </w:tcPr>
          <w:p>
            <w:pPr>
              <w:jc w:val="right"/>
              <w:ind w:right="203"/>
              <w:spacing w:after="0"/>
              <w:rPr>
                <w:sz w:val="20"/>
                <w:szCs w:val="20"/>
                <w:color w:val="auto"/>
              </w:rPr>
            </w:pPr>
            <w:r>
              <w:rPr>
                <w:rFonts w:ascii="Arial" w:cs="Arial" w:eastAsia="Arial" w:hAnsi="Arial"/>
                <w:sz w:val="15"/>
                <w:szCs w:val="15"/>
                <w:color w:val="auto"/>
              </w:rPr>
              <w:t>117,594</w:t>
            </w:r>
          </w:p>
        </w:tc>
        <w:tc>
          <w:tcPr>
            <w:tcW w:w="360" w:type="dxa"/>
            <w:vAlign w:val="bottom"/>
          </w:tcPr>
          <w:p>
            <w:pPr>
              <w:spacing w:after="0"/>
              <w:rPr>
                <w:sz w:val="16"/>
                <w:szCs w:val="16"/>
                <w:color w:val="auto"/>
              </w:rPr>
            </w:pPr>
          </w:p>
        </w:tc>
        <w:tc>
          <w:tcPr>
            <w:tcW w:w="130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8"/>
        </w:trPr>
        <w:tc>
          <w:tcPr>
            <w:tcW w:w="4820" w:type="dxa"/>
            <w:vAlign w:val="bottom"/>
          </w:tcPr>
          <w:p>
            <w:pPr>
              <w:spacing w:after="0"/>
              <w:rPr>
                <w:sz w:val="20"/>
                <w:szCs w:val="20"/>
                <w:color w:val="auto"/>
              </w:rPr>
            </w:pPr>
            <w:r>
              <w:rPr>
                <w:rFonts w:ascii="Arial" w:cs="Arial" w:eastAsia="Arial" w:hAnsi="Arial"/>
                <w:sz w:val="15"/>
                <w:szCs w:val="15"/>
                <w:color w:val="auto"/>
              </w:rPr>
              <w:t>Ed H. Bowman</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8,053</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4"/>
        </w:trPr>
        <w:tc>
          <w:tcPr>
            <w:tcW w:w="4820" w:type="dxa"/>
            <w:vAlign w:val="bottom"/>
          </w:tcPr>
          <w:p>
            <w:pPr>
              <w:spacing w:after="0"/>
              <w:rPr>
                <w:sz w:val="20"/>
                <w:szCs w:val="20"/>
                <w:color w:val="auto"/>
              </w:rPr>
            </w:pPr>
            <w:r>
              <w:rPr>
                <w:rFonts w:ascii="Arial" w:cs="Arial" w:eastAsia="Arial" w:hAnsi="Arial"/>
                <w:sz w:val="15"/>
                <w:szCs w:val="15"/>
                <w:color w:val="auto"/>
              </w:rPr>
              <w:t>Robert L. Clarke</w:t>
            </w:r>
            <w:r>
              <w:rPr>
                <w:rFonts w:ascii="Arial" w:cs="Arial" w:eastAsia="Arial" w:hAnsi="Arial"/>
                <w:sz w:val="26"/>
                <w:szCs w:val="26"/>
                <w:color w:val="auto"/>
                <w:vertAlign w:val="superscript"/>
              </w:rPr>
              <w:t>(3)</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157,616</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9"/>
        </w:trPr>
        <w:tc>
          <w:tcPr>
            <w:tcW w:w="4820" w:type="dxa"/>
            <w:vAlign w:val="bottom"/>
          </w:tcPr>
          <w:p>
            <w:pPr>
              <w:spacing w:after="0"/>
              <w:rPr>
                <w:sz w:val="20"/>
                <w:szCs w:val="20"/>
                <w:color w:val="auto"/>
              </w:rPr>
            </w:pPr>
            <w:r>
              <w:rPr>
                <w:rFonts w:ascii="Arial" w:cs="Arial" w:eastAsia="Arial" w:hAnsi="Arial"/>
                <w:sz w:val="15"/>
                <w:szCs w:val="15"/>
                <w:color w:val="auto"/>
              </w:rPr>
              <w:t>William R. Devlin</w:t>
            </w:r>
            <w:r>
              <w:rPr>
                <w:rFonts w:ascii="Arial" w:cs="Arial" w:eastAsia="Arial" w:hAnsi="Arial"/>
                <w:sz w:val="26"/>
                <w:szCs w:val="26"/>
                <w:color w:val="auto"/>
                <w:vertAlign w:val="superscript"/>
              </w:rPr>
              <w:t>(4)(5)</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59,432</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5"/>
                <w:szCs w:val="15"/>
                <w:color w:val="auto"/>
              </w:rPr>
              <w:t>Martin M. Ellen</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3,440</w:t>
            </w:r>
          </w:p>
        </w:tc>
        <w:tc>
          <w:tcPr>
            <w:tcW w:w="360" w:type="dxa"/>
            <w:vAlign w:val="bottom"/>
          </w:tcPr>
          <w:p>
            <w:pPr>
              <w:spacing w:after="0"/>
              <w:rPr>
                <w:sz w:val="17"/>
                <w:szCs w:val="17"/>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4"/>
        </w:trPr>
        <w:tc>
          <w:tcPr>
            <w:tcW w:w="4820" w:type="dxa"/>
            <w:vAlign w:val="bottom"/>
          </w:tcPr>
          <w:p>
            <w:pPr>
              <w:spacing w:after="0"/>
              <w:rPr>
                <w:sz w:val="20"/>
                <w:szCs w:val="20"/>
                <w:color w:val="auto"/>
              </w:rPr>
            </w:pPr>
            <w:r>
              <w:rPr>
                <w:rFonts w:ascii="Arial" w:cs="Arial" w:eastAsia="Arial" w:hAnsi="Arial"/>
                <w:sz w:val="15"/>
                <w:szCs w:val="15"/>
                <w:color w:val="auto"/>
              </w:rPr>
              <w:t>Gerald J. Essl</w:t>
            </w:r>
            <w:r>
              <w:rPr>
                <w:rFonts w:ascii="Arial" w:cs="Arial" w:eastAsia="Arial" w:hAnsi="Arial"/>
                <w:sz w:val="26"/>
                <w:szCs w:val="26"/>
                <w:color w:val="auto"/>
                <w:vertAlign w:val="superscript"/>
              </w:rPr>
              <w:t>(6)</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48,501</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6"/>
        </w:trPr>
        <w:tc>
          <w:tcPr>
            <w:tcW w:w="4820" w:type="dxa"/>
            <w:vAlign w:val="bottom"/>
          </w:tcPr>
          <w:p>
            <w:pPr>
              <w:spacing w:after="0" w:line="296" w:lineRule="exact"/>
              <w:rPr>
                <w:sz w:val="20"/>
                <w:szCs w:val="20"/>
                <w:color w:val="auto"/>
              </w:rPr>
            </w:pPr>
            <w:r>
              <w:rPr>
                <w:rFonts w:ascii="Arial" w:cs="Arial" w:eastAsia="Arial" w:hAnsi="Arial"/>
                <w:sz w:val="15"/>
                <w:szCs w:val="15"/>
                <w:color w:val="auto"/>
              </w:rPr>
              <w:t>James H. Graass</w:t>
            </w:r>
            <w:r>
              <w:rPr>
                <w:rFonts w:ascii="Arial" w:cs="Arial" w:eastAsia="Arial" w:hAnsi="Arial"/>
                <w:sz w:val="26"/>
                <w:szCs w:val="26"/>
                <w:color w:val="auto"/>
                <w:vertAlign w:val="superscript"/>
              </w:rPr>
              <w:t>(7)</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99,670</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6"/>
        </w:trPr>
        <w:tc>
          <w:tcPr>
            <w:tcW w:w="4820" w:type="dxa"/>
            <w:vAlign w:val="bottom"/>
          </w:tcPr>
          <w:p>
            <w:pPr>
              <w:spacing w:after="0" w:line="296" w:lineRule="exact"/>
              <w:rPr>
                <w:sz w:val="20"/>
                <w:szCs w:val="20"/>
                <w:color w:val="auto"/>
              </w:rPr>
            </w:pPr>
            <w:r>
              <w:rPr>
                <w:rFonts w:ascii="Arial" w:cs="Arial" w:eastAsia="Arial" w:hAnsi="Arial"/>
                <w:sz w:val="15"/>
                <w:szCs w:val="15"/>
                <w:color w:val="auto"/>
              </w:rPr>
              <w:t>Laurence E. Hirsch</w:t>
            </w:r>
            <w:r>
              <w:rPr>
                <w:rFonts w:ascii="Arial" w:cs="Arial" w:eastAsia="Arial" w:hAnsi="Arial"/>
                <w:sz w:val="26"/>
                <w:szCs w:val="26"/>
                <w:color w:val="auto"/>
                <w:vertAlign w:val="superscript"/>
              </w:rPr>
              <w:t>(8)</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1,303,897</w:t>
            </w:r>
          </w:p>
        </w:tc>
        <w:tc>
          <w:tcPr>
            <w:tcW w:w="360" w:type="dxa"/>
            <w:vAlign w:val="bottom"/>
          </w:tcPr>
          <w:p>
            <w:pPr>
              <w:spacing w:after="0"/>
              <w:rPr>
                <w:sz w:val="24"/>
                <w:szCs w:val="24"/>
                <w:color w:val="auto"/>
              </w:rPr>
            </w:pPr>
          </w:p>
        </w:tc>
        <w:tc>
          <w:tcPr>
            <w:tcW w:w="1300" w:type="dxa"/>
            <w:vAlign w:val="bottom"/>
          </w:tcPr>
          <w:p>
            <w:pPr>
              <w:jc w:val="right"/>
              <w:ind w:right="343"/>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96"/>
        </w:trPr>
        <w:tc>
          <w:tcPr>
            <w:tcW w:w="4820" w:type="dxa"/>
            <w:vAlign w:val="bottom"/>
          </w:tcPr>
          <w:p>
            <w:pPr>
              <w:spacing w:after="0" w:line="296" w:lineRule="exact"/>
              <w:rPr>
                <w:sz w:val="20"/>
                <w:szCs w:val="20"/>
                <w:color w:val="auto"/>
              </w:rPr>
            </w:pPr>
            <w:r>
              <w:rPr>
                <w:rFonts w:ascii="Arial" w:cs="Arial" w:eastAsia="Arial" w:hAnsi="Arial"/>
                <w:sz w:val="15"/>
                <w:szCs w:val="15"/>
                <w:color w:val="auto"/>
              </w:rPr>
              <w:t>D. Craig Kesler</w:t>
            </w:r>
            <w:r>
              <w:rPr>
                <w:rFonts w:ascii="Arial" w:cs="Arial" w:eastAsia="Arial" w:hAnsi="Arial"/>
                <w:sz w:val="26"/>
                <w:szCs w:val="26"/>
                <w:color w:val="auto"/>
                <w:vertAlign w:val="superscript"/>
              </w:rPr>
              <w:t>(5) (9)</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87,736</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9"/>
        </w:trPr>
        <w:tc>
          <w:tcPr>
            <w:tcW w:w="4820" w:type="dxa"/>
            <w:vAlign w:val="bottom"/>
          </w:tcPr>
          <w:p>
            <w:pPr>
              <w:spacing w:after="0"/>
              <w:rPr>
                <w:sz w:val="20"/>
                <w:szCs w:val="20"/>
                <w:color w:val="auto"/>
              </w:rPr>
            </w:pPr>
            <w:r>
              <w:rPr>
                <w:rFonts w:ascii="Arial" w:cs="Arial" w:eastAsia="Arial" w:hAnsi="Arial"/>
                <w:sz w:val="15"/>
                <w:szCs w:val="15"/>
                <w:color w:val="auto"/>
              </w:rPr>
              <w:t>Michael R. Nicolais</w:t>
            </w:r>
            <w:r>
              <w:rPr>
                <w:rFonts w:ascii="Arial" w:cs="Arial" w:eastAsia="Arial" w:hAnsi="Arial"/>
                <w:sz w:val="26"/>
                <w:szCs w:val="26"/>
                <w:color w:val="auto"/>
                <w:vertAlign w:val="superscript"/>
              </w:rPr>
              <w:t>(10)</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48,796</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5"/>
                <w:szCs w:val="15"/>
                <w:color w:val="auto"/>
              </w:rPr>
              <w:t>David B. Powers</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61,615</w:t>
            </w:r>
          </w:p>
        </w:tc>
        <w:tc>
          <w:tcPr>
            <w:tcW w:w="360" w:type="dxa"/>
            <w:vAlign w:val="bottom"/>
          </w:tcPr>
          <w:p>
            <w:pPr>
              <w:spacing w:after="0"/>
              <w:rPr>
                <w:sz w:val="17"/>
                <w:szCs w:val="17"/>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6"/>
        </w:trPr>
        <w:tc>
          <w:tcPr>
            <w:tcW w:w="4820" w:type="dxa"/>
            <w:vAlign w:val="bottom"/>
          </w:tcPr>
          <w:p>
            <w:pPr>
              <w:spacing w:after="0"/>
              <w:rPr>
                <w:sz w:val="20"/>
                <w:szCs w:val="20"/>
                <w:color w:val="auto"/>
              </w:rPr>
            </w:pPr>
            <w:r>
              <w:rPr>
                <w:rFonts w:ascii="Arial" w:cs="Arial" w:eastAsia="Arial" w:hAnsi="Arial"/>
                <w:sz w:val="15"/>
                <w:szCs w:val="15"/>
                <w:color w:val="auto"/>
              </w:rPr>
              <w:t>David W. Quinn</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60,246</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4"/>
        </w:trPr>
        <w:tc>
          <w:tcPr>
            <w:tcW w:w="4820" w:type="dxa"/>
            <w:vAlign w:val="bottom"/>
          </w:tcPr>
          <w:p>
            <w:pPr>
              <w:spacing w:after="0"/>
              <w:rPr>
                <w:sz w:val="20"/>
                <w:szCs w:val="20"/>
                <w:color w:val="auto"/>
              </w:rPr>
            </w:pPr>
            <w:r>
              <w:rPr>
                <w:rFonts w:ascii="Arial" w:cs="Arial" w:eastAsia="Arial" w:hAnsi="Arial"/>
                <w:sz w:val="15"/>
                <w:szCs w:val="15"/>
                <w:color w:val="auto"/>
              </w:rPr>
              <w:t>Steven R. Rowley</w:t>
            </w:r>
            <w:r>
              <w:rPr>
                <w:rFonts w:ascii="Arial" w:cs="Arial" w:eastAsia="Arial" w:hAnsi="Arial"/>
                <w:sz w:val="26"/>
                <w:szCs w:val="26"/>
                <w:color w:val="auto"/>
                <w:vertAlign w:val="superscript"/>
              </w:rPr>
              <w:t>(11)</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315,542</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6"/>
        </w:trPr>
        <w:tc>
          <w:tcPr>
            <w:tcW w:w="4820" w:type="dxa"/>
            <w:vAlign w:val="bottom"/>
          </w:tcPr>
          <w:p>
            <w:pPr>
              <w:spacing w:after="0" w:line="296" w:lineRule="exact"/>
              <w:rPr>
                <w:sz w:val="20"/>
                <w:szCs w:val="20"/>
                <w:color w:val="auto"/>
              </w:rPr>
            </w:pPr>
            <w:r>
              <w:rPr>
                <w:rFonts w:ascii="Arial" w:cs="Arial" w:eastAsia="Arial" w:hAnsi="Arial"/>
                <w:sz w:val="15"/>
                <w:szCs w:val="15"/>
                <w:color w:val="auto"/>
              </w:rPr>
              <w:t>Richard R. Stewart</w:t>
            </w:r>
            <w:r>
              <w:rPr>
                <w:rFonts w:ascii="Arial" w:cs="Arial" w:eastAsia="Arial" w:hAnsi="Arial"/>
                <w:sz w:val="26"/>
                <w:szCs w:val="26"/>
                <w:color w:val="auto"/>
                <w:vertAlign w:val="superscript"/>
              </w:rPr>
              <w:t>(12)</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21,441</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9"/>
        </w:trPr>
        <w:tc>
          <w:tcPr>
            <w:tcW w:w="4820" w:type="dxa"/>
            <w:vAlign w:val="bottom"/>
          </w:tcPr>
          <w:p>
            <w:pPr>
              <w:spacing w:after="0"/>
              <w:rPr>
                <w:sz w:val="20"/>
                <w:szCs w:val="20"/>
                <w:color w:val="auto"/>
              </w:rPr>
            </w:pPr>
            <w:r>
              <w:rPr>
                <w:rFonts w:ascii="Arial" w:cs="Arial" w:eastAsia="Arial" w:hAnsi="Arial"/>
                <w:sz w:val="15"/>
                <w:szCs w:val="15"/>
                <w:color w:val="auto"/>
              </w:rPr>
              <w:t>Robert S. Stewart</w:t>
            </w:r>
            <w:r>
              <w:rPr>
                <w:rFonts w:ascii="Arial" w:cs="Arial" w:eastAsia="Arial" w:hAnsi="Arial"/>
                <w:sz w:val="26"/>
                <w:szCs w:val="26"/>
                <w:color w:val="auto"/>
                <w:vertAlign w:val="superscript"/>
              </w:rPr>
              <w:t>(5)</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48,773</w:t>
            </w:r>
          </w:p>
        </w:tc>
        <w:tc>
          <w:tcPr>
            <w:tcW w:w="360" w:type="dxa"/>
            <w:vAlign w:val="bottom"/>
          </w:tcPr>
          <w:p>
            <w:pPr>
              <w:spacing w:after="0"/>
              <w:rPr>
                <w:sz w:val="24"/>
                <w:szCs w:val="24"/>
                <w:color w:val="auto"/>
              </w:rPr>
            </w:pPr>
          </w:p>
        </w:tc>
        <w:tc>
          <w:tcPr>
            <w:tcW w:w="130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5"/>
                <w:szCs w:val="15"/>
                <w:color w:val="auto"/>
              </w:rPr>
              <w:t>All current directors, nominees and executive officers as a group (15</w:t>
            </w: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5"/>
                <w:szCs w:val="15"/>
                <w:color w:val="auto"/>
              </w:rPr>
              <w:t>persons)</w:t>
            </w:r>
          </w:p>
        </w:tc>
        <w:tc>
          <w:tcPr>
            <w:tcW w:w="1520" w:type="dxa"/>
            <w:vAlign w:val="bottom"/>
          </w:tcPr>
          <w:p>
            <w:pPr>
              <w:jc w:val="right"/>
              <w:ind w:right="203"/>
              <w:spacing w:after="0"/>
              <w:rPr>
                <w:sz w:val="20"/>
                <w:szCs w:val="20"/>
                <w:color w:val="auto"/>
              </w:rPr>
            </w:pPr>
            <w:r>
              <w:rPr>
                <w:rFonts w:ascii="Arial" w:cs="Arial" w:eastAsia="Arial" w:hAnsi="Arial"/>
                <w:sz w:val="15"/>
                <w:szCs w:val="15"/>
                <w:color w:val="auto"/>
              </w:rPr>
              <w:t>2,442,352</w:t>
            </w:r>
          </w:p>
        </w:tc>
        <w:tc>
          <w:tcPr>
            <w:tcW w:w="360" w:type="dxa"/>
            <w:vAlign w:val="bottom"/>
          </w:tcPr>
          <w:p>
            <w:pPr>
              <w:spacing w:after="0"/>
              <w:rPr>
                <w:sz w:val="17"/>
                <w:szCs w:val="17"/>
                <w:color w:val="auto"/>
              </w:rPr>
            </w:pPr>
          </w:p>
        </w:tc>
        <w:tc>
          <w:tcPr>
            <w:tcW w:w="1300" w:type="dxa"/>
            <w:vAlign w:val="bottom"/>
          </w:tcPr>
          <w:p>
            <w:pPr>
              <w:jc w:val="right"/>
              <w:ind w:right="343"/>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1889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 Less than 1%</w:t>
      </w:r>
    </w:p>
    <w:p>
      <w:pPr>
        <w:spacing w:after="0" w:line="21" w:lineRule="exact"/>
        <w:rPr>
          <w:sz w:val="20"/>
          <w:szCs w:val="20"/>
          <w:color w:val="auto"/>
        </w:rPr>
      </w:pPr>
    </w:p>
    <w:p>
      <w:pPr>
        <w:ind w:left="460" w:right="20" w:hanging="457"/>
        <w:spacing w:after="0" w:line="256"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92" w:lineRule="exact"/>
        <w:rPr>
          <w:rFonts w:ascii="Arial" w:cs="Arial" w:eastAsia="Arial" w:hAnsi="Arial"/>
          <w:sz w:val="17"/>
          <w:szCs w:val="17"/>
          <w:color w:val="auto"/>
        </w:rPr>
      </w:pPr>
    </w:p>
    <w:p>
      <w:pPr>
        <w:ind w:left="460" w:right="60" w:hanging="457"/>
        <w:spacing w:after="0" w:line="295"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include the following shares of Common Stock that may be acquired upon exercise of stock options awarded under our Incentive Plan: Mr. Barnett – 113,536 shares; Mr. Bowman – 4,897 shares; Mr. Clarke – 106,995 shares; Mr. Devlin – 14,699 shares; Mr. Ellen – 2,161 shares; Mr. Graass – 38,184 shares; Mr. Hirsch – 126,730 shares; Mr. Kesler – 27,830 shares; Mr. Nicolais – 31,470 shares; Mr. Powers – 11,598 shares; Mr. Quinn – 30,058 shares; Mr. Rowley – 147,273 shares; and Mr. Richard Stewart – 13,049 shares; and all directors and executive officers of the Company as a group (15 persons) – 668,480 shares. In addition, this table includes shares of Common Stock that are held for the account of participants as of May 15, 2014, pursuant to the Common Stock fund of the PSRP, as follows: Mr. Devlin – 1,635 shares; Mr. Graass – 769 shares; Mr. Kesler – 1,436 shares; Mr. Powers – 1,455 shares; Mr. Rowley – 2,294 shares; and all directors and executive officers of the Company as a group (15 persons) – 7,589 shares. These amounts do not include the RSUs previously granted to the non-employee directors (including dividend equivalent units accrued since the date of grant) disclosed in the table on page 11 of this proxy statement.</w:t>
      </w:r>
    </w:p>
    <w:p>
      <w:pPr>
        <w:spacing w:after="0" w:line="68" w:lineRule="exact"/>
        <w:rPr>
          <w:rFonts w:ascii="Arial" w:cs="Arial" w:eastAsia="Arial" w:hAnsi="Arial"/>
          <w:sz w:val="15"/>
          <w:szCs w:val="15"/>
          <w:color w:val="auto"/>
        </w:rPr>
      </w:pPr>
    </w:p>
    <w:p>
      <w:pPr>
        <w:ind w:left="460" w:hanging="457"/>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38,111 shares pledged as collateral for a loan. Also includes 805 shares of Common Stock owned by Mr. Clarke’s wife.</w:t>
      </w:r>
    </w:p>
    <w:p>
      <w:pPr>
        <w:spacing w:after="0" w:line="126" w:lineRule="exact"/>
        <w:rPr>
          <w:rFonts w:ascii="Arial" w:cs="Arial" w:eastAsia="Arial" w:hAnsi="Arial"/>
          <w:sz w:val="17"/>
          <w:szCs w:val="17"/>
          <w:color w:val="auto"/>
        </w:rPr>
      </w:pPr>
    </w:p>
    <w:p>
      <w:pPr>
        <w:ind w:left="460" w:hanging="457"/>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1,200 shares of Common Stock held in Mr. Devlin’s IRA.</w:t>
      </w:r>
    </w:p>
    <w:p>
      <w:pPr>
        <w:spacing w:after="0" w:line="126" w:lineRule="exact"/>
        <w:rPr>
          <w:rFonts w:ascii="Arial" w:cs="Arial" w:eastAsia="Arial" w:hAnsi="Arial"/>
          <w:sz w:val="17"/>
          <w:szCs w:val="17"/>
          <w:color w:val="auto"/>
        </w:rPr>
      </w:pPr>
    </w:p>
    <w:p>
      <w:pPr>
        <w:ind w:left="460" w:right="600" w:hanging="457"/>
        <w:spacing w:after="0" w:line="279"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2,000 shares of Common Stock representing the remaining unvested shares under a restricted stock award originally made to the executive on August 21, 2009.</w:t>
      </w:r>
    </w:p>
    <w:p>
      <w:pPr>
        <w:spacing w:after="0" w:line="73" w:lineRule="exact"/>
        <w:rPr>
          <w:rFonts w:ascii="Arial" w:cs="Arial" w:eastAsia="Arial" w:hAnsi="Arial"/>
          <w:sz w:val="17"/>
          <w:szCs w:val="17"/>
          <w:color w:val="auto"/>
        </w:rPr>
      </w:pPr>
    </w:p>
    <w:p>
      <w:pPr>
        <w:ind w:left="460" w:hanging="457"/>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7,000 shares of Common Stock held in trust for Mr. Essl’s son.</w:t>
      </w:r>
    </w:p>
    <w:p>
      <w:pPr>
        <w:sectPr>
          <w:pgSz w:w="11900" w:h="16838" w:orient="portrait"/>
          <w:cols w:equalWidth="0" w:num="1">
            <w:col w:w="11420"/>
          </w:cols>
          <w:pgMar w:left="240" w:top="444"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44" w:right="239"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543 shares of Common Stock held in Mr. Graass’s IRA.</w:t>
      </w:r>
    </w:p>
    <w:p>
      <w:pPr>
        <w:spacing w:after="0" w:line="126" w:lineRule="exact"/>
        <w:rPr>
          <w:rFonts w:ascii="Arial" w:cs="Arial" w:eastAsia="Arial" w:hAnsi="Arial"/>
          <w:sz w:val="17"/>
          <w:szCs w:val="17"/>
          <w:color w:val="auto"/>
        </w:rPr>
      </w:pPr>
    </w:p>
    <w:p>
      <w:pPr>
        <w:ind w:left="460" w:right="140" w:hanging="457"/>
        <w:spacing w:after="0" w:line="266"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5,173 shares of Common Stock owned by Hirsch Family Partnership No. 1, Ltd.; and 5,173 shares of Common Stock owned by Hirsch Family Partnership No. 2, Ltd., with respect to which Mr. Hirsch disclaims beneficial ownership. Also includes 868 shares of restricted stock that do not have voting rights while restricted.</w:t>
      </w:r>
    </w:p>
    <w:p>
      <w:pPr>
        <w:spacing w:after="0" w:line="84" w:lineRule="exact"/>
        <w:rPr>
          <w:rFonts w:ascii="Arial" w:cs="Arial" w:eastAsia="Arial" w:hAnsi="Arial"/>
          <w:sz w:val="17"/>
          <w:szCs w:val="17"/>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Also includes 160 shares of Common Stock held in Mr. Kesler’s IRA.</w:t>
      </w:r>
    </w:p>
    <w:p>
      <w:pPr>
        <w:spacing w:after="0" w:line="126" w:lineRule="exact"/>
        <w:rPr>
          <w:rFonts w:ascii="Arial" w:cs="Arial" w:eastAsia="Arial" w:hAnsi="Arial"/>
          <w:sz w:val="17"/>
          <w:szCs w:val="17"/>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(a) 1,386 shares of Common Stock owned by Mr. Nicolais’s wife; (b) 1,550 shares of Common Stock owned by the profit sharing plan of</w:t>
      </w:r>
    </w:p>
    <w:p>
      <w:pPr>
        <w:spacing w:after="0" w:line="21" w:lineRule="exact"/>
        <w:rPr>
          <w:rFonts w:ascii="Arial" w:cs="Arial" w:eastAsia="Arial" w:hAnsi="Arial"/>
          <w:sz w:val="17"/>
          <w:szCs w:val="17"/>
          <w:color w:val="auto"/>
        </w:rPr>
      </w:pPr>
    </w:p>
    <w:p>
      <w:pPr>
        <w:ind w:left="460" w:right="100"/>
        <w:spacing w:after="0" w:line="259" w:lineRule="auto"/>
        <w:rPr>
          <w:rFonts w:ascii="Arial" w:cs="Arial" w:eastAsia="Arial" w:hAnsi="Arial"/>
          <w:sz w:val="17"/>
          <w:szCs w:val="17"/>
          <w:color w:val="auto"/>
        </w:rPr>
      </w:pPr>
      <w:r>
        <w:rPr>
          <w:rFonts w:ascii="Arial" w:cs="Arial" w:eastAsia="Arial" w:hAnsi="Arial"/>
          <w:sz w:val="17"/>
          <w:szCs w:val="17"/>
          <w:color w:val="auto"/>
        </w:rPr>
        <w:t>Mr. Nicolais’s employer; (c) 3,500 shares of Common Stock held in Mr. Nicolais’s IRA; (d) 555 shares of Common Stock held in trust (Mr. Nicolais’s wife is trustee) for their daughter; and (e) 555 shares of Common Stock held in trust (Mr. Nicolais’s wife is trustee) for their son. Mr. Nicolais has disclaimed beneficial ownership of the shares of Common Stock held in trust.</w:t>
      </w:r>
    </w:p>
    <w:p>
      <w:pPr>
        <w:spacing w:after="0" w:line="90" w:lineRule="exact"/>
        <w:rPr>
          <w:rFonts w:ascii="Arial" w:cs="Arial" w:eastAsia="Arial" w:hAnsi="Arial"/>
          <w:sz w:val="17"/>
          <w:szCs w:val="17"/>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1,929 shares held in Mr. Rowley’s IRA.</w:t>
      </w:r>
    </w:p>
    <w:p>
      <w:pPr>
        <w:spacing w:after="0" w:line="126" w:lineRule="exact"/>
        <w:rPr>
          <w:rFonts w:ascii="Arial" w:cs="Arial" w:eastAsia="Arial" w:hAnsi="Arial"/>
          <w:sz w:val="17"/>
          <w:szCs w:val="17"/>
          <w:color w:val="auto"/>
        </w:rPr>
      </w:pPr>
    </w:p>
    <w:p>
      <w:pPr>
        <w:ind w:left="460" w:hanging="457"/>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7,000 shares owned by Stewart Family Trust.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Beneficial Owners</w:t>
      </w:r>
    </w:p>
    <w:p>
      <w:pPr>
        <w:spacing w:after="0" w:line="197"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9, 2014, the record date for our annual meeting of stockholders.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060" w:type="dxa"/>
            <w:vAlign w:val="bottom"/>
            <w:gridSpan w:val="2"/>
          </w:tcPr>
          <w:p>
            <w:pPr>
              <w:ind w:left="1200"/>
              <w:spacing w:after="0"/>
              <w:rPr>
                <w:sz w:val="20"/>
                <w:szCs w:val="20"/>
                <w:color w:val="auto"/>
              </w:rPr>
            </w:pPr>
            <w:r>
              <w:rPr>
                <w:rFonts w:ascii="Arial" w:cs="Arial" w:eastAsia="Arial" w:hAnsi="Arial"/>
                <w:sz w:val="15"/>
                <w:szCs w:val="15"/>
                <w:b w:val="1"/>
                <w:bCs w:val="1"/>
                <w:color w:val="auto"/>
              </w:rPr>
              <w:t>Name and Address</w:t>
            </w:r>
          </w:p>
        </w:tc>
        <w:tc>
          <w:tcPr>
            <w:tcW w:w="24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2"/>
              </w:rPr>
              <w:t>Number of Shares</w:t>
            </w:r>
          </w:p>
        </w:tc>
        <w:tc>
          <w:tcPr>
            <w:tcW w:w="1380" w:type="dxa"/>
            <w:vAlign w:val="bottom"/>
          </w:tcPr>
          <w:p>
            <w:pPr>
              <w:jc w:val="right"/>
              <w:ind w:right="163"/>
              <w:spacing w:after="0"/>
              <w:rPr>
                <w:sz w:val="20"/>
                <w:szCs w:val="20"/>
                <w:color w:val="auto"/>
              </w:rPr>
            </w:pPr>
            <w:r>
              <w:rPr>
                <w:rFonts w:ascii="Arial" w:cs="Arial" w:eastAsia="Arial" w:hAnsi="Arial"/>
                <w:sz w:val="15"/>
                <w:szCs w:val="15"/>
                <w:b w:val="1"/>
                <w:bCs w:val="1"/>
                <w:color w:val="auto"/>
              </w:rPr>
              <w:t>Percentage of</w:t>
            </w:r>
          </w:p>
        </w:tc>
      </w:tr>
      <w:tr>
        <w:trPr>
          <w:trHeight w:val="217"/>
        </w:trPr>
        <w:tc>
          <w:tcPr>
            <w:tcW w:w="20" w:type="dxa"/>
            <w:vAlign w:val="bottom"/>
          </w:tcPr>
          <w:p>
            <w:pPr>
              <w:spacing w:after="0"/>
              <w:rPr>
                <w:sz w:val="18"/>
                <w:szCs w:val="18"/>
                <w:color w:val="auto"/>
              </w:rPr>
            </w:pPr>
          </w:p>
        </w:tc>
        <w:tc>
          <w:tcPr>
            <w:tcW w:w="4060" w:type="dxa"/>
            <w:vAlign w:val="bottom"/>
            <w:gridSpan w:val="2"/>
          </w:tcPr>
          <w:p>
            <w:pPr>
              <w:ind w:left="1160"/>
              <w:spacing w:after="0"/>
              <w:rPr>
                <w:sz w:val="20"/>
                <w:szCs w:val="20"/>
                <w:color w:val="auto"/>
              </w:rPr>
            </w:pPr>
            <w:r>
              <w:rPr>
                <w:rFonts w:ascii="Arial" w:cs="Arial" w:eastAsia="Arial" w:hAnsi="Arial"/>
                <w:sz w:val="15"/>
                <w:szCs w:val="15"/>
                <w:b w:val="1"/>
                <w:bCs w:val="1"/>
                <w:color w:val="auto"/>
              </w:rPr>
              <w:t>of Beneficial Owner</w:t>
            </w:r>
          </w:p>
        </w:tc>
        <w:tc>
          <w:tcPr>
            <w:tcW w:w="24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3"/>
              </w:rPr>
              <w:t>Beneficially Owned</w:t>
            </w:r>
          </w:p>
        </w:tc>
        <w:tc>
          <w:tcPr>
            <w:tcW w:w="1380" w:type="dxa"/>
            <w:vAlign w:val="bottom"/>
          </w:tcPr>
          <w:p>
            <w:pPr>
              <w:jc w:val="right"/>
              <w:ind w:right="103"/>
              <w:spacing w:after="0"/>
              <w:rPr>
                <w:sz w:val="20"/>
                <w:szCs w:val="20"/>
                <w:color w:val="auto"/>
              </w:rPr>
            </w:pPr>
            <w:r>
              <w:rPr>
                <w:rFonts w:ascii="Arial" w:cs="Arial" w:eastAsia="Arial" w:hAnsi="Arial"/>
                <w:sz w:val="15"/>
                <w:szCs w:val="15"/>
                <w:b w:val="1"/>
                <w:bCs w:val="1"/>
                <w:color w:val="auto"/>
              </w:rPr>
              <w:t>Common Stock</w:t>
            </w:r>
          </w:p>
        </w:tc>
      </w:tr>
      <w:tr>
        <w:trPr>
          <w:trHeight w:val="181"/>
        </w:trPr>
        <w:tc>
          <w:tcPr>
            <w:tcW w:w="20" w:type="dxa"/>
            <w:vAlign w:val="bottom"/>
          </w:tcPr>
          <w:p>
            <w:pPr>
              <w:spacing w:after="0"/>
              <w:rPr>
                <w:sz w:val="15"/>
                <w:szCs w:val="15"/>
                <w:color w:val="auto"/>
              </w:rPr>
            </w:pPr>
          </w:p>
        </w:tc>
        <w:tc>
          <w:tcPr>
            <w:tcW w:w="3680" w:type="dxa"/>
            <w:vAlign w:val="bottom"/>
            <w:tcBorders>
              <w:top w:val="single" w:sz="8" w:color="auto"/>
            </w:tcBorders>
          </w:tcPr>
          <w:p>
            <w:pPr>
              <w:spacing w:after="0" w:line="181" w:lineRule="exact"/>
              <w:rPr>
                <w:sz w:val="20"/>
                <w:szCs w:val="20"/>
                <w:color w:val="auto"/>
              </w:rPr>
            </w:pPr>
            <w:r>
              <w:rPr>
                <w:rFonts w:ascii="Arial" w:cs="Arial" w:eastAsia="Arial" w:hAnsi="Arial"/>
                <w:sz w:val="13"/>
                <w:szCs w:val="13"/>
                <w:color w:val="auto"/>
              </w:rPr>
              <w:t xml:space="preserve">FMR LLC </w:t>
            </w:r>
            <w:r>
              <w:rPr>
                <w:rFonts w:ascii="Arial" w:cs="Arial" w:eastAsia="Arial" w:hAnsi="Arial"/>
                <w:sz w:val="20"/>
                <w:szCs w:val="20"/>
                <w:color w:val="auto"/>
                <w:vertAlign w:val="superscript"/>
              </w:rPr>
              <w:t>(1)</w:t>
            </w:r>
          </w:p>
        </w:tc>
        <w:tc>
          <w:tcPr>
            <w:tcW w:w="38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245 Summer Street</w:t>
            </w:r>
          </w:p>
        </w:tc>
        <w:tc>
          <w:tcPr>
            <w:tcW w:w="2040" w:type="dxa"/>
            <w:vAlign w:val="bottom"/>
          </w:tcPr>
          <w:p>
            <w:pPr>
              <w:jc w:val="center"/>
              <w:spacing w:after="0"/>
              <w:rPr>
                <w:sz w:val="20"/>
                <w:szCs w:val="20"/>
                <w:color w:val="auto"/>
              </w:rPr>
            </w:pPr>
            <w:r>
              <w:rPr>
                <w:rFonts w:ascii="Arial" w:cs="Arial" w:eastAsia="Arial" w:hAnsi="Arial"/>
                <w:sz w:val="15"/>
                <w:szCs w:val="15"/>
                <w:color w:val="auto"/>
                <w:w w:val="92"/>
              </w:rPr>
              <w:t>3,646,048</w:t>
            </w:r>
          </w:p>
        </w:tc>
        <w:tc>
          <w:tcPr>
            <w:tcW w:w="360" w:type="dxa"/>
            <w:vAlign w:val="bottom"/>
          </w:tcPr>
          <w:p>
            <w:pPr>
              <w:spacing w:after="0"/>
              <w:rPr>
                <w:sz w:val="16"/>
                <w:szCs w:val="16"/>
                <w:color w:val="auto"/>
              </w:rPr>
            </w:pPr>
          </w:p>
        </w:tc>
        <w:tc>
          <w:tcPr>
            <w:tcW w:w="1380" w:type="dxa"/>
            <w:vAlign w:val="bottom"/>
          </w:tcPr>
          <w:p>
            <w:pPr>
              <w:jc w:val="right"/>
              <w:ind w:right="363"/>
              <w:spacing w:after="0"/>
              <w:rPr>
                <w:sz w:val="20"/>
                <w:szCs w:val="20"/>
                <w:color w:val="auto"/>
              </w:rPr>
            </w:pPr>
            <w:r>
              <w:rPr>
                <w:rFonts w:ascii="Arial" w:cs="Arial" w:eastAsia="Arial" w:hAnsi="Arial"/>
                <w:sz w:val="15"/>
                <w:szCs w:val="15"/>
                <w:color w:val="auto"/>
              </w:rPr>
              <w:t>7.3%</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Boston, MA 02210</w:t>
            </w: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91"/>
        </w:trPr>
        <w:tc>
          <w:tcPr>
            <w:tcW w:w="4080" w:type="dxa"/>
            <w:vAlign w:val="bottom"/>
            <w:gridSpan w:val="3"/>
          </w:tcPr>
          <w:p>
            <w:pPr>
              <w:spacing w:after="0" w:line="291"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6"/>
                <w:szCs w:val="26"/>
                <w:color w:val="auto"/>
                <w:vertAlign w:val="superscript"/>
              </w:rPr>
              <w:t>(2)</w:t>
            </w: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line="197" w:lineRule="exact"/>
              <w:rPr>
                <w:sz w:val="20"/>
                <w:szCs w:val="20"/>
                <w:color w:val="auto"/>
              </w:rPr>
            </w:pPr>
            <w:r>
              <w:rPr>
                <w:rFonts w:ascii="Arial" w:cs="Arial" w:eastAsia="Arial" w:hAnsi="Arial"/>
                <w:sz w:val="14"/>
                <w:szCs w:val="14"/>
                <w:color w:val="auto"/>
              </w:rPr>
              <w:t>40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2040" w:type="dxa"/>
            <w:vAlign w:val="bottom"/>
          </w:tcPr>
          <w:p>
            <w:pPr>
              <w:jc w:val="center"/>
              <w:spacing w:after="0"/>
              <w:rPr>
                <w:sz w:val="20"/>
                <w:szCs w:val="20"/>
                <w:color w:val="auto"/>
              </w:rPr>
            </w:pPr>
            <w:r>
              <w:rPr>
                <w:rFonts w:ascii="Arial" w:cs="Arial" w:eastAsia="Arial" w:hAnsi="Arial"/>
                <w:sz w:val="15"/>
                <w:szCs w:val="15"/>
                <w:color w:val="auto"/>
                <w:w w:val="92"/>
              </w:rPr>
              <w:t>3,363,042</w:t>
            </w:r>
          </w:p>
        </w:tc>
        <w:tc>
          <w:tcPr>
            <w:tcW w:w="360" w:type="dxa"/>
            <w:vAlign w:val="bottom"/>
          </w:tcPr>
          <w:p>
            <w:pPr>
              <w:spacing w:after="0"/>
              <w:rPr>
                <w:sz w:val="17"/>
                <w:szCs w:val="17"/>
                <w:color w:val="auto"/>
              </w:rPr>
            </w:pPr>
          </w:p>
        </w:tc>
        <w:tc>
          <w:tcPr>
            <w:tcW w:w="1380" w:type="dxa"/>
            <w:vAlign w:val="bottom"/>
          </w:tcPr>
          <w:p>
            <w:pPr>
              <w:jc w:val="right"/>
              <w:ind w:right="363"/>
              <w:spacing w:after="0"/>
              <w:rPr>
                <w:sz w:val="20"/>
                <w:szCs w:val="20"/>
                <w:color w:val="auto"/>
              </w:rPr>
            </w:pPr>
            <w:r>
              <w:rPr>
                <w:rFonts w:ascii="Arial" w:cs="Arial" w:eastAsia="Arial" w:hAnsi="Arial"/>
                <w:sz w:val="15"/>
                <w:szCs w:val="15"/>
                <w:color w:val="auto"/>
              </w:rPr>
              <w:t>6.7%</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New York, NY 10022</w:t>
            </w: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91"/>
        </w:trPr>
        <w:tc>
          <w:tcPr>
            <w:tcW w:w="4080" w:type="dxa"/>
            <w:vAlign w:val="bottom"/>
            <w:gridSpan w:val="3"/>
          </w:tcPr>
          <w:p>
            <w:pPr>
              <w:spacing w:after="0" w:line="291" w:lineRule="exact"/>
              <w:rPr>
                <w:sz w:val="20"/>
                <w:szCs w:val="20"/>
                <w:color w:val="auto"/>
              </w:rPr>
            </w:pPr>
            <w:r>
              <w:rPr>
                <w:rFonts w:ascii="Arial" w:cs="Arial" w:eastAsia="Arial" w:hAnsi="Arial"/>
                <w:sz w:val="15"/>
                <w:szCs w:val="15"/>
                <w:color w:val="auto"/>
              </w:rPr>
              <w:t xml:space="preserve">Marketfield Asset Management LLC </w:t>
            </w:r>
            <w:r>
              <w:rPr>
                <w:rFonts w:ascii="Arial" w:cs="Arial" w:eastAsia="Arial" w:hAnsi="Arial"/>
                <w:sz w:val="26"/>
                <w:szCs w:val="26"/>
                <w:color w:val="auto"/>
                <w:vertAlign w:val="superscript"/>
              </w:rPr>
              <w:t>(3)</w:t>
            </w: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line="197" w:lineRule="exact"/>
              <w:rPr>
                <w:sz w:val="20"/>
                <w:szCs w:val="20"/>
                <w:color w:val="auto"/>
              </w:rPr>
            </w:pPr>
            <w:r>
              <w:rPr>
                <w:rFonts w:ascii="Arial" w:cs="Arial" w:eastAsia="Arial" w:hAnsi="Arial"/>
                <w:sz w:val="14"/>
                <w:szCs w:val="14"/>
                <w:color w:val="auto"/>
              </w:rPr>
              <w:t>292 Madison Avenue, 14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040" w:type="dxa"/>
            <w:vAlign w:val="bottom"/>
          </w:tcPr>
          <w:p>
            <w:pPr>
              <w:jc w:val="center"/>
              <w:spacing w:after="0"/>
              <w:rPr>
                <w:sz w:val="20"/>
                <w:szCs w:val="20"/>
                <w:color w:val="auto"/>
              </w:rPr>
            </w:pPr>
            <w:r>
              <w:rPr>
                <w:rFonts w:ascii="Arial" w:cs="Arial" w:eastAsia="Arial" w:hAnsi="Arial"/>
                <w:sz w:val="15"/>
                <w:szCs w:val="15"/>
                <w:color w:val="auto"/>
                <w:w w:val="92"/>
              </w:rPr>
              <w:t>2,760,597</w:t>
            </w:r>
          </w:p>
        </w:tc>
        <w:tc>
          <w:tcPr>
            <w:tcW w:w="360" w:type="dxa"/>
            <w:vAlign w:val="bottom"/>
          </w:tcPr>
          <w:p>
            <w:pPr>
              <w:spacing w:after="0"/>
              <w:rPr>
                <w:sz w:val="17"/>
                <w:szCs w:val="17"/>
                <w:color w:val="auto"/>
              </w:rPr>
            </w:pPr>
          </w:p>
        </w:tc>
        <w:tc>
          <w:tcPr>
            <w:tcW w:w="1380" w:type="dxa"/>
            <w:vAlign w:val="bottom"/>
          </w:tcPr>
          <w:p>
            <w:pPr>
              <w:jc w:val="right"/>
              <w:ind w:right="363"/>
              <w:spacing w:after="0"/>
              <w:rPr>
                <w:sz w:val="20"/>
                <w:szCs w:val="20"/>
                <w:color w:val="auto"/>
              </w:rPr>
            </w:pPr>
            <w:r>
              <w:rPr>
                <w:rFonts w:ascii="Arial" w:cs="Arial" w:eastAsia="Arial" w:hAnsi="Arial"/>
                <w:sz w:val="15"/>
                <w:szCs w:val="15"/>
                <w:color w:val="auto"/>
              </w:rPr>
              <w:t>5.5%</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New York, NY 10017</w:t>
            </w: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94"/>
        </w:trPr>
        <w:tc>
          <w:tcPr>
            <w:tcW w:w="4080" w:type="dxa"/>
            <w:vAlign w:val="bottom"/>
            <w:gridSpan w:val="3"/>
          </w:tcPr>
          <w:p>
            <w:pPr>
              <w:spacing w:after="0" w:line="293" w:lineRule="exact"/>
              <w:rPr>
                <w:sz w:val="20"/>
                <w:szCs w:val="20"/>
                <w:color w:val="auto"/>
              </w:rPr>
            </w:pPr>
            <w:r>
              <w:rPr>
                <w:rFonts w:ascii="Arial" w:cs="Arial" w:eastAsia="Arial" w:hAnsi="Arial"/>
                <w:sz w:val="15"/>
                <w:szCs w:val="15"/>
                <w:color w:val="auto"/>
              </w:rPr>
              <w:t xml:space="preserve">The Vanguard Group </w:t>
            </w:r>
            <w:r>
              <w:rPr>
                <w:rFonts w:ascii="Arial" w:cs="Arial" w:eastAsia="Arial" w:hAnsi="Arial"/>
                <w:sz w:val="26"/>
                <w:szCs w:val="26"/>
                <w:color w:val="auto"/>
                <w:vertAlign w:val="superscript"/>
              </w:rPr>
              <w:t>(4)</w:t>
            </w: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100 Vanguard Blvd.</w:t>
            </w:r>
          </w:p>
        </w:tc>
        <w:tc>
          <w:tcPr>
            <w:tcW w:w="2040" w:type="dxa"/>
            <w:vAlign w:val="bottom"/>
          </w:tcPr>
          <w:p>
            <w:pPr>
              <w:jc w:val="center"/>
              <w:spacing w:after="0"/>
              <w:rPr>
                <w:sz w:val="20"/>
                <w:szCs w:val="20"/>
                <w:color w:val="auto"/>
              </w:rPr>
            </w:pPr>
            <w:r>
              <w:rPr>
                <w:rFonts w:ascii="Arial" w:cs="Arial" w:eastAsia="Arial" w:hAnsi="Arial"/>
                <w:sz w:val="15"/>
                <w:szCs w:val="15"/>
                <w:color w:val="auto"/>
                <w:w w:val="92"/>
              </w:rPr>
              <w:t>2,599,605</w:t>
            </w:r>
          </w:p>
        </w:tc>
        <w:tc>
          <w:tcPr>
            <w:tcW w:w="360" w:type="dxa"/>
            <w:vAlign w:val="bottom"/>
          </w:tcPr>
          <w:p>
            <w:pPr>
              <w:spacing w:after="0"/>
              <w:rPr>
                <w:sz w:val="16"/>
                <w:szCs w:val="16"/>
                <w:color w:val="auto"/>
              </w:rPr>
            </w:pPr>
          </w:p>
        </w:tc>
        <w:tc>
          <w:tcPr>
            <w:tcW w:w="1380" w:type="dxa"/>
            <w:vAlign w:val="bottom"/>
          </w:tcPr>
          <w:p>
            <w:pPr>
              <w:jc w:val="right"/>
              <w:ind w:right="363"/>
              <w:spacing w:after="0"/>
              <w:rPr>
                <w:sz w:val="20"/>
                <w:szCs w:val="20"/>
                <w:color w:val="auto"/>
              </w:rPr>
            </w:pPr>
            <w:r>
              <w:rPr>
                <w:rFonts w:ascii="Arial" w:cs="Arial" w:eastAsia="Arial" w:hAnsi="Arial"/>
                <w:sz w:val="15"/>
                <w:szCs w:val="15"/>
                <w:color w:val="auto"/>
              </w:rPr>
              <w:t>5.2%</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80"/>
              <w:spacing w:after="0"/>
              <w:rPr>
                <w:sz w:val="20"/>
                <w:szCs w:val="20"/>
                <w:color w:val="auto"/>
              </w:rPr>
            </w:pPr>
            <w:r>
              <w:rPr>
                <w:rFonts w:ascii="Arial" w:cs="Arial" w:eastAsia="Arial" w:hAnsi="Arial"/>
                <w:sz w:val="15"/>
                <w:szCs w:val="15"/>
                <w:color w:val="auto"/>
              </w:rPr>
              <w:t>Malvern, PA 19355</w:t>
            </w: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1889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372" w:lineRule="exact"/>
        <w:rPr>
          <w:sz w:val="20"/>
          <w:szCs w:val="20"/>
          <w:color w:val="auto"/>
        </w:rPr>
      </w:pPr>
    </w:p>
    <w:p>
      <w:pPr>
        <w:ind w:left="460" w:right="20" w:hanging="457"/>
        <w:spacing w:after="0" w:line="279"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 filed with the SEC on February 14, 2014. Of the shares reported in the Schedule 13G, FMR LLC has sole voting power with respect to 699,885 shares and sole dispositive power with respect to 3,646,048 shares.</w:t>
      </w:r>
    </w:p>
    <w:p>
      <w:pPr>
        <w:spacing w:after="0" w:line="73" w:lineRule="exact"/>
        <w:rPr>
          <w:rFonts w:ascii="Arial" w:cs="Arial" w:eastAsia="Arial" w:hAnsi="Arial"/>
          <w:sz w:val="17"/>
          <w:szCs w:val="17"/>
          <w:color w:val="auto"/>
        </w:rPr>
      </w:pPr>
    </w:p>
    <w:p>
      <w:pPr>
        <w:ind w:left="460" w:right="540" w:hanging="457"/>
        <w:spacing w:after="0" w:line="31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January 29, 2014. Of the shares reported in the Schedule 13G/A, BlackRock, Inc. has sole voting power with respect to 3,186,597 shares and sole dispositive power with respect to 3,363,042 shares.</w:t>
      </w:r>
    </w:p>
    <w:p>
      <w:pPr>
        <w:spacing w:after="0" w:line="51" w:lineRule="exact"/>
        <w:rPr>
          <w:rFonts w:ascii="Arial" w:cs="Arial" w:eastAsia="Arial" w:hAnsi="Arial"/>
          <w:sz w:val="16"/>
          <w:szCs w:val="16"/>
          <w:color w:val="auto"/>
        </w:rPr>
      </w:pPr>
    </w:p>
    <w:p>
      <w:pPr>
        <w:ind w:left="460" w:right="620" w:hanging="457"/>
        <w:spacing w:after="0" w:line="26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 filed with the SEC on February 14, 2014. Of the shares reported in the Schedule 13G, Marketfield Asset Management LLC has (i) sole voting power and dispositive with respect to 108,482 shares; and (ii) shared voting power and shared dispositive power with respect to 2,652,115 shares.</w:t>
      </w:r>
    </w:p>
    <w:p>
      <w:pPr>
        <w:spacing w:after="0" w:line="84" w:lineRule="exact"/>
        <w:rPr>
          <w:rFonts w:ascii="Arial" w:cs="Arial" w:eastAsia="Arial" w:hAnsi="Arial"/>
          <w:sz w:val="17"/>
          <w:szCs w:val="17"/>
          <w:color w:val="auto"/>
        </w:rPr>
      </w:pPr>
    </w:p>
    <w:p>
      <w:pPr>
        <w:ind w:left="460" w:right="140" w:hanging="457"/>
        <w:spacing w:after="0" w:line="26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13G/A filed with the SEC on February 14, 2014. Of the shares reported in the Schedule 13G/A, The Vanguard Group has (i) sole voting power with respect to 30,979 shares; (ii) sole dispositive power with respect to 2,571,726 shares; and (iii) shared dispositive power with respect to 27,879 shares.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40" w:top="444" w:right="2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97" w:lineRule="exact"/>
        <w:rPr>
          <w:sz w:val="20"/>
          <w:szCs w:val="20"/>
          <w:color w:val="auto"/>
        </w:rPr>
      </w:pPr>
    </w:p>
    <w:p>
      <w:pPr>
        <w:ind w:firstLine="799"/>
        <w:spacing w:after="0" w:line="261" w:lineRule="auto"/>
        <w:rPr>
          <w:sz w:val="20"/>
          <w:szCs w:val="20"/>
          <w:color w:val="auto"/>
        </w:rPr>
      </w:pPr>
      <w:r>
        <w:rPr>
          <w:rFonts w:ascii="Arial" w:cs="Arial" w:eastAsia="Arial" w:hAnsi="Arial"/>
          <w:sz w:val="17"/>
          <w:szCs w:val="17"/>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41" w:lineRule="exact"/>
        <w:rPr>
          <w:sz w:val="20"/>
          <w:szCs w:val="20"/>
          <w:color w:val="auto"/>
        </w:rPr>
      </w:pPr>
    </w:p>
    <w:p>
      <w:pPr>
        <w:ind w:right="20" w:firstLine="799"/>
        <w:spacing w:after="0" w:line="277"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30" w:lineRule="exact"/>
        <w:rPr>
          <w:sz w:val="20"/>
          <w:szCs w:val="20"/>
          <w:color w:val="auto"/>
        </w:rPr>
      </w:pPr>
    </w:p>
    <w:p>
      <w:pPr>
        <w:ind w:right="80" w:firstLine="799"/>
        <w:spacing w:after="0" w:line="272"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84"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19" w:lineRule="exact"/>
        <w:rPr>
          <w:sz w:val="20"/>
          <w:szCs w:val="20"/>
          <w:color w:val="auto"/>
        </w:rPr>
      </w:pPr>
    </w:p>
    <w:p>
      <w:pPr>
        <w:ind w:right="140" w:firstLine="799"/>
        <w:spacing w:after="0" w:line="259" w:lineRule="auto"/>
        <w:rPr>
          <w:sz w:val="20"/>
          <w:szCs w:val="20"/>
          <w:color w:val="auto"/>
        </w:rPr>
      </w:pPr>
      <w:r>
        <w:rPr>
          <w:rFonts w:ascii="Arial" w:cs="Arial" w:eastAsia="Arial" w:hAnsi="Arial"/>
          <w:sz w:val="17"/>
          <w:szCs w:val="17"/>
          <w:color w:val="auto"/>
        </w:rPr>
        <w:t>Based solely on our review of the copies of such forms we received with respect to fiscal 2014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2014 applicable to such persons, except that Mr. Clarke filed a late Form 4 to report the purchase during fiscal 2014 of an aggregate of 5 shares of Common Stock pursuant to a broker-administered dividend reinvestment program associated with his wife’s IRAs that had inadvertently been omitted from prior filings.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4"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20"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35" w:lineRule="exact"/>
        <w:rPr>
          <w:sz w:val="20"/>
          <w:szCs w:val="20"/>
          <w:color w:val="auto"/>
        </w:rPr>
      </w:pPr>
    </w:p>
    <w:p>
      <w:pPr>
        <w:ind w:left="1120" w:hanging="319"/>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honest and ethical conduct, including the ethical handling of actual or apparent conflicts of interest between personal and professional relationships;</w:t>
      </w:r>
    </w:p>
    <w:p>
      <w:pPr>
        <w:spacing w:after="0" w:line="110" w:lineRule="exact"/>
        <w:rPr>
          <w:rFonts w:ascii="Arial" w:cs="Arial" w:eastAsia="Arial" w:hAnsi="Arial"/>
          <w:sz w:val="15"/>
          <w:szCs w:val="15"/>
          <w:color w:val="auto"/>
        </w:rPr>
      </w:pPr>
    </w:p>
    <w:p>
      <w:pPr>
        <w:ind w:left="1120" w:hanging="319"/>
        <w:spacing w:after="0"/>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compliance with applicable governmental laws, rules and regulations;</w:t>
      </w:r>
    </w:p>
    <w:p>
      <w:pPr>
        <w:spacing w:after="0" w:line="87" w:lineRule="exact"/>
        <w:rPr>
          <w:rFonts w:ascii="Arial" w:cs="Arial" w:eastAsia="Arial" w:hAnsi="Arial"/>
          <w:sz w:val="17"/>
          <w:szCs w:val="17"/>
          <w:color w:val="auto"/>
        </w:rPr>
      </w:pPr>
    </w:p>
    <w:p>
      <w:pPr>
        <w:ind w:left="1120" w:hanging="319"/>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99" w:lineRule="exact"/>
        <w:rPr>
          <w:rFonts w:ascii="Arial" w:cs="Arial" w:eastAsia="Arial" w:hAnsi="Arial"/>
          <w:sz w:val="16"/>
          <w:szCs w:val="16"/>
          <w:color w:val="auto"/>
        </w:rPr>
      </w:pPr>
    </w:p>
    <w:p>
      <w:pPr>
        <w:ind w:left="1120" w:hanging="319"/>
        <w:spacing w:after="0"/>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accountability for adherence to the code of conduct.</w:t>
      </w:r>
    </w:p>
    <w:p>
      <w:pPr>
        <w:spacing w:after="0" w:line="191" w:lineRule="exact"/>
        <w:rPr>
          <w:sz w:val="20"/>
          <w:szCs w:val="20"/>
          <w:color w:val="auto"/>
        </w:rPr>
      </w:pPr>
    </w:p>
    <w:p>
      <w:pPr>
        <w:ind w:right="100" w:firstLine="799"/>
        <w:spacing w:after="0" w:line="259" w:lineRule="auto"/>
        <w:rPr>
          <w:sz w:val="20"/>
          <w:szCs w:val="20"/>
          <w:color w:val="auto"/>
        </w:rPr>
      </w:pPr>
      <w:r>
        <w:rPr>
          <w:rFonts w:ascii="Arial" w:cs="Arial" w:eastAsia="Arial" w:hAnsi="Arial"/>
          <w:sz w:val="17"/>
          <w:szCs w:val="17"/>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40"/>
          </w:cols>
          <w:pgMar w:left="240" w:top="444" w:right="3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PROPOSAL NO. 2:  ADVISORY VOTE ON COMPENSATION OF OUR NAMED EXECUTIVE OFFICERS</w:t>
      </w:r>
    </w:p>
    <w:p>
      <w:pPr>
        <w:spacing w:after="0" w:line="197" w:lineRule="exact"/>
        <w:rPr>
          <w:sz w:val="20"/>
          <w:szCs w:val="20"/>
          <w:color w:val="auto"/>
        </w:rPr>
      </w:pPr>
    </w:p>
    <w:p>
      <w:pPr>
        <w:ind w:right="40" w:firstLine="799"/>
        <w:spacing w:after="0" w:line="311"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103"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We urge stockholders to read our “Compensation Discussion and Analysis” beginning on page 18 of this proxy statement, which describes in more detail how our executive compensation policies and programs operate.</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are seeking stockholder approval of the following advisory resolution:</w:t>
      </w:r>
    </w:p>
    <w:p>
      <w:pPr>
        <w:spacing w:after="0" w:line="185" w:lineRule="exact"/>
        <w:rPr>
          <w:sz w:val="20"/>
          <w:szCs w:val="20"/>
          <w:color w:val="auto"/>
        </w:rPr>
      </w:pPr>
    </w:p>
    <w:p>
      <w:pPr>
        <w:jc w:val="both"/>
        <w:ind w:left="1480" w:right="260" w:firstLine="384"/>
        <w:spacing w:after="0" w:line="264"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compensation paid to the Company’s named executive officers, as disclosed pursuant to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37" w:lineRule="exact"/>
        <w:rPr>
          <w:sz w:val="20"/>
          <w:szCs w:val="20"/>
          <w:color w:val="auto"/>
        </w:rPr>
      </w:pPr>
    </w:p>
    <w:p>
      <w:pPr>
        <w:ind w:right="80" w:firstLine="799"/>
        <w:spacing w:after="0" w:line="261" w:lineRule="auto"/>
        <w:rPr>
          <w:sz w:val="20"/>
          <w:szCs w:val="20"/>
          <w:color w:val="auto"/>
        </w:rPr>
      </w:pPr>
      <w:r>
        <w:rPr>
          <w:rFonts w:ascii="Arial" w:cs="Arial" w:eastAsia="Arial" w:hAnsi="Arial"/>
          <w:sz w:val="17"/>
          <w:szCs w:val="17"/>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191"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b w:val="1"/>
          <w:bCs w:val="1"/>
          <w:color w:val="auto"/>
        </w:rPr>
        <w:t>Our Board of Directors recommends that holders of Common Stock vote “for” the non-binding advisory resolution approving the compensation paid to our named executive officers.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40"/>
          </w:cols>
          <w:pgMar w:left="240" w:top="444" w:right="3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3:  APPROVAL OF EXPECTED APPOINTMENT OF INDEPENDENT AUDITORS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4"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Ernst &amp; Young acted as our independent auditors to audit our books and records for fiscal year 2014, and the Audit Committee expects to appoint Ernst &amp; Young as our independent auditors for fiscal year 2015 if its proposal for audit services is satisfactory.</w:t>
      </w:r>
    </w:p>
    <w:p>
      <w:pPr>
        <w:spacing w:after="0" w:line="125"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56"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w:t>
      </w:r>
    </w:p>
    <w:p>
      <w:pPr>
        <w:spacing w:after="0" w:line="178"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b w:val="1"/>
          <w:bCs w:val="1"/>
          <w:color w:val="auto"/>
        </w:rPr>
        <w:t>Our board unanimously recommends a vote “for” the approval of the expected appointment of Ernst &amp; Young as the Company’s auditors for the fiscal year ending March 31, 2015.</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4"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RELATIONSHIP WITH INDEPENDENT PUBLIC ACCOUNTANTS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Ernst &amp; Young LLP, which we refer to as Ernst &amp; Young, audited the Company’s financial statements for the fiscal years ended March 31, 2012, 2013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167" w:lineRule="exact"/>
        <w:rPr>
          <w:sz w:val="20"/>
          <w:szCs w:val="20"/>
          <w:color w:val="auto"/>
        </w:rPr>
      </w:pPr>
    </w:p>
    <w:p>
      <w:pPr>
        <w:ind w:right="180" w:firstLine="799"/>
        <w:spacing w:after="0" w:line="277"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30" w:lineRule="exact"/>
        <w:rPr>
          <w:sz w:val="20"/>
          <w:szCs w:val="20"/>
          <w:color w:val="auto"/>
        </w:rPr>
      </w:pPr>
    </w:p>
    <w:p>
      <w:pPr>
        <w:ind w:right="520" w:firstLine="799"/>
        <w:spacing w:after="0" w:line="279" w:lineRule="auto"/>
        <w:rPr>
          <w:sz w:val="20"/>
          <w:szCs w:val="20"/>
          <w:color w:val="auto"/>
        </w:rPr>
      </w:pPr>
      <w:r>
        <w:rPr>
          <w:rFonts w:ascii="Arial" w:cs="Arial" w:eastAsia="Arial" w:hAnsi="Arial"/>
          <w:sz w:val="17"/>
          <w:szCs w:val="17"/>
          <w:color w:val="auto"/>
        </w:rPr>
        <w:t>The following table sets forth the various fees for services provided to the Company by Ernst &amp; Young in the fiscal years ended March 31, 2014 and 2013, all of which services have been approved by the Audit Committee: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1"/>
              </w:rPr>
              <w:t>Fiscal Year Ended</w:t>
            </w: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March 31,</w:t>
            </w:r>
          </w:p>
        </w:tc>
        <w:tc>
          <w:tcPr>
            <w:tcW w:w="40" w:type="dxa"/>
            <w:vAlign w:val="bottom"/>
          </w:tcPr>
          <w:p>
            <w:pPr>
              <w:spacing w:after="0"/>
              <w:rPr>
                <w:sz w:val="19"/>
                <w:szCs w:val="19"/>
                <w:color w:val="auto"/>
              </w:rPr>
            </w:pPr>
          </w:p>
        </w:tc>
        <w:tc>
          <w:tcPr>
            <w:tcW w:w="2340" w:type="dxa"/>
            <w:vAlign w:val="bottom"/>
            <w:gridSpan w:val="2"/>
          </w:tcPr>
          <w:p>
            <w:pPr>
              <w:ind w:left="700"/>
              <w:spacing w:after="0" w:line="220" w:lineRule="exact"/>
              <w:rPr>
                <w:sz w:val="20"/>
                <w:szCs w:val="20"/>
                <w:color w:val="auto"/>
              </w:rPr>
            </w:pPr>
            <w:r>
              <w:rPr>
                <w:rFonts w:ascii="Arial" w:cs="Arial" w:eastAsia="Arial" w:hAnsi="Arial"/>
                <w:sz w:val="15"/>
                <w:szCs w:val="15"/>
                <w:b w:val="1"/>
                <w:bCs w:val="1"/>
                <w:color w:val="auto"/>
              </w:rPr>
              <w:t xml:space="preserve">Audit Fees </w:t>
            </w:r>
            <w:r>
              <w:rPr>
                <w:rFonts w:ascii="Arial" w:cs="Arial" w:eastAsia="Arial" w:hAnsi="Arial"/>
                <w:sz w:val="25"/>
                <w:szCs w:val="25"/>
                <w:b w:val="1"/>
                <w:bCs w:val="1"/>
                <w:color w:val="auto"/>
                <w:vertAlign w:val="superscript"/>
              </w:rPr>
              <w:t>(1)</w:t>
            </w:r>
          </w:p>
        </w:tc>
        <w:tc>
          <w:tcPr>
            <w:tcW w:w="2740" w:type="dxa"/>
            <w:vAlign w:val="bottom"/>
            <w:gridSpan w:val="2"/>
          </w:tcPr>
          <w:p>
            <w:pPr>
              <w:ind w:left="720"/>
              <w:spacing w:after="0"/>
              <w:rPr>
                <w:sz w:val="20"/>
                <w:szCs w:val="20"/>
                <w:color w:val="auto"/>
              </w:rPr>
            </w:pPr>
            <w:r>
              <w:rPr>
                <w:rFonts w:ascii="Arial" w:cs="Arial" w:eastAsia="Arial" w:hAnsi="Arial"/>
                <w:sz w:val="15"/>
                <w:szCs w:val="15"/>
                <w:b w:val="1"/>
                <w:bCs w:val="1"/>
                <w:color w:val="auto"/>
              </w:rPr>
              <w:t>Audit Related Fees</w:t>
            </w:r>
          </w:p>
        </w:tc>
        <w:tc>
          <w:tcPr>
            <w:tcW w:w="1180" w:type="dxa"/>
            <w:vAlign w:val="bottom"/>
            <w:gridSpan w:val="2"/>
          </w:tcPr>
          <w:p>
            <w:pPr>
              <w:ind w:left="280"/>
              <w:spacing w:after="0"/>
              <w:rPr>
                <w:sz w:val="20"/>
                <w:szCs w:val="20"/>
                <w:color w:val="auto"/>
              </w:rPr>
            </w:pPr>
            <w:r>
              <w:rPr>
                <w:rFonts w:ascii="Arial" w:cs="Arial" w:eastAsia="Arial" w:hAnsi="Arial"/>
                <w:sz w:val="15"/>
                <w:szCs w:val="15"/>
                <w:b w:val="1"/>
                <w:bCs w:val="1"/>
                <w:color w:val="auto"/>
              </w:rPr>
              <w:t>Tax Fees</w:t>
            </w:r>
          </w:p>
        </w:tc>
        <w:tc>
          <w:tcPr>
            <w:tcW w:w="1540" w:type="dxa"/>
            <w:vAlign w:val="bottom"/>
            <w:gridSpan w:val="2"/>
          </w:tcPr>
          <w:p>
            <w:pPr>
              <w:ind w:left="260"/>
              <w:spacing w:after="0"/>
              <w:rPr>
                <w:sz w:val="20"/>
                <w:szCs w:val="20"/>
                <w:color w:val="auto"/>
              </w:rPr>
            </w:pPr>
            <w:r>
              <w:rPr>
                <w:rFonts w:ascii="Arial" w:cs="Arial" w:eastAsia="Arial" w:hAnsi="Arial"/>
                <w:sz w:val="15"/>
                <w:szCs w:val="15"/>
                <w:b w:val="1"/>
                <w:bCs w:val="1"/>
                <w:color w:val="auto"/>
              </w:rPr>
              <w:t>All Other Fees</w:t>
            </w:r>
          </w:p>
        </w:tc>
        <w:tc>
          <w:tcPr>
            <w:tcW w:w="2300" w:type="dxa"/>
            <w:vAlign w:val="bottom"/>
          </w:tcPr>
          <w:p>
            <w:pPr>
              <w:jc w:val="right"/>
              <w:ind w:right="9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spacing w:after="0"/>
              <w:rPr>
                <w:sz w:val="20"/>
                <w:szCs w:val="20"/>
                <w:color w:val="auto"/>
              </w:rPr>
            </w:pPr>
            <w:r>
              <w:rPr>
                <w:rFonts w:ascii="Arial" w:cs="Arial" w:eastAsia="Arial" w:hAnsi="Arial"/>
                <w:sz w:val="15"/>
                <w:szCs w:val="15"/>
                <w:color w:val="auto"/>
                <w:w w:val="89"/>
              </w:rPr>
              <w:t>2014</w:t>
            </w:r>
          </w:p>
        </w:tc>
        <w:tc>
          <w:tcPr>
            <w:tcW w:w="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Pr>
          <w:p>
            <w:pPr>
              <w:jc w:val="right"/>
              <w:ind w:right="724"/>
              <w:spacing w:after="0"/>
              <w:rPr>
                <w:sz w:val="20"/>
                <w:szCs w:val="20"/>
                <w:color w:val="auto"/>
              </w:rPr>
            </w:pPr>
            <w:r>
              <w:rPr>
                <w:rFonts w:ascii="Arial" w:cs="Arial" w:eastAsia="Arial" w:hAnsi="Arial"/>
                <w:sz w:val="15"/>
                <w:szCs w:val="15"/>
                <w:color w:val="auto"/>
              </w:rPr>
              <w:t>$  856,960</w:t>
            </w:r>
          </w:p>
        </w:tc>
        <w:tc>
          <w:tcPr>
            <w:tcW w:w="40" w:type="dxa"/>
            <w:vAlign w:val="bottom"/>
          </w:tcPr>
          <w:p>
            <w:pPr>
              <w:spacing w:after="0"/>
              <w:rPr>
                <w:sz w:val="15"/>
                <w:szCs w:val="15"/>
                <w:color w:val="auto"/>
              </w:rPr>
            </w:pPr>
          </w:p>
        </w:tc>
        <w:tc>
          <w:tcPr>
            <w:tcW w:w="2700" w:type="dxa"/>
            <w:vAlign w:val="bottom"/>
          </w:tcPr>
          <w:p>
            <w:pPr>
              <w:jc w:val="right"/>
              <w:ind w:right="923"/>
              <w:spacing w:after="0"/>
              <w:rPr>
                <w:sz w:val="20"/>
                <w:szCs w:val="20"/>
                <w:color w:val="auto"/>
              </w:rPr>
            </w:pPr>
            <w:r>
              <w:rPr>
                <w:rFonts w:ascii="Arial" w:cs="Arial" w:eastAsia="Arial" w:hAnsi="Arial"/>
                <w:sz w:val="15"/>
                <w:szCs w:val="15"/>
                <w:color w:val="auto"/>
              </w:rPr>
              <w:t>$  15,000</w:t>
            </w:r>
          </w:p>
        </w:tc>
        <w:tc>
          <w:tcPr>
            <w:tcW w:w="40" w:type="dxa"/>
            <w:vAlign w:val="bottom"/>
          </w:tcPr>
          <w:p>
            <w:pPr>
              <w:spacing w:after="0"/>
              <w:rPr>
                <w:sz w:val="15"/>
                <w:szCs w:val="15"/>
                <w:color w:val="auto"/>
              </w:rPr>
            </w:pPr>
          </w:p>
        </w:tc>
        <w:tc>
          <w:tcPr>
            <w:tcW w:w="1140" w:type="dxa"/>
            <w:vAlign w:val="bottom"/>
          </w:tcPr>
          <w:p>
            <w:pPr>
              <w:ind w:left="5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500" w:type="dxa"/>
            <w:vAlign w:val="bottom"/>
          </w:tcPr>
          <w:p>
            <w:pPr>
              <w:ind w:left="7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300" w:type="dxa"/>
            <w:vAlign w:val="bottom"/>
          </w:tcPr>
          <w:p>
            <w:pPr>
              <w:jc w:val="right"/>
              <w:ind w:right="703"/>
              <w:spacing w:after="0"/>
              <w:rPr>
                <w:sz w:val="20"/>
                <w:szCs w:val="20"/>
                <w:color w:val="auto"/>
              </w:rPr>
            </w:pPr>
            <w:r>
              <w:rPr>
                <w:rFonts w:ascii="Arial" w:cs="Arial" w:eastAsia="Arial" w:hAnsi="Arial"/>
                <w:sz w:val="15"/>
                <w:szCs w:val="15"/>
                <w:color w:val="auto"/>
              </w:rPr>
              <w:t>$  871,960</w:t>
            </w:r>
          </w:p>
        </w:tc>
        <w:tc>
          <w:tcPr>
            <w:tcW w:w="0" w:type="dxa"/>
            <w:vAlign w:val="bottom"/>
          </w:tcPr>
          <w:p>
            <w:pPr>
              <w:spacing w:after="0"/>
              <w:rPr>
                <w:sz w:val="1"/>
                <w:szCs w:val="1"/>
                <w:color w:val="auto"/>
              </w:rPr>
            </w:pPr>
          </w:p>
        </w:tc>
      </w:tr>
      <w:tr>
        <w:trPr>
          <w:trHeight w:val="250"/>
        </w:trPr>
        <w:tc>
          <w:tcPr>
            <w:tcW w:w="1380" w:type="dxa"/>
            <w:vAlign w:val="bottom"/>
          </w:tcPr>
          <w:p>
            <w:pPr>
              <w:jc w:val="center"/>
              <w:spacing w:after="0"/>
              <w:rPr>
                <w:sz w:val="20"/>
                <w:szCs w:val="20"/>
                <w:color w:val="auto"/>
              </w:rPr>
            </w:pPr>
            <w:r>
              <w:rPr>
                <w:rFonts w:ascii="Arial" w:cs="Arial" w:eastAsia="Arial" w:hAnsi="Arial"/>
                <w:sz w:val="15"/>
                <w:szCs w:val="15"/>
                <w:color w:val="auto"/>
                <w:w w:val="89"/>
              </w:rPr>
              <w:t>2013</w:t>
            </w:r>
          </w:p>
        </w:tc>
        <w:tc>
          <w:tcPr>
            <w:tcW w:w="2340" w:type="dxa"/>
            <w:vAlign w:val="bottom"/>
            <w:gridSpan w:val="2"/>
          </w:tcPr>
          <w:p>
            <w:pPr>
              <w:jc w:val="right"/>
              <w:ind w:right="724"/>
              <w:spacing w:after="0"/>
              <w:rPr>
                <w:sz w:val="20"/>
                <w:szCs w:val="20"/>
                <w:color w:val="auto"/>
              </w:rPr>
            </w:pPr>
            <w:r>
              <w:rPr>
                <w:rFonts w:ascii="Arial" w:cs="Arial" w:eastAsia="Arial" w:hAnsi="Arial"/>
                <w:sz w:val="15"/>
                <w:szCs w:val="15"/>
                <w:color w:val="auto"/>
              </w:rPr>
              <w:t>1,245,700</w:t>
            </w:r>
          </w:p>
        </w:tc>
        <w:tc>
          <w:tcPr>
            <w:tcW w:w="40" w:type="dxa"/>
            <w:vAlign w:val="bottom"/>
          </w:tcPr>
          <w:p>
            <w:pPr>
              <w:spacing w:after="0"/>
              <w:rPr>
                <w:sz w:val="21"/>
                <w:szCs w:val="21"/>
                <w:color w:val="auto"/>
              </w:rPr>
            </w:pPr>
          </w:p>
        </w:tc>
        <w:tc>
          <w:tcPr>
            <w:tcW w:w="2700" w:type="dxa"/>
            <w:vAlign w:val="bottom"/>
          </w:tcPr>
          <w:p>
            <w:pPr>
              <w:jc w:val="right"/>
              <w:ind w:right="923"/>
              <w:spacing w:after="0"/>
              <w:rPr>
                <w:sz w:val="20"/>
                <w:szCs w:val="20"/>
                <w:color w:val="auto"/>
              </w:rPr>
            </w:pPr>
            <w:r>
              <w:rPr>
                <w:rFonts w:ascii="Arial" w:cs="Arial" w:eastAsia="Arial" w:hAnsi="Arial"/>
                <w:sz w:val="15"/>
                <w:szCs w:val="15"/>
                <w:color w:val="auto"/>
              </w:rPr>
              <w:t>15,000</w:t>
            </w:r>
          </w:p>
        </w:tc>
        <w:tc>
          <w:tcPr>
            <w:tcW w:w="40" w:type="dxa"/>
            <w:vAlign w:val="bottom"/>
          </w:tcPr>
          <w:p>
            <w:pPr>
              <w:spacing w:after="0"/>
              <w:rPr>
                <w:sz w:val="21"/>
                <w:szCs w:val="21"/>
                <w:color w:val="auto"/>
              </w:rPr>
            </w:pPr>
          </w:p>
        </w:tc>
        <w:tc>
          <w:tcPr>
            <w:tcW w:w="118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54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2300" w:type="dxa"/>
            <w:vAlign w:val="bottom"/>
          </w:tcPr>
          <w:p>
            <w:pPr>
              <w:jc w:val="right"/>
              <w:ind w:right="703"/>
              <w:spacing w:after="0"/>
              <w:rPr>
                <w:sz w:val="20"/>
                <w:szCs w:val="20"/>
                <w:color w:val="auto"/>
              </w:rPr>
            </w:pPr>
            <w:r>
              <w:rPr>
                <w:rFonts w:ascii="Arial" w:cs="Arial" w:eastAsia="Arial" w:hAnsi="Arial"/>
                <w:sz w:val="15"/>
                <w:szCs w:val="15"/>
                <w:color w:val="auto"/>
              </w:rPr>
              <w:t>1,260,700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1889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9125" cy="8255"/>
                    </a:xfrm>
                    <a:prstGeom prst="rect">
                      <a:avLst/>
                    </a:prstGeom>
                    <a:noFill/>
                  </pic:spPr>
                </pic:pic>
              </a:graphicData>
            </a:graphic>
          </wp:anchor>
        </w:drawing>
      </w:r>
    </w:p>
    <w:p>
      <w:pPr>
        <w:spacing w:after="0" w:line="158" w:lineRule="exact"/>
        <w:rPr>
          <w:sz w:val="20"/>
          <w:szCs w:val="20"/>
          <w:color w:val="auto"/>
        </w:rPr>
      </w:pPr>
    </w:p>
    <w:p>
      <w:pPr>
        <w:ind w:left="560" w:right="240" w:hanging="338"/>
        <w:spacing w:after="0" w:line="301" w:lineRule="auto"/>
        <w:tabs>
          <w:tab w:leader="none" w:pos="5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fees for the annual audit and quarterly reviews, accounting and financial reporting consultations regarding generally accepted accounting principles. For fiscal 2013, the amount also includes additional work conducted in connection with the Company’s acquisition of assets from Lafarge North America.</w:t>
      </w:r>
    </w:p>
    <w:p>
      <w:pPr>
        <w:spacing w:after="0" w:line="3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AUDIT COMMITTEE REPORT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the Board of Directors of Eagle Materials Inc.:</w:t>
      </w:r>
    </w:p>
    <w:p>
      <w:pPr>
        <w:spacing w:after="0" w:line="178"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We have reviewed and discussed with management and our independent registered public accounting firm, Ernst &amp; Young, as appropriate, (1) the audited financial statements of Eagle Materials Inc. as of and for the fiscal year ended March 31, 2014, and (2) management’s report on internal control over financial reporting and the independent registered accounting firm’s related opinions.</w:t>
      </w:r>
    </w:p>
    <w:p>
      <w:pPr>
        <w:spacing w:after="0" w:line="148" w:lineRule="exact"/>
        <w:rPr>
          <w:sz w:val="20"/>
          <w:szCs w:val="20"/>
          <w:color w:val="auto"/>
        </w:rPr>
      </w:pPr>
    </w:p>
    <w:p>
      <w:pPr>
        <w:ind w:right="420" w:firstLine="799"/>
        <w:spacing w:after="0" w:line="279" w:lineRule="auto"/>
        <w:rPr>
          <w:sz w:val="20"/>
          <w:szCs w:val="20"/>
          <w:color w:val="auto"/>
        </w:rPr>
      </w:pPr>
      <w:r>
        <w:rPr>
          <w:rFonts w:ascii="Arial" w:cs="Arial" w:eastAsia="Arial" w:hAnsi="Arial"/>
          <w:sz w:val="17"/>
          <w:szCs w:val="17"/>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25" w:lineRule="exact"/>
        <w:rPr>
          <w:sz w:val="20"/>
          <w:szCs w:val="20"/>
          <w:color w:val="auto"/>
        </w:rPr>
      </w:pPr>
    </w:p>
    <w:p>
      <w:pPr>
        <w:ind w:right="200" w:firstLine="799"/>
        <w:spacing w:after="0" w:line="290" w:lineRule="auto"/>
        <w:rPr>
          <w:sz w:val="20"/>
          <w:szCs w:val="20"/>
          <w:color w:val="auto"/>
        </w:rPr>
      </w:pPr>
      <w:r>
        <w:rPr>
          <w:rFonts w:ascii="Arial" w:cs="Arial" w:eastAsia="Arial" w:hAnsi="Arial"/>
          <w:sz w:val="16"/>
          <w:szCs w:val="16"/>
          <w:i w:val="1"/>
          <w:iCs w:val="1"/>
          <w:color w:val="auto"/>
        </w:rPr>
        <w:t>We have received and reviewed the written disclosures and the letter from Ernst &amp; Young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19" w:lineRule="exact"/>
        <w:rPr>
          <w:sz w:val="20"/>
          <w:szCs w:val="20"/>
          <w:color w:val="auto"/>
        </w:rPr>
      </w:pPr>
    </w:p>
    <w:p>
      <w:pPr>
        <w:ind w:right="640" w:firstLine="799"/>
        <w:spacing w:after="0" w:line="279" w:lineRule="auto"/>
        <w:rPr>
          <w:sz w:val="20"/>
          <w:szCs w:val="20"/>
          <w:color w:val="auto"/>
        </w:rPr>
      </w:pPr>
      <w:r>
        <w:rPr>
          <w:rFonts w:ascii="Arial" w:cs="Arial" w:eastAsia="Arial" w:hAnsi="Arial"/>
          <w:sz w:val="17"/>
          <w:szCs w:val="17"/>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Audit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David W. Quinn, </w:t>
      </w:r>
      <w:r>
        <w:rPr>
          <w:rFonts w:ascii="Arial" w:cs="Arial" w:eastAsia="Arial" w:hAnsi="Arial"/>
          <w:sz w:val="17"/>
          <w:szCs w:val="17"/>
          <w:i w:val="1"/>
          <w:iCs w:val="1"/>
          <w:color w:val="auto"/>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Ed H. Bowman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Robert L. Clarke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Martin M. Ellen</w:t>
      </w:r>
    </w:p>
    <w:p>
      <w:pPr>
        <w:spacing w:after="0" w:line="1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520"/>
          </w:cols>
          <w:pgMar w:left="240" w:top="444" w:right="1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 WHICH MAY BE PRESENTED FOR ACTION AT THE MEETING</w:t>
      </w:r>
    </w:p>
    <w:p>
      <w:pPr>
        <w:spacing w:after="0" w:line="197" w:lineRule="exact"/>
        <w:rPr>
          <w:sz w:val="20"/>
          <w:szCs w:val="20"/>
          <w:color w:val="auto"/>
        </w:rPr>
      </w:pPr>
    </w:p>
    <w:p>
      <w:pPr>
        <w:ind w:right="160" w:firstLine="799"/>
        <w:spacing w:after="0" w:line="266" w:lineRule="auto"/>
        <w:rPr>
          <w:sz w:val="20"/>
          <w:szCs w:val="20"/>
          <w:color w:val="auto"/>
        </w:rPr>
      </w:pPr>
      <w:r>
        <w:rPr>
          <w:rFonts w:ascii="Arial" w:cs="Arial" w:eastAsia="Arial" w:hAnsi="Arial"/>
          <w:sz w:val="17"/>
          <w:szCs w:val="17"/>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DELIVERY OF DOCUMENTS TO STOCKHOLDERS</w:t>
      </w:r>
    </w:p>
    <w:p>
      <w:pPr>
        <w:spacing w:after="0" w:line="184" w:lineRule="exact"/>
        <w:rPr>
          <w:sz w:val="20"/>
          <w:szCs w:val="20"/>
          <w:color w:val="auto"/>
        </w:rPr>
      </w:pPr>
    </w:p>
    <w:p>
      <w:pPr>
        <w:ind w:right="40" w:firstLine="799"/>
        <w:spacing w:after="0" w:line="258" w:lineRule="auto"/>
        <w:rPr>
          <w:sz w:val="20"/>
          <w:szCs w:val="20"/>
          <w:color w:val="auto"/>
        </w:rPr>
      </w:pPr>
      <w:r>
        <w:rPr>
          <w:rFonts w:ascii="Arial" w:cs="Arial" w:eastAsia="Arial" w:hAnsi="Arial"/>
          <w:sz w:val="17"/>
          <w:szCs w:val="17"/>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DEADLINE FOR RECEIPT OF STOCKHOLDER PROPOSALS</w:t>
      </w:r>
    </w:p>
    <w:p>
      <w:pPr>
        <w:spacing w:after="0" w:line="184" w:lineRule="exact"/>
        <w:rPr>
          <w:sz w:val="20"/>
          <w:szCs w:val="20"/>
          <w:color w:val="auto"/>
        </w:rPr>
      </w:pPr>
    </w:p>
    <w:p>
      <w:pPr>
        <w:ind w:right="300" w:firstLine="799"/>
        <w:spacing w:after="0" w:line="266" w:lineRule="auto"/>
        <w:rPr>
          <w:sz w:val="20"/>
          <w:szCs w:val="20"/>
          <w:color w:val="auto"/>
        </w:rPr>
      </w:pPr>
      <w:r>
        <w:rPr>
          <w:rFonts w:ascii="Arial" w:cs="Arial" w:eastAsia="Arial" w:hAnsi="Arial"/>
          <w:sz w:val="17"/>
          <w:szCs w:val="17"/>
          <w:color w:val="auto"/>
        </w:rPr>
        <w:t>Next year’s annual meeting of stockholders is scheduled to be held on August 6, 2015. In order to be considered for inclusion in the Company’s proxy material for that meeting, stockholder proposals must be received at our executive offices, addressed to the attention of the Secretary, not later than February 20, 2015.</w:t>
      </w:r>
    </w:p>
    <w:p>
      <w:pPr>
        <w:spacing w:after="0" w:line="136" w:lineRule="exact"/>
        <w:rPr>
          <w:sz w:val="20"/>
          <w:szCs w:val="20"/>
          <w:color w:val="auto"/>
        </w:rPr>
      </w:pPr>
    </w:p>
    <w:p>
      <w:pPr>
        <w:ind w:firstLine="799"/>
        <w:spacing w:after="0" w:line="299" w:lineRule="auto"/>
        <w:rPr>
          <w:sz w:val="20"/>
          <w:szCs w:val="20"/>
          <w:color w:val="auto"/>
        </w:rPr>
      </w:pPr>
      <w:r>
        <w:rPr>
          <w:rFonts w:ascii="Arial" w:cs="Arial" w:eastAsia="Arial" w:hAnsi="Arial"/>
          <w:sz w:val="15"/>
          <w:szCs w:val="15"/>
          <w:color w:val="auto"/>
        </w:rPr>
        <w:t>For any proposal that is not submitted for inclusion in our proxy material for the 2015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9, 2015, and the stockholder satisfies the other requirements of Rule 14a-4(c). Our Bylaws provide that, to be considered at the 2015 annual meeting, a stockholder proposal must be submitted in writing and received by our Secretary at the executive offices of the Company during the period beginning on February 8, 2015 and ending May 9, 2015, and must contain the information specified by and otherwise comply with our Bylaws. Any stockholder wishing to receive a copy of our Bylaws should direct a written request to our Secretary at the Company’s principal executive office.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78" w:lineRule="exact"/>
        <w:rPr>
          <w:sz w:val="20"/>
          <w:szCs w:val="20"/>
          <w:color w:val="auto"/>
        </w:rPr>
      </w:pPr>
    </w:p>
    <w:p>
      <w:pPr>
        <w:ind w:right="160" w:firstLine="799"/>
        <w:spacing w:after="0" w:line="269" w:lineRule="auto"/>
        <w:rPr>
          <w:sz w:val="20"/>
          <w:szCs w:val="20"/>
          <w:color w:val="auto"/>
        </w:rPr>
      </w:pPr>
      <w:r>
        <w:rPr>
          <w:rFonts w:ascii="Arial" w:cs="Arial" w:eastAsia="Arial" w:hAnsi="Arial"/>
          <w:sz w:val="17"/>
          <w:szCs w:val="17"/>
          <w:b w:val="1"/>
          <w:bCs w:val="1"/>
          <w:color w:val="auto"/>
        </w:rPr>
        <w:t>Stockholders entitled to vote at the meeting may obtain a copy of the Company’s Annual Report on Form 10-K for the fiscal year ended March 31, 2014,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7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23"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JAMES H. GRAASS</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Executive Vice President,</w:t>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General Counsel and Secretary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20,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4"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10"/>
          <w:szCs w:val="10"/>
          <w:i w:val="1"/>
          <w:iCs w:val="1"/>
          <w:color w:val="auto"/>
        </w:rPr>
        <w:t>EAGLE MATERIALS INC.</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0"/>
          <w:szCs w:val="10"/>
          <w:i w:val="1"/>
          <w:iCs w:val="1"/>
          <w:color w:val="auto"/>
        </w:rPr>
        <w:t>3811 TURTLE CREEK BLVD.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0"/>
          <w:szCs w:val="10"/>
          <w:i w:val="1"/>
          <w:iCs w:val="1"/>
          <w:color w:val="auto"/>
        </w:rPr>
        <w:t>SUITE 1100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0"/>
          <w:szCs w:val="10"/>
          <w:i w:val="1"/>
          <w:iCs w:val="1"/>
          <w:color w:val="auto"/>
        </w:rPr>
        <w:t>DALLAS, TX 75219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-587375</wp:posOffset>
            </wp:positionV>
            <wp:extent cx="72948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p>
    <w:p>
      <w:pPr>
        <w:ind w:right="300"/>
        <w:spacing w:after="0" w:line="250"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ELECTRONIC DELIVERY OF FUTURE PROXY MATERIALS</w:t>
      </w:r>
    </w:p>
    <w:p>
      <w:pPr>
        <w:spacing w:after="0" w:line="16" w:lineRule="exact"/>
        <w:rPr>
          <w:sz w:val="20"/>
          <w:szCs w:val="20"/>
          <w:color w:val="auto"/>
        </w:rPr>
      </w:pPr>
    </w:p>
    <w:p>
      <w:pPr>
        <w:ind w:right="320"/>
        <w:spacing w:after="0" w:line="248"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16" w:lineRule="exact"/>
        <w:rPr>
          <w:sz w:val="20"/>
          <w:szCs w:val="20"/>
          <w:color w:val="auto"/>
        </w:rPr>
      </w:pPr>
    </w:p>
    <w:p>
      <w:pPr>
        <w:ind w:right="320"/>
        <w:spacing w:after="0" w:line="256"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16" w:lineRule="exact"/>
        <w:rPr>
          <w:sz w:val="20"/>
          <w:szCs w:val="20"/>
          <w:color w:val="auto"/>
        </w:rPr>
      </w:pPr>
    </w:p>
    <w:p>
      <w:pPr>
        <w:ind w:right="420"/>
        <w:spacing w:after="0" w:line="256"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00" w:space="720"/>
            <w:col w:w="6100"/>
          </w:cols>
          <w:pgMar w:left="240" w:top="4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tabs>
          <w:tab w:leader="none" w:pos="8900" w:val="left"/>
        </w:tabs>
        <w:rPr>
          <w:sz w:val="20"/>
          <w:szCs w:val="20"/>
          <w:color w:val="auto"/>
        </w:rPr>
      </w:pPr>
      <w:r>
        <w:rPr>
          <w:rFonts w:ascii="Arial" w:cs="Arial" w:eastAsia="Arial" w:hAnsi="Arial"/>
          <w:sz w:val="12"/>
          <w:szCs w:val="12"/>
          <w:color w:val="auto"/>
        </w:rPr>
        <w:t>TO VOTE, MARK BLOCKS BELOW IN BLUE OR BLACK INK AS FOLLOWS:</w:t>
      </w:r>
      <w:r>
        <w:rPr>
          <w:sz w:val="20"/>
          <w:szCs w:val="20"/>
          <w:color w:val="auto"/>
        </w:rPr>
        <w:tab/>
      </w:r>
      <w:r>
        <w:rPr>
          <w:rFonts w:ascii="Arial" w:cs="Arial" w:eastAsia="Arial" w:hAnsi="Arial"/>
          <w:sz w:val="11"/>
          <w:szCs w:val="11"/>
          <w:color w:val="auto"/>
        </w:rPr>
        <w:t>KEEP THIS PORTION FOR YOUR RECORDS</w:t>
      </w:r>
    </w:p>
    <w:p>
      <w:pPr>
        <w:ind w:left="120"/>
        <w:spacing w:after="0" w:line="223" w:lineRule="auto"/>
        <w:rPr>
          <w:sz w:val="20"/>
          <w:szCs w:val="20"/>
          <w:color w:val="auto"/>
        </w:rPr>
      </w:pPr>
      <w:r>
        <w:rPr>
          <w:rFonts w:ascii="Arial" w:cs="Arial" w:eastAsia="Arial" w:hAnsi="Arial"/>
          <w:sz w:val="12"/>
          <w:szCs w:val="12"/>
          <w:color w:val="auto"/>
        </w:rPr>
        <w:t>— — — — — — — — — — — — — — — — — — — — – – – – – – – – – – – – – – — — — — — — — — — — — — — — — — — — — — — — — — — — — — — —</w:t>
      </w:r>
    </w:p>
    <w:p>
      <w:pPr>
        <w:spacing w:after="0" w:line="1" w:lineRule="exact"/>
        <w:rPr>
          <w:sz w:val="20"/>
          <w:szCs w:val="20"/>
          <w:color w:val="auto"/>
        </w:rPr>
      </w:pPr>
    </w:p>
    <w:p>
      <w:pPr>
        <w:jc w:val="right"/>
        <w:spacing w:after="0"/>
        <w:tabs>
          <w:tab w:leader="none" w:pos="250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7"/>
          <w:szCs w:val="17"/>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108585</wp:posOffset>
            </wp:positionV>
            <wp:extent cx="7195820" cy="3581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5820" cy="3581400"/>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type w:val="continuous"/>
        </w:sectPr>
      </w:pPr>
    </w:p>
    <w:p>
      <w:pPr>
        <w:spacing w:after="0" w:line="331" w:lineRule="exact"/>
        <w:rPr>
          <w:sz w:val="20"/>
          <w:szCs w:val="20"/>
          <w:color w:val="auto"/>
        </w:rPr>
      </w:pPr>
    </w:p>
    <w:p>
      <w:pPr>
        <w:ind w:left="320" w:right="1820"/>
        <w:spacing w:after="0" w:line="260" w:lineRule="auto"/>
        <w:rPr>
          <w:sz w:val="20"/>
          <w:szCs w:val="20"/>
          <w:color w:val="auto"/>
        </w:rPr>
      </w:pPr>
      <w:r>
        <w:rPr>
          <w:rFonts w:ascii="Arial" w:cs="Arial" w:eastAsia="Arial" w:hAnsi="Arial"/>
          <w:sz w:val="12"/>
          <w:szCs w:val="12"/>
          <w:b w:val="1"/>
          <w:bCs w:val="1"/>
          <w:color w:val="auto"/>
        </w:rPr>
        <w:t>The Board of Directors recommends you vote FOR the following:</w:t>
      </w:r>
    </w:p>
    <w:p>
      <w:pPr>
        <w:spacing w:after="0" w:line="179" w:lineRule="exact"/>
        <w:rPr>
          <w:sz w:val="20"/>
          <w:szCs w:val="20"/>
          <w:color w:val="auto"/>
        </w:rPr>
      </w:pPr>
    </w:p>
    <w:p>
      <w:pPr>
        <w:ind w:left="560" w:hanging="235"/>
        <w:spacing w:after="0"/>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96"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1A Laurence E. Hirsch</w:t>
      </w:r>
    </w:p>
    <w:p>
      <w:pPr>
        <w:spacing w:after="0" w:line="261"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1B Michael R. Nicolais</w:t>
      </w:r>
    </w:p>
    <w:p>
      <w:pPr>
        <w:spacing w:after="0" w:line="261"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1C Richard R. Stewart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The Board of Directors recommends you vote FOR proposals 2 and 3.</w:t>
      </w:r>
    </w:p>
    <w:p>
      <w:pPr>
        <w:spacing w:after="0" w:line="159" w:lineRule="exact"/>
        <w:rPr>
          <w:sz w:val="20"/>
          <w:szCs w:val="20"/>
          <w:color w:val="auto"/>
        </w:rPr>
      </w:pPr>
    </w:p>
    <w:p>
      <w:pPr>
        <w:ind w:left="520" w:hanging="195"/>
        <w:spacing w:after="0"/>
        <w:tabs>
          <w:tab w:leader="none" w:pos="5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Advisory resolution regarding the compensation of our named executive officers.</w:t>
      </w:r>
    </w:p>
    <w:p>
      <w:pPr>
        <w:spacing w:after="0" w:line="184" w:lineRule="exact"/>
        <w:rPr>
          <w:sz w:val="20"/>
          <w:szCs w:val="20"/>
          <w:color w:val="auto"/>
        </w:rPr>
      </w:pPr>
    </w:p>
    <w:p>
      <w:pPr>
        <w:ind w:left="540" w:right="20" w:hanging="215"/>
        <w:spacing w:after="0" w:line="237" w:lineRule="auto"/>
        <w:tabs>
          <w:tab w:leader="none" w:pos="533" w:val="left"/>
        </w:tabs>
        <w:numPr>
          <w:ilvl w:val="0"/>
          <w:numId w:val="54"/>
        </w:numPr>
        <w:rPr>
          <w:rFonts w:ascii="Arial" w:cs="Arial" w:eastAsia="Arial" w:hAnsi="Arial"/>
          <w:sz w:val="12"/>
          <w:szCs w:val="12"/>
          <w:color w:val="auto"/>
        </w:rPr>
      </w:pPr>
      <w:r>
        <w:rPr>
          <w:rFonts w:ascii="Arial" w:cs="Arial" w:eastAsia="Arial" w:hAnsi="Arial"/>
          <w:sz w:val="12"/>
          <w:szCs w:val="12"/>
          <w:color w:val="auto"/>
        </w:rPr>
        <w:t>To approve the expected appointment of Ernst &amp; Young LLP as independent auditors for fiscal year 2015.</w:t>
      </w:r>
    </w:p>
    <w:p>
      <w:pPr>
        <w:spacing w:after="0" w:line="254" w:lineRule="exact"/>
        <w:rPr>
          <w:sz w:val="20"/>
          <w:szCs w:val="20"/>
          <w:color w:val="auto"/>
        </w:rPr>
      </w:pPr>
    </w:p>
    <w:p>
      <w:pPr>
        <w:ind w:left="320"/>
        <w:spacing w:after="0" w:line="231"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THE SHARES REPRESENTED BY THIS PROXY WHEN PROPERLY</w:t>
      </w:r>
      <w:r>
        <w:rPr>
          <w:rFonts w:ascii="Arial" w:cs="Arial" w:eastAsia="Arial" w:hAnsi="Arial"/>
          <w:sz w:val="12"/>
          <w:szCs w:val="12"/>
          <w:b w:val="1"/>
          <w:bCs w:val="1"/>
          <w:color w:val="auto"/>
        </w:rPr>
        <w:t xml:space="preserve"> </w:t>
      </w:r>
      <w:r>
        <w:rPr>
          <w:rFonts w:ascii="Arial" w:cs="Arial" w:eastAsia="Arial" w:hAnsi="Arial"/>
          <w:sz w:val="12"/>
          <w:szCs w:val="12"/>
          <w:color w:val="auto"/>
        </w:rPr>
        <w:t>EXECUTED WILL BE VOTED IN THE MANNER DIRECTED HEREIN BY THE UNDERSIGNED STOCKHOLDER(S). IF NO DIRECTION IS MADE, THIS PROXY WILL BE VOTED FOR ITEMS 1, 2, AND 3. IF ANY OTHER MATTERS PROPERLY COME BEFORE THE MEETING, THE PROXIES NAMED IN THIS PROXY WILL VOTE IN THEIR DISCRETION. BY EXECUTING THIS PROXY, THE UNDERSIGNED HEREBY REVOKES PRIOR PROXIES RELATING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-577215</wp:posOffset>
            </wp:positionV>
            <wp:extent cx="65405" cy="1054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 cy="1054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 w:leader="none" w:pos="84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172" w:lineRule="exact"/>
        <w:rPr>
          <w:sz w:val="20"/>
          <w:szCs w:val="20"/>
          <w:color w:val="auto"/>
        </w:rPr>
      </w:pPr>
    </w:p>
    <w:p>
      <w:pPr>
        <w:ind w:left="20"/>
        <w:spacing w:after="0" w:line="171" w:lineRule="exact"/>
        <w:tabs>
          <w:tab w:leader="none" w:pos="440" w:val="left"/>
          <w:tab w:leader="none" w:pos="980" w:val="left"/>
        </w:tabs>
        <w:rPr>
          <w:sz w:val="20"/>
          <w:szCs w:val="20"/>
          <w:color w:val="auto"/>
        </w:rPr>
      </w:pP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229" w:lineRule="exact"/>
        <w:rPr>
          <w:sz w:val="20"/>
          <w:szCs w:val="20"/>
          <w:color w:val="auto"/>
        </w:rPr>
      </w:pPr>
    </w:p>
    <w:p>
      <w:pPr>
        <w:ind w:left="20"/>
        <w:spacing w:after="0" w:line="171" w:lineRule="exact"/>
        <w:tabs>
          <w:tab w:leader="none" w:pos="440" w:val="left"/>
          <w:tab w:leader="none" w:pos="980" w:val="left"/>
        </w:tabs>
        <w:rPr>
          <w:sz w:val="20"/>
          <w:szCs w:val="20"/>
          <w:color w:val="auto"/>
        </w:rPr>
      </w:pP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229" w:lineRule="exact"/>
        <w:rPr>
          <w:sz w:val="20"/>
          <w:szCs w:val="20"/>
          <w:color w:val="auto"/>
        </w:rPr>
      </w:pPr>
    </w:p>
    <w:p>
      <w:pPr>
        <w:ind w:left="20"/>
        <w:spacing w:after="0" w:line="171" w:lineRule="exact"/>
        <w:tabs>
          <w:tab w:leader="none" w:pos="440" w:val="left"/>
          <w:tab w:leader="none" w:pos="980" w:val="left"/>
        </w:tabs>
        <w:rPr>
          <w:sz w:val="20"/>
          <w:szCs w:val="20"/>
          <w:color w:val="auto"/>
        </w:rPr>
      </w:pP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396" w:lineRule="exact"/>
        <w:rPr>
          <w:sz w:val="20"/>
          <w:szCs w:val="20"/>
          <w:color w:val="auto"/>
        </w:rPr>
      </w:pPr>
    </w:p>
    <w:p>
      <w:pPr>
        <w:spacing w:after="0"/>
        <w:tabs>
          <w:tab w:leader="none" w:pos="300" w:val="left"/>
          <w:tab w:leader="none" w:pos="84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19" w:lineRule="exact"/>
        <w:rPr>
          <w:sz w:val="20"/>
          <w:szCs w:val="20"/>
          <w:color w:val="auto"/>
        </w:rPr>
      </w:pPr>
    </w:p>
    <w:p>
      <w:pPr>
        <w:ind w:left="20"/>
        <w:spacing w:after="0" w:line="171" w:lineRule="exact"/>
        <w:tabs>
          <w:tab w:leader="none" w:pos="440" w:val="left"/>
          <w:tab w:leader="none" w:pos="980" w:val="left"/>
        </w:tabs>
        <w:rPr>
          <w:sz w:val="20"/>
          <w:szCs w:val="20"/>
          <w:color w:val="auto"/>
        </w:rPr>
      </w:pP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138" w:lineRule="exact"/>
        <w:rPr>
          <w:sz w:val="20"/>
          <w:szCs w:val="20"/>
          <w:color w:val="auto"/>
        </w:rPr>
      </w:pPr>
    </w:p>
    <w:p>
      <w:pPr>
        <w:ind w:left="20"/>
        <w:spacing w:after="0" w:line="171" w:lineRule="exact"/>
        <w:tabs>
          <w:tab w:leader="none" w:pos="440" w:val="left"/>
          <w:tab w:leader="none" w:pos="980" w:val="left"/>
        </w:tabs>
        <w:rPr>
          <w:sz w:val="20"/>
          <w:szCs w:val="20"/>
          <w:color w:val="auto"/>
        </w:rPr>
      </w:pP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1499" w:lineRule="exact"/>
        <w:rPr>
          <w:sz w:val="20"/>
          <w:szCs w:val="20"/>
          <w:color w:val="auto"/>
        </w:rPr>
      </w:pPr>
    </w:p>
    <w:p>
      <w:pPr>
        <w:sectPr>
          <w:pgSz w:w="11900" w:h="16838" w:orient="portrait"/>
          <w:cols w:equalWidth="0" w:num="2">
            <w:col w:w="5040" w:space="180"/>
            <w:col w:w="6200"/>
          </w:cols>
          <w:pgMar w:left="240" w:top="444" w:right="239" w:bottom="1440" w:gutter="0" w:footer="0" w:header="0"/>
          <w:type w:val="continuous"/>
        </w:sectPr>
      </w:pPr>
    </w:p>
    <w:p>
      <w:pPr>
        <w:spacing w:after="0" w:line="30" w:lineRule="exact"/>
        <w:rPr>
          <w:sz w:val="20"/>
          <w:szCs w:val="20"/>
          <w:color w:val="auto"/>
        </w:rPr>
      </w:pPr>
    </w:p>
    <w:p>
      <w:pPr>
        <w:ind w:left="320" w:right="5040"/>
        <w:spacing w:after="0" w:line="23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99" w:lineRule="exact"/>
        <w:rPr>
          <w:sz w:val="20"/>
          <w:szCs w:val="20"/>
          <w:color w:val="auto"/>
        </w:rPr>
      </w:pPr>
    </w:p>
    <w:p>
      <w:pPr>
        <w:ind w:left="320"/>
        <w:spacing w:after="0"/>
        <w:tabs>
          <w:tab w:leader="none" w:pos="4400" w:val="left"/>
          <w:tab w:leader="none" w:pos="6620" w:val="left"/>
          <w:tab w:leader="none" w:pos="98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44" w:right="239" w:bottom="1440" w:gutter="0" w:footer="0" w:header="0"/>
          <w:type w:val="continuous"/>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right="140"/>
        <w:spacing w:after="0" w:line="294"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Annual Meeting: </w:t>
      </w:r>
      <w:r>
        <w:rPr>
          <w:rFonts w:ascii="Arial" w:cs="Arial" w:eastAsia="Arial" w:hAnsi="Arial"/>
          <w:sz w:val="15"/>
          <w:szCs w:val="15"/>
          <w:color w:val="auto"/>
        </w:rPr>
        <w:t>The Notice &amp; Proxy Statement, Annual Report is/are available at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FF"/>
        </w:rPr>
        <w:t>www.proxyvote.com.</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243205</wp:posOffset>
            </wp:positionV>
            <wp:extent cx="7195820" cy="399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5820" cy="39903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EAGLE MATERIALS INC.</w:t>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THIS PROXY IS SOLICITED ON BEHALF OF</w:t>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THE BOARD OF DIRECTORS</w:t>
      </w:r>
    </w:p>
    <w:p>
      <w:pPr>
        <w:spacing w:after="0" w:line="200" w:lineRule="exact"/>
        <w:rPr>
          <w:sz w:val="20"/>
          <w:szCs w:val="20"/>
          <w:color w:val="auto"/>
        </w:rPr>
      </w:pPr>
    </w:p>
    <w:p>
      <w:pPr>
        <w:spacing w:after="0" w:line="340"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ANNUAL MEETING OF STOCKHOLDERS</w:t>
      </w:r>
    </w:p>
    <w:p>
      <w:pPr>
        <w:spacing w:after="0" w:line="29"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August 7, 2014</w:t>
      </w:r>
    </w:p>
    <w:p>
      <w:pPr>
        <w:spacing w:after="0" w:line="31" w:lineRule="exact"/>
        <w:rPr>
          <w:sz w:val="20"/>
          <w:szCs w:val="20"/>
          <w:color w:val="auto"/>
        </w:rPr>
      </w:pPr>
    </w:p>
    <w:p>
      <w:pPr>
        <w:ind w:left="640"/>
        <w:spacing w:after="0" w:line="269" w:lineRule="auto"/>
        <w:rPr>
          <w:sz w:val="20"/>
          <w:szCs w:val="20"/>
          <w:color w:val="auto"/>
        </w:rPr>
      </w:pPr>
      <w:r>
        <w:rPr>
          <w:rFonts w:ascii="Arial" w:cs="Arial" w:eastAsia="Arial" w:hAnsi="Arial"/>
          <w:sz w:val="15"/>
          <w:szCs w:val="15"/>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7, 2014 at Arlington Hall at Lee Park, 3333 Turtle Creek Blvd., Dallas, Texas 75219, and any adjournment or postponement thereof.</w:t>
      </w:r>
    </w:p>
    <w:p>
      <w:pPr>
        <w:spacing w:after="0" w:line="2" w:lineRule="exact"/>
        <w:rPr>
          <w:sz w:val="20"/>
          <w:szCs w:val="20"/>
          <w:color w:val="auto"/>
        </w:rPr>
      </w:pPr>
    </w:p>
    <w:p>
      <w:pPr>
        <w:ind w:left="640" w:right="40"/>
        <w:spacing w:after="0" w:line="268" w:lineRule="auto"/>
        <w:rPr>
          <w:sz w:val="20"/>
          <w:szCs w:val="20"/>
          <w:color w:val="auto"/>
        </w:rPr>
      </w:pPr>
      <w:r>
        <w:rPr>
          <w:rFonts w:ascii="Arial" w:cs="Arial" w:eastAsia="Arial" w:hAnsi="Arial"/>
          <w:sz w:val="15"/>
          <w:szCs w:val="15"/>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w:t>
      </w:r>
    </w:p>
    <w:p>
      <w:pPr>
        <w:spacing w:after="0" w:line="2" w:lineRule="exact"/>
        <w:rPr>
          <w:sz w:val="20"/>
          <w:szCs w:val="20"/>
          <w:color w:val="auto"/>
        </w:rPr>
      </w:pPr>
    </w:p>
    <w:p>
      <w:pPr>
        <w:ind w:left="640" w:right="80"/>
        <w:spacing w:after="0" w:line="268" w:lineRule="auto"/>
        <w:rPr>
          <w:sz w:val="20"/>
          <w:szCs w:val="20"/>
          <w:color w:val="auto"/>
        </w:rPr>
      </w:pPr>
      <w:r>
        <w:rPr>
          <w:rFonts w:ascii="Arial" w:cs="Arial" w:eastAsia="Arial" w:hAnsi="Arial"/>
          <w:sz w:val="15"/>
          <w:szCs w:val="15"/>
          <w:b w:val="1"/>
          <w:bCs w:val="1"/>
          <w:color w:val="auto"/>
        </w:rPr>
        <w:t>By execution of this proxy, the undersigned hereby acknowledges receipt of the Notice of Annual Meeting and Proxy Statement for the August 7, 2014 Annual Meeting.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*For address changes, please contact our transfer agent, Computershare Shareowner Services LLC, at 1-800-279-1248.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65405" cy="1054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0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100"/>
      </w:cols>
      <w:pgMar w:left="240" w:top="44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upperLetter"/>
      <w:start w:val="24"/>
    </w:lvl>
  </w:abstractNum>
  <w:abstractNum w:abstractNumId="2">
    <w:nsid w:val="836C40E"/>
    <w:multiLevelType w:val="hybridMultilevel"/>
    <w:lvl w:ilvl="0">
      <w:lvlJc w:val="left"/>
      <w:lvlText w:val="[%1]"/>
      <w:numFmt w:val="upperLetter"/>
      <w:start w:val="24"/>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4"/>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lvl w:ilvl="1">
      <w:lvlJc w:val="left"/>
      <w:lvlText w:val="\endash "/>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lvl w:ilvl="1">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lvl w:ilvl="1">
      <w:lvlJc w:val="left"/>
      <w:lvlText w:val="•"/>
      <w:numFmt w:val="bullet"/>
      <w:start w:val="1"/>
    </w:lvl>
  </w:abstractNum>
  <w:abstractNum w:abstractNumId="34">
    <w:nsid w:val="2CD89A32"/>
    <w:multiLevelType w:val="hybridMultilevel"/>
    <w:lvl w:ilvl="0">
      <w:lvlJc w:val="left"/>
      <w:lvlText w:val="(%1)"/>
      <w:numFmt w:val="decimal"/>
      <w:start w:val="1"/>
    </w:lvl>
    <w:lvl w:ilvl="1">
      <w:lvlJc w:val="left"/>
      <w:lvlText w:val="(%2)"/>
      <w:numFmt w:val="lowerLetter"/>
      <w:start w:val="2"/>
    </w:lvl>
  </w:abstractNum>
  <w:abstractNum w:abstractNumId="35">
    <w:nsid w:val="57E4CCAF"/>
    <w:multiLevelType w:val="hybridMultilevel"/>
    <w:lvl w:ilvl="0">
      <w:lvlJc w:val="left"/>
      <w:lvlText w:val="(%1)"/>
      <w:numFmt w:val="decimal"/>
      <w:start w:val="4"/>
    </w:lvl>
  </w:abstractNum>
  <w:abstractNum w:abstractNumId="36">
    <w:nsid w:val="7A6D8D3C"/>
    <w:multiLevelType w:val="hybridMultilevel"/>
    <w:lvl w:ilvl="0">
      <w:lvlJc w:val="left"/>
      <w:lvlText w:val="(%1)"/>
      <w:numFmt w:val="decimal"/>
      <w:start w:val="5"/>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lvl w:ilvl="1">
      <w:lvlJc w:val="left"/>
      <w:lvlText w:val="%2."/>
      <w:numFmt w:val="low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7"/>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2"/>
      <w:numFmt w:val="bullet"/>
      <w:start w:val="1"/>
    </w:lvl>
  </w:abstractNum>
  <w:abstractNum w:abstractNumId="53">
    <w:nsid w:val="374A3FE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2019-12-06T09:40:30Z</dcterms:created>
  <dcterms:modified xsi:type="dcterms:W3CDTF">2019-12-06T09:40:30Z</dcterms:modified>
</cp:coreProperties>
</file>