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Carter Margot Lebenberg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LN., STE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4"/>
        <w:gridCol w:w="931"/>
        <w:gridCol w:w="799"/>
        <w:gridCol w:w="618"/>
        <w:gridCol w:w="346"/>
        <w:gridCol w:w="875"/>
        <w:gridCol w:w="430"/>
        <w:gridCol w:w="1103"/>
        <w:gridCol w:w="1135"/>
        <w:gridCol w:w="98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11,972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478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11,494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2,517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203.5719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8,977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1,659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204.561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7,318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561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212.35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6,757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30, 2026, the reporting person was granted 1,400 shares of restricted stock. The restrictions will lapse on July 30,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price represents the weighted average purchase price for multiple transactions reported on this line. The prices of the transactions reported on this line range from $203.24 to $204.175. Upon request by the SEC staff, the issuer or a security holder of the issuer, the reporting person will undertake to provide full information regarding the number of shares and prices at which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price represents the weighted average purchase price for multiple transactions reported on this line. The prices of the transactions reported on this line range from $204.255 to $204.67. Upon request by the SEC staff, the issuer or a security holder of the issuer, the reporting person will undertake to provide full information regarding the number of shares and prices at which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Margot Lebenberg Carter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8430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758</Words>
  <Characters>4060</Characters>
  <CharactersWithSpaces>4718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