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2022</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EAGLE MATERIALS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50" w:lineRule="exact"/>
        <w:rPr>
          <w:sz w:val="24"/>
          <w:szCs w:val="24"/>
          <w:color w:val="auto"/>
        </w:rPr>
      </w:pPr>
    </w:p>
    <w:p>
      <w:pPr>
        <w:ind w:left="3540" w:hanging="477"/>
        <w:spacing w:after="0"/>
        <w:tabs>
          <w:tab w:leader="none" w:pos="3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8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EXP</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29" w:lineRule="exact"/>
        <w:rPr>
          <w:sz w:val="24"/>
          <w:szCs w:val="24"/>
          <w:color w:val="auto"/>
        </w:rPr>
      </w:pPr>
    </w:p>
    <w:p>
      <w:pPr>
        <w:jc w:val="both"/>
        <w:spacing w:after="0" w:line="25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4"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5"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840"/>
              <w:spacing w:after="0"/>
              <w:rPr>
                <w:sz w:val="20"/>
                <w:szCs w:val="20"/>
                <w:color w:val="auto"/>
              </w:rPr>
            </w:pPr>
            <w:r>
              <w:rPr>
                <w:rFonts w:ascii="Arial" w:cs="Arial" w:eastAsia="Arial" w:hAnsi="Arial"/>
                <w:sz w:val="16"/>
                <w:szCs w:val="16"/>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2720" w:type="dxa"/>
            <w:vAlign w:val="bottom"/>
          </w:tcPr>
          <w:p>
            <w:pPr>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840"/>
              <w:spacing w:after="0"/>
              <w:rPr>
                <w:sz w:val="20"/>
                <w:szCs w:val="20"/>
                <w:color w:val="auto"/>
              </w:rPr>
            </w:pPr>
            <w:r>
              <w:rPr>
                <w:rFonts w:ascii="Arial" w:cs="Arial" w:eastAsia="Arial" w:hAnsi="Arial"/>
                <w:sz w:val="16"/>
                <w:szCs w:val="16"/>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4"/>
        </w:trPr>
        <w:tc>
          <w:tcPr>
            <w:tcW w:w="27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7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71"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5" w:lineRule="exact"/>
        <w:rPr>
          <w:sz w:val="24"/>
          <w:szCs w:val="24"/>
          <w:color w:val="auto"/>
        </w:rPr>
      </w:pPr>
    </w:p>
    <w:p>
      <w:pPr>
        <w:ind w:left="5060"/>
        <w:spacing w:after="0" w:line="184" w:lineRule="exact"/>
        <w:tabs>
          <w:tab w:leader="none" w:pos="57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As of January 24, 2023, the number of outstanding shares of common stock was:</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Class</w:t>
            </w:r>
          </w:p>
        </w:tc>
        <w:tc>
          <w:tcPr>
            <w:tcW w:w="100" w:type="dxa"/>
            <w:vAlign w:val="bottom"/>
          </w:tcPr>
          <w:p>
            <w:pPr>
              <w:spacing w:after="0"/>
              <w:rPr>
                <w:sz w:val="19"/>
                <w:szCs w:val="19"/>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Shares</w:t>
            </w:r>
          </w:p>
        </w:tc>
      </w:tr>
      <w:tr>
        <w:trPr>
          <w:trHeight w:val="394"/>
        </w:trPr>
        <w:tc>
          <w:tcPr>
            <w:tcW w:w="5640" w:type="dxa"/>
            <w:vAlign w:val="bottom"/>
          </w:tcPr>
          <w:p>
            <w:pPr>
              <w:jc w:val="center"/>
              <w:spacing w:after="0"/>
              <w:rPr>
                <w:sz w:val="20"/>
                <w:szCs w:val="20"/>
                <w:color w:val="auto"/>
              </w:rPr>
            </w:pPr>
            <w:r>
              <w:rPr>
                <w:rFonts w:ascii="Arial" w:cs="Arial" w:eastAsia="Arial" w:hAnsi="Arial"/>
                <w:sz w:val="16"/>
                <w:szCs w:val="16"/>
                <w:color w:val="auto"/>
              </w:rPr>
              <w:t>Common Stock, $.01 Par Value</w:t>
            </w:r>
          </w:p>
        </w:tc>
        <w:tc>
          <w:tcPr>
            <w:tcW w:w="5600" w:type="dxa"/>
            <w:vAlign w:val="bottom"/>
            <w:gridSpan w:val="2"/>
          </w:tcPr>
          <w:p>
            <w:pPr>
              <w:jc w:val="right"/>
              <w:ind w:right="2259"/>
              <w:spacing w:after="0"/>
              <w:rPr>
                <w:sz w:val="20"/>
                <w:szCs w:val="20"/>
                <w:color w:val="auto"/>
              </w:rPr>
            </w:pPr>
            <w:r>
              <w:rPr>
                <w:rFonts w:ascii="Arial" w:cs="Arial" w:eastAsia="Arial" w:hAnsi="Arial"/>
                <w:sz w:val="16"/>
                <w:szCs w:val="16"/>
                <w:color w:val="auto"/>
              </w:rPr>
              <w:t>36,052,274</w:t>
            </w:r>
          </w:p>
        </w:tc>
      </w:tr>
      <w:tr>
        <w:trPr>
          <w:trHeight w:val="87"/>
        </w:trPr>
        <w:tc>
          <w:tcPr>
            <w:tcW w:w="5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500" w:type="dxa"/>
            <w:vAlign w:val="bottom"/>
            <w:tcBorders>
              <w:bottom w:val="single" w:sz="8" w:color="auto"/>
            </w:tcBorders>
          </w:tcPr>
          <w:p>
            <w:pPr>
              <w:spacing w:after="0"/>
              <w:rPr>
                <w:sz w:val="7"/>
                <w:szCs w:val="7"/>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555"/>
        </w:trPr>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auto"/>
              </w:rPr>
              <w:t>Consolidated Financial Statements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auto"/>
              </w:rPr>
              <w:t>Consolidated Statements of Earnings for the Three and Nine Months Ended December 31, 2022 and 2021</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auto"/>
              </w:rPr>
              <w:t>Consolidated Statements of Comprehensive Earnings for the Three and Nine Months Ended December 31, 2022 and</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2021</w:t>
            </w:r>
          </w:p>
        </w:tc>
        <w:tc>
          <w:tcPr>
            <w:tcW w:w="3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3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auto"/>
              </w:rPr>
              <w:t>Consolidated Balance Sheets as of December 31, 2022, and March 31, 2022</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auto"/>
              </w:rPr>
              <w:t>Consolidated Statements of Cash Flows for the Nine Months Ended December 31, 2022 and 2021</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auto"/>
              </w:rPr>
              <w:t>Consolidated Statements of Stockholders' Equity for the Three and Nine Months Ended December 31, 2022 and 2021</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auto"/>
                <w:w w:val="99"/>
              </w:rPr>
              <w:t>Notes to Unaudited Consolidated Financial Statements</w:t>
            </w:r>
          </w:p>
        </w:tc>
        <w:tc>
          <w:tcPr>
            <w:tcW w:w="4800" w:type="dxa"/>
            <w:vAlign w:val="bottom"/>
            <w:tcBorders>
              <w:top w:val="single" w:sz="8" w:color="0000EE"/>
            </w:tcBorders>
            <w:gridSpan w:val="8"/>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40" w:type="dxa"/>
            <w:vAlign w:val="bottom"/>
            <w:gridSpan w:val="17"/>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7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2360" w:type="dxa"/>
            <w:vAlign w:val="bottom"/>
            <w:tcBorders>
              <w:top w:val="single" w:sz="8" w:color="0000EE"/>
            </w:tcBorders>
            <w:gridSpan w:val="4"/>
          </w:tcPr>
          <w:p>
            <w:pPr>
              <w:spacing w:after="0"/>
              <w:rPr>
                <w:sz w:val="24"/>
                <w:szCs w:val="24"/>
                <w:color w:val="auto"/>
              </w:rPr>
            </w:pPr>
          </w:p>
        </w:tc>
        <w:tc>
          <w:tcPr>
            <w:tcW w:w="246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0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w w:val="99"/>
              </w:rPr>
              <w:t>Controls and Procedures</w:t>
            </w:r>
          </w:p>
        </w:tc>
        <w:tc>
          <w:tcPr>
            <w:tcW w:w="754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2940" w:type="dxa"/>
            <w:vAlign w:val="bottom"/>
            <w:tcBorders>
              <w:bottom w:val="single" w:sz="8" w:color="auto"/>
            </w:tcBorders>
            <w:gridSpan w:val="7"/>
          </w:tcPr>
          <w:p>
            <w:pPr>
              <w:spacing w:after="0"/>
              <w:rPr>
                <w:sz w:val="20"/>
                <w:szCs w:val="20"/>
                <w:color w:val="auto"/>
              </w:rPr>
            </w:pPr>
            <w:r>
              <w:rPr>
                <w:rFonts w:ascii="Arial" w:cs="Arial" w:eastAsia="Arial" w:hAnsi="Arial"/>
                <w:sz w:val="20"/>
                <w:szCs w:val="20"/>
                <w:b w:val="1"/>
                <w:bCs w:val="1"/>
                <w:color w:val="auto"/>
                <w:w w:val="97"/>
              </w:rPr>
              <w:t>PART II. OTHER INFORMATION</w:t>
            </w:r>
          </w:p>
        </w:tc>
        <w:tc>
          <w:tcPr>
            <w:tcW w:w="762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auto"/>
                <w:w w:val="99"/>
              </w:rPr>
              <w:t>Legal Proceedings</w:t>
            </w:r>
          </w:p>
        </w:tc>
        <w:tc>
          <w:tcPr>
            <w:tcW w:w="804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40" w:type="dxa"/>
            <w:vAlign w:val="bottom"/>
            <w:gridSpan w:val="17"/>
          </w:tcPr>
          <w:p>
            <w:pPr>
              <w:spacing w:after="0"/>
              <w:rPr>
                <w:sz w:val="20"/>
                <w:szCs w:val="20"/>
                <w:color w:val="auto"/>
              </w:rPr>
            </w:pPr>
            <w:r>
              <w:rPr>
                <w:rFonts w:ascii="Arial" w:cs="Arial" w:eastAsia="Arial" w:hAnsi="Arial"/>
                <w:sz w:val="18"/>
                <w:szCs w:val="18"/>
                <w:color w:val="auto"/>
              </w:rPr>
              <w:t>Risk Factors</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48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w w:val="99"/>
              </w:rPr>
              <w:t>Unregistered Sales of Equity Securities and Use of Proceeds</w:t>
            </w:r>
          </w:p>
        </w:tc>
        <w:tc>
          <w:tcPr>
            <w:tcW w:w="468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40" w:type="dxa"/>
            <w:vAlign w:val="bottom"/>
            <w:gridSpan w:val="17"/>
          </w:tcPr>
          <w:p>
            <w:pPr>
              <w:spacing w:after="0"/>
              <w:rPr>
                <w:sz w:val="20"/>
                <w:szCs w:val="20"/>
                <w:color w:val="auto"/>
              </w:rPr>
            </w:pPr>
            <w:r>
              <w:rPr>
                <w:rFonts w:ascii="Arial" w:cs="Arial" w:eastAsia="Arial" w:hAnsi="Arial"/>
                <w:sz w:val="18"/>
                <w:szCs w:val="18"/>
                <w:color w:val="auto"/>
              </w:rPr>
              <w:t>Mine Safety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auto"/>
                <w:w w:val="98"/>
              </w:rPr>
              <w:t>Exhibits</w:t>
            </w:r>
          </w:p>
        </w:tc>
        <w:tc>
          <w:tcPr>
            <w:tcW w:w="1260" w:type="dxa"/>
            <w:vAlign w:val="bottom"/>
            <w:tcBorders>
              <w:top w:val="single" w:sz="8" w:color="0000EE"/>
            </w:tcBorders>
            <w:gridSpan w:val="3"/>
          </w:tcPr>
          <w:p>
            <w:pPr>
              <w:spacing w:after="0"/>
              <w:rPr>
                <w:sz w:val="24"/>
                <w:szCs w:val="24"/>
                <w:color w:val="auto"/>
              </w:rPr>
            </w:pPr>
          </w:p>
        </w:tc>
        <w:tc>
          <w:tcPr>
            <w:tcW w:w="764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560" w:type="dxa"/>
            <w:vAlign w:val="bottom"/>
            <w:gridSpan w:val="18"/>
          </w:tcPr>
          <w:p>
            <w:pPr>
              <w:spacing w:after="0"/>
              <w:rPr>
                <w:sz w:val="20"/>
                <w:szCs w:val="20"/>
                <w:color w:val="auto"/>
              </w:rPr>
            </w:pPr>
            <w:r>
              <w:rPr>
                <w:rFonts w:ascii="Arial" w:cs="Arial" w:eastAsia="Arial" w:hAnsi="Arial"/>
                <w:sz w:val="18"/>
                <w:szCs w:val="18"/>
                <w:b w:val="1"/>
                <w:bCs w:val="1"/>
                <w:color w:val="auto"/>
              </w:rPr>
              <w:t>SIGNATURES</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120" w:type="dxa"/>
            <w:vAlign w:val="bottom"/>
            <w:shd w:val="clear" w:color="auto" w:fill="004483"/>
          </w:tcPr>
          <w:p>
            <w:pPr>
              <w:spacing w:after="0"/>
              <w:rPr>
                <w:sz w:val="16"/>
                <w:szCs w:val="16"/>
                <w:color w:val="auto"/>
              </w:rPr>
            </w:pPr>
          </w:p>
        </w:tc>
        <w:tc>
          <w:tcPr>
            <w:tcW w:w="2840" w:type="dxa"/>
            <w:vAlign w:val="bottom"/>
            <w:gridSpan w:val="7"/>
            <w:shd w:val="clear" w:color="auto" w:fill="004483"/>
          </w:tcPr>
          <w:p>
            <w:pPr>
              <w:jc w:val="right"/>
              <w:ind w:right="260"/>
              <w:spacing w:after="0"/>
              <w:rPr>
                <w:sz w:val="20"/>
                <w:szCs w:val="20"/>
                <w:color w:val="auto"/>
              </w:rPr>
            </w:pPr>
            <w:r>
              <w:rPr>
                <w:rFonts w:ascii="Arial" w:cs="Arial" w:eastAsia="Arial" w:hAnsi="Arial"/>
                <w:sz w:val="13"/>
                <w:szCs w:val="13"/>
                <w:b w:val="1"/>
                <w:bCs w:val="1"/>
                <w:color w:val="FFFFFF"/>
                <w:w w:val="96"/>
              </w:rPr>
              <w:t>For the Three Months Ended December 31,</w:t>
            </w:r>
          </w:p>
        </w:tc>
        <w:tc>
          <w:tcPr>
            <w:tcW w:w="140" w:type="dxa"/>
            <w:vAlign w:val="bottom"/>
          </w:tcPr>
          <w:p>
            <w:pPr>
              <w:spacing w:after="0"/>
              <w:rPr>
                <w:sz w:val="16"/>
                <w:szCs w:val="16"/>
                <w:color w:val="auto"/>
              </w:rPr>
            </w:pPr>
          </w:p>
        </w:tc>
        <w:tc>
          <w:tcPr>
            <w:tcW w:w="120" w:type="dxa"/>
            <w:vAlign w:val="bottom"/>
            <w:shd w:val="clear" w:color="auto" w:fill="004483"/>
          </w:tcPr>
          <w:p>
            <w:pPr>
              <w:spacing w:after="0"/>
              <w:rPr>
                <w:sz w:val="16"/>
                <w:szCs w:val="16"/>
                <w:color w:val="auto"/>
              </w:rPr>
            </w:pPr>
          </w:p>
        </w:tc>
        <w:tc>
          <w:tcPr>
            <w:tcW w:w="2740" w:type="dxa"/>
            <w:vAlign w:val="bottom"/>
            <w:gridSpan w:val="6"/>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Nine Months Ended December 31,</w:t>
            </w:r>
          </w:p>
        </w:tc>
      </w:tr>
      <w:tr>
        <w:trPr>
          <w:trHeight w:val="187"/>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r>
      <w:tr>
        <w:trPr>
          <w:trHeight w:val="185"/>
        </w:trPr>
        <w:tc>
          <w:tcPr>
            <w:tcW w:w="528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16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3200" w:type="dxa"/>
            <w:vAlign w:val="bottom"/>
            <w:tcBorders>
              <w:bottom w:val="single" w:sz="8" w:color="004483"/>
            </w:tcBorders>
            <w:gridSpan w:val="10"/>
          </w:tcPr>
          <w:p>
            <w:pPr>
              <w:spacing w:after="0"/>
              <w:rPr>
                <w:sz w:val="20"/>
                <w:szCs w:val="20"/>
                <w:color w:val="auto"/>
              </w:rPr>
            </w:pPr>
            <w:r>
              <w:rPr>
                <w:rFonts w:ascii="Arial" w:cs="Arial" w:eastAsia="Arial" w:hAnsi="Arial"/>
                <w:sz w:val="13"/>
                <w:szCs w:val="13"/>
                <w:color w:val="auto"/>
                <w:w w:val="99"/>
              </w:rPr>
              <w:t>(dollars in thousands, except share and per share data)</w:t>
            </w:r>
          </w:p>
        </w:tc>
        <w:tc>
          <w:tcPr>
            <w:tcW w:w="280" w:type="dxa"/>
            <w:vAlign w:val="bottom"/>
            <w:tcBorders>
              <w:bottom w:val="single" w:sz="8" w:color="004483"/>
            </w:tcBorders>
          </w:tcPr>
          <w:p>
            <w:pPr>
              <w:spacing w:after="0"/>
              <w:rPr>
                <w:sz w:val="16"/>
                <w:szCs w:val="16"/>
                <w:color w:val="auto"/>
              </w:rPr>
            </w:pPr>
          </w:p>
        </w:tc>
        <w:tc>
          <w:tcPr>
            <w:tcW w:w="10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5280" w:type="dxa"/>
            <w:vAlign w:val="bottom"/>
          </w:tcPr>
          <w:p>
            <w:pPr>
              <w:ind w:left="200"/>
              <w:spacing w:after="0"/>
              <w:rPr>
                <w:sz w:val="20"/>
                <w:szCs w:val="20"/>
                <w:color w:val="auto"/>
              </w:rPr>
            </w:pPr>
            <w:r>
              <w:rPr>
                <w:rFonts w:ascii="Arial" w:cs="Arial" w:eastAsia="Arial" w:hAnsi="Arial"/>
                <w:sz w:val="16"/>
                <w:szCs w:val="16"/>
                <w:color w:val="004483"/>
              </w:rPr>
              <w:t>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511,487</w:t>
            </w:r>
          </w:p>
        </w:tc>
        <w:tc>
          <w:tcPr>
            <w:tcW w:w="100" w:type="dxa"/>
            <w:vAlign w:val="bottom"/>
          </w:tcPr>
          <w:p>
            <w:pPr>
              <w:spacing w:after="0"/>
              <w:rPr>
                <w:sz w:val="19"/>
                <w:szCs w:val="19"/>
                <w:color w:val="auto"/>
              </w:rPr>
            </w:pPr>
          </w:p>
        </w:tc>
        <w:tc>
          <w:tcPr>
            <w:tcW w:w="46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462,941</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1,677,942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1,448,405</w:t>
            </w:r>
          </w:p>
        </w:tc>
        <w:tc>
          <w:tcPr>
            <w:tcW w:w="100" w:type="dxa"/>
            <w:vAlign w:val="bottom"/>
          </w:tcPr>
          <w:p>
            <w:pPr>
              <w:spacing w:after="0"/>
              <w:rPr>
                <w:sz w:val="19"/>
                <w:szCs w:val="19"/>
                <w:color w:val="auto"/>
              </w:rPr>
            </w:pPr>
          </w:p>
        </w:tc>
      </w:tr>
      <w:tr>
        <w:trPr>
          <w:trHeight w:val="240"/>
        </w:trPr>
        <w:tc>
          <w:tcPr>
            <w:tcW w:w="52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Cost of Goods Sold</w:t>
            </w:r>
          </w:p>
        </w:tc>
        <w:tc>
          <w:tcPr>
            <w:tcW w:w="120" w:type="dxa"/>
            <w:vAlign w:val="bottom"/>
            <w:tcBorders>
              <w:top w:val="single" w:sz="8" w:color="A6A6A6"/>
              <w:bottom w:val="single" w:sz="8" w:color="004483"/>
            </w:tcBorders>
          </w:tcPr>
          <w:p>
            <w:pPr>
              <w:spacing w:after="0"/>
              <w:rPr>
                <w:sz w:val="20"/>
                <w:szCs w:val="20"/>
                <w:color w:val="auto"/>
              </w:rPr>
            </w:pPr>
          </w:p>
        </w:tc>
        <w:tc>
          <w:tcPr>
            <w:tcW w:w="11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352,717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300" w:type="dxa"/>
            <w:vAlign w:val="bottom"/>
            <w:tcBorders>
              <w:top w:val="single" w:sz="8" w:color="A6A6A6"/>
              <w:bottom w:val="single" w:sz="8" w:color="004483"/>
            </w:tcBorders>
          </w:tcPr>
          <w:p>
            <w:pPr>
              <w:spacing w:after="0"/>
              <w:rPr>
                <w:sz w:val="20"/>
                <w:szCs w:val="20"/>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324,355</w:t>
            </w:r>
          </w:p>
        </w:tc>
        <w:tc>
          <w:tcPr>
            <w:tcW w:w="12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20" w:type="dxa"/>
            <w:vAlign w:val="bottom"/>
            <w:tcBorders>
              <w:top w:val="single" w:sz="8" w:color="A6A6A6"/>
              <w:bottom w:val="single" w:sz="8" w:color="004483"/>
            </w:tcBorders>
          </w:tcPr>
          <w:p>
            <w:pPr>
              <w:spacing w:after="0"/>
              <w:rPr>
                <w:sz w:val="20"/>
                <w:szCs w:val="20"/>
                <w:color w:val="auto"/>
              </w:rPr>
            </w:pPr>
          </w:p>
        </w:tc>
        <w:tc>
          <w:tcPr>
            <w:tcW w:w="11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1,174,067</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280" w:type="dxa"/>
            <w:vAlign w:val="bottom"/>
            <w:tcBorders>
              <w:top w:val="single" w:sz="8" w:color="A6A6A6"/>
              <w:bottom w:val="single" w:sz="8" w:color="004483"/>
            </w:tcBorders>
          </w:tcPr>
          <w:p>
            <w:pPr>
              <w:spacing w:after="0"/>
              <w:rPr>
                <w:sz w:val="20"/>
                <w:szCs w:val="20"/>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1,027,967</w:t>
            </w:r>
          </w:p>
        </w:tc>
        <w:tc>
          <w:tcPr>
            <w:tcW w:w="100" w:type="dxa"/>
            <w:vAlign w:val="bottom"/>
          </w:tcPr>
          <w:p>
            <w:pPr>
              <w:spacing w:after="0"/>
              <w:rPr>
                <w:sz w:val="20"/>
                <w:szCs w:val="20"/>
                <w:color w:val="auto"/>
              </w:rPr>
            </w:pPr>
          </w:p>
        </w:tc>
      </w:tr>
      <w:tr>
        <w:trPr>
          <w:trHeight w:val="220"/>
        </w:trPr>
        <w:tc>
          <w:tcPr>
            <w:tcW w:w="528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Gross Profit</w:t>
            </w:r>
          </w:p>
        </w:tc>
        <w:tc>
          <w:tcPr>
            <w:tcW w:w="12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158,770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30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138,586</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503,875</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420,438</w:t>
            </w:r>
          </w:p>
        </w:tc>
        <w:tc>
          <w:tcPr>
            <w:tcW w:w="100" w:type="dxa"/>
            <w:vAlign w:val="bottom"/>
          </w:tcPr>
          <w:p>
            <w:pPr>
              <w:spacing w:after="0"/>
              <w:rPr>
                <w:sz w:val="19"/>
                <w:szCs w:val="19"/>
                <w:color w:val="auto"/>
              </w:rPr>
            </w:pPr>
          </w:p>
        </w:tc>
      </w:tr>
      <w:tr>
        <w:trPr>
          <w:trHeight w:val="223"/>
        </w:trPr>
        <w:tc>
          <w:tcPr>
            <w:tcW w:w="52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12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11,377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30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8,555</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23,631</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24,785</w:t>
            </w:r>
          </w:p>
        </w:tc>
        <w:tc>
          <w:tcPr>
            <w:tcW w:w="100" w:type="dxa"/>
            <w:vAlign w:val="bottom"/>
          </w:tcPr>
          <w:p>
            <w:pPr>
              <w:spacing w:after="0"/>
              <w:rPr>
                <w:sz w:val="19"/>
                <w:szCs w:val="19"/>
                <w:color w:val="auto"/>
              </w:rPr>
            </w:pPr>
          </w:p>
        </w:tc>
      </w:tr>
      <w:tr>
        <w:trPr>
          <w:trHeight w:val="223"/>
        </w:trPr>
        <w:tc>
          <w:tcPr>
            <w:tcW w:w="5280" w:type="dxa"/>
            <w:vAlign w:val="bottom"/>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(12,497 )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(12,851 )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(37,944 )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(32,986 )</w:t>
            </w:r>
          </w:p>
        </w:tc>
      </w:tr>
      <w:tr>
        <w:trPr>
          <w:trHeight w:val="20"/>
        </w:trPr>
        <w:tc>
          <w:tcPr>
            <w:tcW w:w="528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280" w:type="dxa"/>
            <w:vAlign w:val="bottom"/>
          </w:tcPr>
          <w:p>
            <w:pPr>
              <w:ind w:left="200"/>
              <w:spacing w:after="0"/>
              <w:rPr>
                <w:sz w:val="20"/>
                <w:szCs w:val="20"/>
                <w:color w:val="auto"/>
              </w:rPr>
            </w:pPr>
            <w:r>
              <w:rPr>
                <w:rFonts w:ascii="Arial" w:cs="Arial" w:eastAsia="Arial" w:hAnsi="Arial"/>
                <w:sz w:val="16"/>
                <w:szCs w:val="16"/>
                <w:color w:val="004483"/>
              </w:rPr>
              <w:t>Loss on Early Retirement of Senior Notes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r>
      <w:tr>
        <w:trPr>
          <w:trHeight w:val="223"/>
        </w:trPr>
        <w:tc>
          <w:tcPr>
            <w:tcW w:w="52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Other Nonoperating Income</w:t>
            </w:r>
          </w:p>
        </w:tc>
        <w:tc>
          <w:tcPr>
            <w:tcW w:w="120" w:type="dxa"/>
            <w:vAlign w:val="bottom"/>
            <w:tcBorders>
              <w:top w:val="single" w:sz="8" w:color="A6A6A6"/>
              <w:bottom w:val="single" w:sz="8" w:color="A6A6A6"/>
            </w:tcBorders>
          </w:tcPr>
          <w:p>
            <w:pPr>
              <w:spacing w:after="0"/>
              <w:rPr>
                <w:sz w:val="19"/>
                <w:szCs w:val="19"/>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2,210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3,207</w:t>
            </w:r>
          </w:p>
        </w:tc>
        <w:tc>
          <w:tcPr>
            <w:tcW w:w="12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1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5,941</w:t>
            </w:r>
          </w:p>
        </w:tc>
        <w:tc>
          <w:tcPr>
            <w:tcW w:w="100" w:type="dxa"/>
            <w:vAlign w:val="bottom"/>
          </w:tcPr>
          <w:p>
            <w:pPr>
              <w:spacing w:after="0"/>
              <w:rPr>
                <w:sz w:val="19"/>
                <w:szCs w:val="19"/>
                <w:color w:val="auto"/>
              </w:rPr>
            </w:pPr>
          </w:p>
        </w:tc>
      </w:tr>
      <w:tr>
        <w:trPr>
          <w:trHeight w:val="239"/>
        </w:trPr>
        <w:tc>
          <w:tcPr>
            <w:tcW w:w="5280" w:type="dxa"/>
            <w:vAlign w:val="bottom"/>
          </w:tcPr>
          <w:p>
            <w:pPr>
              <w:ind w:left="200"/>
              <w:spacing w:after="0"/>
              <w:rPr>
                <w:sz w:val="20"/>
                <w:szCs w:val="20"/>
                <w:color w:val="auto"/>
              </w:rPr>
            </w:pPr>
            <w:r>
              <w:rPr>
                <w:rFonts w:ascii="Arial" w:cs="Arial" w:eastAsia="Arial" w:hAnsi="Arial"/>
                <w:sz w:val="16"/>
                <w:szCs w:val="16"/>
                <w:color w:val="004483"/>
              </w:rPr>
              <w:t>Interest Expense, net</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(8,932 )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(5,651 )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(24,842 )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(24,891 )</w:t>
            </w:r>
          </w:p>
        </w:tc>
      </w:tr>
      <w:tr>
        <w:trPr>
          <w:trHeight w:val="220"/>
        </w:trPr>
        <w:tc>
          <w:tcPr>
            <w:tcW w:w="5280" w:type="dxa"/>
            <w:vAlign w:val="bottom"/>
            <w:tcBorders>
              <w:top w:val="single" w:sz="8" w:color="A6A6A6"/>
              <w:bottom w:val="single" w:sz="8" w:color="A6A6A6"/>
            </w:tcBorders>
          </w:tcPr>
          <w:p>
            <w:pPr>
              <w:ind w:left="380"/>
              <w:spacing w:after="0"/>
              <w:rPr>
                <w:sz w:val="20"/>
                <w:szCs w:val="20"/>
                <w:color w:val="auto"/>
              </w:rPr>
            </w:pPr>
            <w:r>
              <w:rPr>
                <w:rFonts w:ascii="Arial" w:cs="Arial" w:eastAsia="Arial" w:hAnsi="Arial"/>
                <w:sz w:val="16"/>
                <w:szCs w:val="16"/>
                <w:color w:val="004483"/>
              </w:rPr>
              <w:t>Earnings Before Income Taxes</w:t>
            </w:r>
          </w:p>
        </w:tc>
        <w:tc>
          <w:tcPr>
            <w:tcW w:w="120" w:type="dxa"/>
            <w:vAlign w:val="bottom"/>
            <w:tcBorders>
              <w:top w:val="single" w:sz="8" w:color="004483"/>
              <w:bottom w:val="single" w:sz="8" w:color="A6A6A6"/>
            </w:tcBorders>
          </w:tcPr>
          <w:p>
            <w:pPr>
              <w:spacing w:after="0"/>
              <w:rPr>
                <w:sz w:val="19"/>
                <w:szCs w:val="19"/>
                <w:color w:val="auto"/>
              </w:rPr>
            </w:pP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150,928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004483"/>
              <w:bottom w:val="single" w:sz="8" w:color="A6A6A6"/>
            </w:tcBorders>
          </w:tcPr>
          <w:p>
            <w:pPr>
              <w:spacing w:after="0"/>
              <w:rPr>
                <w:sz w:val="19"/>
                <w:szCs w:val="19"/>
                <w:color w:val="auto"/>
              </w:rPr>
            </w:pPr>
          </w:p>
        </w:tc>
        <w:tc>
          <w:tcPr>
            <w:tcW w:w="10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131,846</w:t>
            </w:r>
          </w:p>
        </w:tc>
        <w:tc>
          <w:tcPr>
            <w:tcW w:w="12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004483"/>
              <w:bottom w:val="single" w:sz="8" w:color="A6A6A6"/>
            </w:tcBorders>
          </w:tcPr>
          <w:p>
            <w:pPr>
              <w:spacing w:after="0"/>
              <w:rPr>
                <w:sz w:val="19"/>
                <w:szCs w:val="19"/>
                <w:color w:val="auto"/>
              </w:rPr>
            </w:pPr>
          </w:p>
        </w:tc>
        <w:tc>
          <w:tcPr>
            <w:tcW w:w="11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465,631</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004483"/>
              <w:bottom w:val="single" w:sz="8" w:color="A6A6A6"/>
            </w:tcBorders>
          </w:tcPr>
          <w:p>
            <w:pPr>
              <w:spacing w:after="0"/>
              <w:rPr>
                <w:sz w:val="19"/>
                <w:szCs w:val="19"/>
                <w:color w:val="auto"/>
              </w:rPr>
            </w:pPr>
          </w:p>
        </w:tc>
        <w:tc>
          <w:tcPr>
            <w:tcW w:w="10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384,880</w:t>
            </w:r>
          </w:p>
        </w:tc>
        <w:tc>
          <w:tcPr>
            <w:tcW w:w="100" w:type="dxa"/>
            <w:vAlign w:val="bottom"/>
          </w:tcPr>
          <w:p>
            <w:pPr>
              <w:spacing w:after="0"/>
              <w:rPr>
                <w:sz w:val="19"/>
                <w:szCs w:val="19"/>
                <w:color w:val="auto"/>
              </w:rPr>
            </w:pPr>
          </w:p>
        </w:tc>
      </w:tr>
      <w:tr>
        <w:trPr>
          <w:trHeight w:val="239"/>
        </w:trPr>
        <w:tc>
          <w:tcPr>
            <w:tcW w:w="5280" w:type="dxa"/>
            <w:vAlign w:val="bottom"/>
          </w:tcPr>
          <w:p>
            <w:pPr>
              <w:ind w:left="200"/>
              <w:spacing w:after="0"/>
              <w:rPr>
                <w:sz w:val="20"/>
                <w:szCs w:val="20"/>
                <w:color w:val="auto"/>
              </w:rPr>
            </w:pPr>
            <w:r>
              <w:rPr>
                <w:rFonts w:ascii="Arial" w:cs="Arial" w:eastAsia="Arial" w:hAnsi="Arial"/>
                <w:sz w:val="16"/>
                <w:szCs w:val="16"/>
                <w:color w:val="004483"/>
              </w:rPr>
              <w:t>Income Taxes</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(33,744 )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(29,367 )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(104,447 )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(84,949 )</w:t>
            </w:r>
          </w:p>
        </w:tc>
      </w:tr>
      <w:tr>
        <w:trPr>
          <w:trHeight w:val="209"/>
        </w:trPr>
        <w:tc>
          <w:tcPr>
            <w:tcW w:w="5280" w:type="dxa"/>
            <w:vAlign w:val="bottom"/>
            <w:tcBorders>
              <w:top w:val="single" w:sz="8" w:color="A6A6A6"/>
            </w:tcBorders>
          </w:tcPr>
          <w:p>
            <w:pPr>
              <w:ind w:left="380"/>
              <w:spacing w:after="0"/>
              <w:rPr>
                <w:sz w:val="20"/>
                <w:szCs w:val="20"/>
                <w:color w:val="auto"/>
              </w:rPr>
            </w:pPr>
            <w:r>
              <w:rPr>
                <w:rFonts w:ascii="Arial" w:cs="Arial" w:eastAsia="Arial" w:hAnsi="Arial"/>
                <w:sz w:val="16"/>
                <w:szCs w:val="16"/>
                <w:b w:val="1"/>
                <w:bCs w:val="1"/>
                <w:color w:val="auto"/>
              </w:rPr>
              <w:t>Net Earnings</w:t>
            </w:r>
          </w:p>
        </w:tc>
        <w:tc>
          <w:tcPr>
            <w:tcW w:w="120" w:type="dxa"/>
            <w:vAlign w:val="bottom"/>
            <w:tcBorders>
              <w:top w:val="single" w:sz="8" w:color="004483"/>
              <w:bottom w:val="single" w:sz="8" w:color="004483"/>
            </w:tcBorders>
          </w:tcPr>
          <w:p>
            <w:pPr>
              <w:spacing w:after="0"/>
              <w:rPr>
                <w:sz w:val="18"/>
                <w:szCs w:val="18"/>
                <w:color w:val="auto"/>
              </w:rPr>
            </w:pPr>
          </w:p>
        </w:tc>
        <w:tc>
          <w:tcPr>
            <w:tcW w:w="11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117,184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300" w:type="dxa"/>
            <w:vAlign w:val="bottom"/>
            <w:tcBorders>
              <w:top w:val="single" w:sz="8" w:color="004483"/>
              <w:bottom w:val="single" w:sz="8" w:color="004483"/>
            </w:tcBorders>
          </w:tcPr>
          <w:p>
            <w:pPr>
              <w:spacing w:after="0"/>
              <w:rPr>
                <w:sz w:val="18"/>
                <w:szCs w:val="18"/>
                <w:color w:val="auto"/>
              </w:rPr>
            </w:pPr>
          </w:p>
        </w:tc>
        <w:tc>
          <w:tcPr>
            <w:tcW w:w="10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102,479</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20" w:type="dxa"/>
            <w:vAlign w:val="bottom"/>
            <w:tcBorders>
              <w:top w:val="single" w:sz="8" w:color="004483"/>
              <w:bottom w:val="single" w:sz="8" w:color="004483"/>
            </w:tcBorders>
          </w:tcPr>
          <w:p>
            <w:pPr>
              <w:spacing w:after="0"/>
              <w:rPr>
                <w:sz w:val="18"/>
                <w:szCs w:val="18"/>
                <w:color w:val="auto"/>
              </w:rPr>
            </w:pPr>
          </w:p>
        </w:tc>
        <w:tc>
          <w:tcPr>
            <w:tcW w:w="11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361,184</w:t>
            </w:r>
          </w:p>
        </w:tc>
        <w:tc>
          <w:tcPr>
            <w:tcW w:w="10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280" w:type="dxa"/>
            <w:vAlign w:val="bottom"/>
            <w:tcBorders>
              <w:top w:val="single" w:sz="8" w:color="004483"/>
              <w:bottom w:val="single" w:sz="8" w:color="004483"/>
            </w:tcBorders>
          </w:tcPr>
          <w:p>
            <w:pPr>
              <w:spacing w:after="0"/>
              <w:rPr>
                <w:sz w:val="18"/>
                <w:szCs w:val="18"/>
                <w:color w:val="auto"/>
              </w:rPr>
            </w:pPr>
          </w:p>
        </w:tc>
        <w:tc>
          <w:tcPr>
            <w:tcW w:w="10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299,931</w:t>
            </w:r>
          </w:p>
        </w:tc>
        <w:tc>
          <w:tcPr>
            <w:tcW w:w="100" w:type="dxa"/>
            <w:vAlign w:val="bottom"/>
          </w:tcPr>
          <w:p>
            <w:pPr>
              <w:spacing w:after="0"/>
              <w:rPr>
                <w:sz w:val="18"/>
                <w:szCs w:val="18"/>
                <w:color w:val="auto"/>
              </w:rPr>
            </w:pPr>
          </w:p>
        </w:tc>
      </w:tr>
      <w:tr>
        <w:trPr>
          <w:trHeight w:val="20"/>
        </w:trPr>
        <w:tc>
          <w:tcPr>
            <w:tcW w:w="52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28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2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280" w:type="dxa"/>
            <w:vAlign w:val="bottom"/>
          </w:tcPr>
          <w:p>
            <w:pPr>
              <w:ind w:left="200"/>
              <w:spacing w:after="0"/>
              <w:rPr>
                <w:sz w:val="20"/>
                <w:szCs w:val="20"/>
                <w:color w:val="auto"/>
              </w:rPr>
            </w:pPr>
            <w:r>
              <w:rPr>
                <w:rFonts w:ascii="Arial" w:cs="Arial" w:eastAsia="Arial" w:hAnsi="Arial"/>
                <w:sz w:val="16"/>
                <w:szCs w:val="16"/>
                <w:color w:val="004483"/>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9"/>
                <w:szCs w:val="19"/>
                <w:color w:val="auto"/>
              </w:rPr>
            </w:pPr>
          </w:p>
        </w:tc>
        <w:tc>
          <w:tcPr>
            <w:tcW w:w="46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9"/>
                <w:szCs w:val="19"/>
                <w:color w:val="auto"/>
              </w:rPr>
            </w:pPr>
          </w:p>
        </w:tc>
      </w:tr>
      <w:tr>
        <w:trPr>
          <w:trHeight w:val="223"/>
        </w:trPr>
        <w:tc>
          <w:tcPr>
            <w:tcW w:w="52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Diluted</w:t>
            </w:r>
          </w:p>
        </w:tc>
        <w:tc>
          <w:tcPr>
            <w:tcW w:w="120" w:type="dxa"/>
            <w:vAlign w:val="bottom"/>
            <w:tcBorders>
              <w:top w:val="single" w:sz="8" w:color="A6A6A6"/>
              <w:bottom w:val="single" w:sz="8" w:color="A6A6A6"/>
            </w:tcBorders>
          </w:tcPr>
          <w:p>
            <w:pPr>
              <w:spacing w:after="0"/>
              <w:rPr>
                <w:sz w:val="19"/>
                <w:szCs w:val="19"/>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1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9"/>
                <w:szCs w:val="19"/>
                <w:color w:val="auto"/>
              </w:rPr>
            </w:pPr>
          </w:p>
        </w:tc>
      </w:tr>
      <w:tr>
        <w:trPr>
          <w:trHeight w:val="219"/>
        </w:trPr>
        <w:tc>
          <w:tcPr>
            <w:tcW w:w="52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12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30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5280" w:type="dxa"/>
            <w:vAlign w:val="bottom"/>
          </w:tcPr>
          <w:p>
            <w:pPr>
              <w:ind w:left="200"/>
              <w:spacing w:after="0"/>
              <w:rPr>
                <w:sz w:val="20"/>
                <w:szCs w:val="20"/>
                <w:color w:val="auto"/>
              </w:rPr>
            </w:pPr>
            <w:r>
              <w:rPr>
                <w:rFonts w:ascii="Arial" w:cs="Arial" w:eastAsia="Arial" w:hAnsi="Arial"/>
                <w:sz w:val="16"/>
                <w:szCs w:val="16"/>
                <w:color w:val="004483"/>
              </w:rPr>
              <w:t>Basic</w:t>
            </w: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36,336,056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40,049,456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37,149,927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41,096,702</w:t>
            </w:r>
          </w:p>
        </w:tc>
        <w:tc>
          <w:tcPr>
            <w:tcW w:w="100" w:type="dxa"/>
            <w:vAlign w:val="bottom"/>
          </w:tcPr>
          <w:p>
            <w:pPr>
              <w:spacing w:after="0"/>
              <w:rPr>
                <w:sz w:val="18"/>
                <w:szCs w:val="18"/>
                <w:color w:val="auto"/>
              </w:rPr>
            </w:pPr>
          </w:p>
        </w:tc>
      </w:tr>
      <w:tr>
        <w:trPr>
          <w:trHeight w:val="20"/>
        </w:trPr>
        <w:tc>
          <w:tcPr>
            <w:tcW w:w="52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80" w:type="dxa"/>
            <w:vAlign w:val="bottom"/>
          </w:tcPr>
          <w:p>
            <w:pPr>
              <w:ind w:left="200"/>
              <w:spacing w:after="0"/>
              <w:rPr>
                <w:sz w:val="20"/>
                <w:szCs w:val="20"/>
                <w:color w:val="auto"/>
              </w:rPr>
            </w:pPr>
            <w:r>
              <w:rPr>
                <w:rFonts w:ascii="Arial" w:cs="Arial" w:eastAsia="Arial" w:hAnsi="Arial"/>
                <w:sz w:val="16"/>
                <w:szCs w:val="16"/>
                <w:color w:val="004483"/>
              </w:rPr>
              <w:t>Diluted</w:t>
            </w:r>
          </w:p>
        </w:tc>
        <w:tc>
          <w:tcPr>
            <w:tcW w:w="120" w:type="dxa"/>
            <w:vAlign w:val="bottom"/>
            <w:tcBorders>
              <w:bottom w:val="single" w:sz="8" w:color="004483"/>
            </w:tcBorders>
          </w:tcPr>
          <w:p>
            <w:pPr>
              <w:spacing w:after="0"/>
              <w:rPr>
                <w:sz w:val="17"/>
                <w:szCs w:val="17"/>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36,605,982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004483"/>
            </w:tcBorders>
          </w:tcPr>
          <w:p>
            <w:pPr>
              <w:spacing w:after="0"/>
              <w:rPr>
                <w:sz w:val="17"/>
                <w:szCs w:val="17"/>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40,458,049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spacing w:after="0"/>
              <w:rPr>
                <w:sz w:val="17"/>
                <w:szCs w:val="17"/>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37,395,586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4483"/>
            </w:tcBorders>
          </w:tcPr>
          <w:p>
            <w:pPr>
              <w:spacing w:after="0"/>
              <w:rPr>
                <w:sz w:val="17"/>
                <w:szCs w:val="17"/>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41,493,339</w:t>
            </w:r>
          </w:p>
        </w:tc>
        <w:tc>
          <w:tcPr>
            <w:tcW w:w="100" w:type="dxa"/>
            <w:vAlign w:val="bottom"/>
          </w:tcPr>
          <w:p>
            <w:pPr>
              <w:spacing w:after="0"/>
              <w:rPr>
                <w:sz w:val="17"/>
                <w:szCs w:val="17"/>
                <w:color w:val="auto"/>
              </w:rPr>
            </w:pPr>
          </w:p>
        </w:tc>
      </w:tr>
      <w:tr>
        <w:trPr>
          <w:trHeight w:val="20"/>
        </w:trPr>
        <w:tc>
          <w:tcPr>
            <w:tcW w:w="528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CASH DIVIDENDS PER SHARE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0.25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0.75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0.50</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635</wp:posOffset>
            </wp:positionV>
            <wp:extent cx="3711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637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40" w:type="dxa"/>
            <w:vAlign w:val="bottom"/>
            <w:gridSpan w:val="6"/>
            <w:shd w:val="clear" w:color="auto" w:fill="004483"/>
          </w:tcPr>
          <w:p>
            <w:pPr>
              <w:jc w:val="right"/>
              <w:ind w:right="260"/>
              <w:spacing w:after="0"/>
              <w:rPr>
                <w:sz w:val="20"/>
                <w:szCs w:val="20"/>
                <w:color w:val="auto"/>
              </w:rPr>
            </w:pPr>
            <w:r>
              <w:rPr>
                <w:rFonts w:ascii="Arial" w:cs="Arial" w:eastAsia="Arial" w:hAnsi="Arial"/>
                <w:sz w:val="13"/>
                <w:szCs w:val="13"/>
                <w:b w:val="1"/>
                <w:bCs w:val="1"/>
                <w:color w:val="FFFFFF"/>
                <w:w w:val="96"/>
              </w:rPr>
              <w:t>For the Three Months Ended December 31,</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40" w:type="dxa"/>
            <w:vAlign w:val="bottom"/>
            <w:gridSpan w:val="6"/>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Nine Months Ended December 31,</w:t>
            </w:r>
          </w:p>
        </w:tc>
      </w:tr>
      <w:tr>
        <w:trPr>
          <w:trHeight w:val="168"/>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77"/>
        </w:trPr>
        <w:tc>
          <w:tcPr>
            <w:tcW w:w="528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6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520" w:type="dxa"/>
            <w:vAlign w:val="bottom"/>
            <w:tcBorders>
              <w:bottom w:val="single" w:sz="8" w:color="004483"/>
            </w:tcBorders>
            <w:gridSpan w:val="6"/>
          </w:tcPr>
          <w:p>
            <w:pPr>
              <w:jc w:val="right"/>
              <w:ind w:right="920"/>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52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117,184</w:t>
            </w:r>
          </w:p>
        </w:tc>
        <w:tc>
          <w:tcPr>
            <w:tcW w:w="140" w:type="dxa"/>
            <w:vAlign w:val="bottom"/>
          </w:tcPr>
          <w:p>
            <w:pPr>
              <w:spacing w:after="0"/>
              <w:rPr>
                <w:sz w:val="18"/>
                <w:szCs w:val="18"/>
                <w:color w:val="auto"/>
              </w:rPr>
            </w:pPr>
          </w:p>
        </w:tc>
        <w:tc>
          <w:tcPr>
            <w:tcW w:w="520" w:type="dxa"/>
            <w:vAlign w:val="bottom"/>
            <w:tcBorders>
              <w:bottom w:val="single" w:sz="8" w:color="A6A6A6"/>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102,479</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361,184</w:t>
            </w:r>
          </w:p>
        </w:tc>
        <w:tc>
          <w:tcPr>
            <w:tcW w:w="100" w:type="dxa"/>
            <w:vAlign w:val="bottom"/>
          </w:tcPr>
          <w:p>
            <w:pPr>
              <w:spacing w:after="0"/>
              <w:rPr>
                <w:sz w:val="18"/>
                <w:szCs w:val="18"/>
                <w:color w:val="auto"/>
              </w:rPr>
            </w:pPr>
          </w:p>
        </w:tc>
        <w:tc>
          <w:tcPr>
            <w:tcW w:w="500" w:type="dxa"/>
            <w:vAlign w:val="bottom"/>
            <w:tcBorders>
              <w:bottom w:val="single" w:sz="8" w:color="A6A6A6"/>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299,931</w:t>
            </w:r>
          </w:p>
        </w:tc>
        <w:tc>
          <w:tcPr>
            <w:tcW w:w="100" w:type="dxa"/>
            <w:vAlign w:val="bottom"/>
          </w:tcPr>
          <w:p>
            <w:pPr>
              <w:spacing w:after="0"/>
              <w:rPr>
                <w:sz w:val="18"/>
                <w:szCs w:val="18"/>
                <w:color w:val="auto"/>
              </w:rPr>
            </w:pPr>
          </w:p>
        </w:tc>
      </w:tr>
      <w:tr>
        <w:trPr>
          <w:trHeight w:val="210"/>
        </w:trPr>
        <w:tc>
          <w:tcPr>
            <w:tcW w:w="52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Actuarial Change in Defined Benefit Plans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2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Amortization of Net Actuarial Loss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r>
      <w:tr>
        <w:trPr>
          <w:trHeight w:val="209"/>
        </w:trPr>
        <w:tc>
          <w:tcPr>
            <w:tcW w:w="5280" w:type="dxa"/>
            <w:vAlign w:val="bottom"/>
          </w:tcPr>
          <w:p>
            <w:pPr>
              <w:ind w:left="200"/>
              <w:spacing w:after="0"/>
              <w:rPr>
                <w:sz w:val="20"/>
                <w:szCs w:val="20"/>
                <w:color w:val="auto"/>
              </w:rPr>
            </w:pPr>
            <w:r>
              <w:rPr>
                <w:rFonts w:ascii="Arial" w:cs="Arial" w:eastAsia="Arial" w:hAnsi="Arial"/>
                <w:sz w:val="16"/>
                <w:szCs w:val="16"/>
                <w:color w:val="004483"/>
              </w:rPr>
              <w:t>Tax Expense</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(27 )</w:t>
            </w:r>
          </w:p>
        </w:tc>
      </w:tr>
      <w:tr>
        <w:trPr>
          <w:trHeight w:val="211"/>
        </w:trPr>
        <w:tc>
          <w:tcPr>
            <w:tcW w:w="528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Comprehensive Earnings</w:t>
            </w:r>
          </w:p>
        </w:tc>
        <w:tc>
          <w:tcPr>
            <w:tcW w:w="12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117,207</w:t>
            </w:r>
          </w:p>
        </w:tc>
        <w:tc>
          <w:tcPr>
            <w:tcW w:w="14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400" w:type="dxa"/>
            <w:vAlign w:val="bottom"/>
            <w:tcBorders>
              <w:top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102,506</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2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361,254</w:t>
            </w:r>
          </w:p>
        </w:tc>
        <w:tc>
          <w:tcPr>
            <w:tcW w:w="10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380" w:type="dxa"/>
            <w:vAlign w:val="bottom"/>
            <w:tcBorders>
              <w:top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300,012</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635</wp:posOffset>
            </wp:positionV>
            <wp:extent cx="3711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-127635</wp:posOffset>
            </wp:positionV>
            <wp:extent cx="3711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2300" w:type="dxa"/>
            <w:vAlign w:val="bottom"/>
            <w:shd w:val="clear" w:color="auto" w:fill="004483"/>
          </w:tcPr>
          <w:p>
            <w:pPr>
              <w:jc w:val="right"/>
              <w:ind w:right="857"/>
              <w:spacing w:after="0"/>
              <w:rPr>
                <w:sz w:val="20"/>
                <w:szCs w:val="20"/>
                <w:color w:val="auto"/>
              </w:rPr>
            </w:pPr>
            <w:r>
              <w:rPr>
                <w:rFonts w:ascii="Arial" w:cs="Arial" w:eastAsia="Arial" w:hAnsi="Arial"/>
                <w:sz w:val="13"/>
                <w:szCs w:val="13"/>
                <w:b w:val="1"/>
                <w:bCs w:val="1"/>
                <w:color w:val="FFFFFF"/>
              </w:rPr>
              <w:t>December 31,</w:t>
            </w:r>
          </w:p>
        </w:tc>
        <w:tc>
          <w:tcPr>
            <w:tcW w:w="8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68"/>
        </w:trPr>
        <w:tc>
          <w:tcPr>
            <w:tcW w:w="8080" w:type="dxa"/>
            <w:vAlign w:val="bottom"/>
          </w:tcPr>
          <w:p>
            <w:pPr>
              <w:spacing w:after="0"/>
              <w:rPr>
                <w:sz w:val="14"/>
                <w:szCs w:val="14"/>
                <w:color w:val="auto"/>
              </w:rPr>
            </w:pPr>
          </w:p>
        </w:tc>
        <w:tc>
          <w:tcPr>
            <w:tcW w:w="2300" w:type="dxa"/>
            <w:vAlign w:val="bottom"/>
          </w:tcPr>
          <w:p>
            <w:pPr>
              <w:jc w:val="right"/>
              <w:ind w:right="857"/>
              <w:spacing w:after="0"/>
              <w:rPr>
                <w:sz w:val="20"/>
                <w:szCs w:val="20"/>
                <w:color w:val="auto"/>
              </w:rPr>
            </w:pPr>
            <w:r>
              <w:rPr>
                <w:rFonts w:ascii="Arial" w:cs="Arial" w:eastAsia="Arial" w:hAnsi="Arial"/>
                <w:sz w:val="13"/>
                <w:szCs w:val="13"/>
                <w:b w:val="1"/>
                <w:bCs w:val="1"/>
                <w:color w:val="auto"/>
              </w:rPr>
              <w:t>2022</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77"/>
        </w:trPr>
        <w:tc>
          <w:tcPr>
            <w:tcW w:w="8080" w:type="dxa"/>
            <w:vAlign w:val="bottom"/>
            <w:tcBorders>
              <w:bottom w:val="single" w:sz="8" w:color="004483"/>
            </w:tcBorders>
          </w:tcPr>
          <w:p>
            <w:pPr>
              <w:spacing w:after="0"/>
              <w:rPr>
                <w:sz w:val="15"/>
                <w:szCs w:val="15"/>
                <w:color w:val="auto"/>
              </w:rPr>
            </w:pPr>
          </w:p>
        </w:tc>
        <w:tc>
          <w:tcPr>
            <w:tcW w:w="2300" w:type="dxa"/>
            <w:vAlign w:val="bottom"/>
            <w:tcBorders>
              <w:bottom w:val="single" w:sz="8" w:color="004483"/>
            </w:tcBorders>
          </w:tcPr>
          <w:p>
            <w:pPr>
              <w:jc w:val="right"/>
              <w:ind w:right="117"/>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360"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090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Current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Cash and Cash Equivalents</w:t>
            </w:r>
          </w:p>
        </w:tc>
        <w:tc>
          <w:tcPr>
            <w:tcW w:w="3060" w:type="dxa"/>
            <w:vAlign w:val="bottom"/>
            <w:tcBorders>
              <w:top w:val="single" w:sz="8" w:color="A6A6A6"/>
              <w:bottom w:val="single" w:sz="8" w:color="A6A6A6"/>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60,937</w:t>
            </w:r>
          </w:p>
        </w:tc>
      </w:tr>
      <w:tr>
        <w:trPr>
          <w:trHeight w:val="209"/>
        </w:trPr>
        <w:tc>
          <w:tcPr>
            <w:tcW w:w="5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 net</w:t>
            </w:r>
          </w:p>
        </w:tc>
        <w:tc>
          <w:tcPr>
            <w:tcW w:w="30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172,543</w:t>
            </w:r>
          </w:p>
        </w:tc>
      </w:tr>
      <w:tr>
        <w:trPr>
          <w:trHeight w:val="209"/>
        </w:trPr>
        <w:tc>
          <w:tcPr>
            <w:tcW w:w="54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30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247,155</w:t>
            </w:r>
          </w:p>
        </w:tc>
      </w:tr>
      <w:tr>
        <w:trPr>
          <w:trHeight w:val="207"/>
        </w:trPr>
        <w:tc>
          <w:tcPr>
            <w:tcW w:w="5460" w:type="dxa"/>
            <w:vAlign w:val="bottom"/>
          </w:tcPr>
          <w:p>
            <w:pPr>
              <w:ind w:left="200"/>
              <w:spacing w:after="0"/>
              <w:rPr>
                <w:sz w:val="20"/>
                <w:szCs w:val="20"/>
                <w:color w:val="auto"/>
              </w:rPr>
            </w:pPr>
            <w:r>
              <w:rPr>
                <w:rFonts w:ascii="Arial" w:cs="Arial" w:eastAsia="Arial" w:hAnsi="Arial"/>
                <w:sz w:val="16"/>
                <w:szCs w:val="16"/>
                <w:color w:val="004483"/>
              </w:rPr>
              <w:t>Income Tax Receivable</w:t>
            </w:r>
          </w:p>
        </w:tc>
        <w:tc>
          <w:tcPr>
            <w:tcW w:w="30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0090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20" w:type="dxa"/>
            <w:vAlign w:val="bottom"/>
            <w:tcBorders>
              <w:top w:val="single" w:sz="8" w:color="A6A6A6"/>
              <w:bottom w:val="single" w:sz="8" w:color="A6A6A6"/>
            </w:tcBorders>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19,416</w:t>
            </w:r>
          </w:p>
        </w:tc>
      </w:tr>
      <w:tr>
        <w:trPr>
          <w:trHeight w:val="209"/>
        </w:trPr>
        <w:tc>
          <w:tcPr>
            <w:tcW w:w="6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176,276</w:t>
            </w:r>
          </w:p>
        </w:tc>
      </w:tr>
      <w:tr>
        <w:trPr>
          <w:trHeight w:val="209"/>
        </w:trPr>
        <w:tc>
          <w:tcPr>
            <w:tcW w:w="6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236,661</w:t>
            </w:r>
          </w:p>
        </w:tc>
      </w:tr>
      <w:tr>
        <w:trPr>
          <w:trHeight w:val="207"/>
        </w:trPr>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-724535</wp:posOffset>
            </wp:positionV>
            <wp:extent cx="9855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wp:posOffset>
            </wp:positionV>
            <wp:extent cx="9855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9480" w:space="100"/>
            <w:col w:w="1660"/>
          </w:cols>
          <w:pgMar w:left="320" w:top="360" w:right="339" w:bottom="1440" w:gutter="0" w:footer="0" w:header="0"/>
          <w:type w:val="continuous"/>
        </w:sectPr>
      </w:pPr>
    </w:p>
    <w:p>
      <w:pPr>
        <w:ind w:left="200"/>
        <w:spacing w:after="0"/>
        <w:rPr>
          <w:sz w:val="20"/>
          <w:szCs w:val="20"/>
          <w:color w:val="auto"/>
        </w:rPr>
      </w:pPr>
      <w:r>
        <w:rPr>
          <w:rFonts w:ascii="Arial" w:cs="Arial" w:eastAsia="Arial" w:hAnsi="Arial"/>
          <w:sz w:val="16"/>
          <w:szCs w:val="16"/>
          <w:color w:val="004483"/>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1263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1263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2635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090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090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090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090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09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1263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1263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0090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5,177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wp:posOffset>
            </wp:positionV>
            <wp:extent cx="8826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2650" cy="2603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491,278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wp:posOffset>
            </wp:positionV>
            <wp:extent cx="8826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2650" cy="26035"/>
                    </a:xfrm>
                    <a:prstGeom prst="rect">
                      <a:avLst/>
                    </a:prstGeom>
                    <a:noFill/>
                  </pic:spPr>
                </pic:pic>
              </a:graphicData>
            </a:graphic>
          </wp:anchor>
        </w:drawing>
      </w:r>
    </w:p>
    <w:p>
      <w:pPr>
        <w:spacing w:after="0" w:line="53" w:lineRule="exact"/>
        <w:rPr>
          <w:sz w:val="20"/>
          <w:szCs w:val="20"/>
          <w:color w:val="auto"/>
        </w:rPr>
      </w:pPr>
    </w:p>
    <w:p>
      <w:pPr>
        <w:ind w:left="646"/>
        <w:spacing w:after="0"/>
        <w:rPr>
          <w:sz w:val="20"/>
          <w:szCs w:val="20"/>
          <w:color w:val="auto"/>
        </w:rPr>
      </w:pPr>
      <w:r>
        <w:rPr>
          <w:rFonts w:ascii="Arial" w:cs="Arial" w:eastAsia="Arial" w:hAnsi="Arial"/>
          <w:sz w:val="16"/>
          <w:szCs w:val="16"/>
          <w:color w:val="auto"/>
        </w:rPr>
        <w:t>1,641,638</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8,556</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85,268</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20,651</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467,703</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wp:posOffset>
            </wp:positionV>
            <wp:extent cx="8826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2650" cy="25400"/>
                    </a:xfrm>
                    <a:prstGeom prst="rect">
                      <a:avLst/>
                    </a:prstGeom>
                    <a:noFill/>
                  </pic:spPr>
                </pic:pic>
              </a:graphicData>
            </a:graphic>
          </wp:anchor>
        </w:drawing>
      </w:r>
    </w:p>
    <w:p>
      <w:pPr>
        <w:spacing w:after="0" w:line="33" w:lineRule="exact"/>
        <w:rPr>
          <w:sz w:val="20"/>
          <w:szCs w:val="20"/>
          <w:color w:val="auto"/>
        </w:rPr>
      </w:pPr>
    </w:p>
    <w:p>
      <w:pPr>
        <w:ind w:left="646" w:hanging="646"/>
        <w:spacing w:after="0"/>
        <w:tabs>
          <w:tab w:leader="none" w:pos="64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2,730,170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wp:posOffset>
            </wp:positionV>
            <wp:extent cx="882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40640</wp:posOffset>
            </wp:positionV>
            <wp:extent cx="8826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6"/>
          <w:szCs w:val="16"/>
          <w:color w:val="auto"/>
        </w:rPr>
        <w:t>3,172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85520" cy="26035"/>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442,727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5520" cy="26035"/>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1,616,539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8,485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80,637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23,856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387,898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19,510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5520" cy="25400"/>
                    </a:xfrm>
                    <a:prstGeom prst="rect">
                      <a:avLst/>
                    </a:prstGeom>
                    <a:noFill/>
                  </pic:spPr>
                </pic:pic>
              </a:graphicData>
            </a:graphic>
          </wp:anchor>
        </w:drawing>
      </w:r>
    </w:p>
    <w:p>
      <w:pPr>
        <w:spacing w:after="0" w:line="33"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2,579,652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23495</wp:posOffset>
            </wp:positionV>
            <wp:extent cx="9855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85520" cy="2603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186055</wp:posOffset>
            </wp:positionV>
            <wp:extent cx="9855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3">
            <w:col w:w="7374" w:space="720"/>
            <w:col w:w="1366" w:space="300"/>
            <w:col w:w="1480"/>
          </w:cols>
          <w:pgMar w:left="320" w:top="360" w:right="339" w:bottom="1440" w:gutter="0" w:footer="0" w:header="0"/>
          <w:type w:val="continuous"/>
        </w:sectPr>
      </w:pPr>
    </w:p>
    <w:p>
      <w:pPr>
        <w:ind w:left="20"/>
        <w:spacing w:after="0"/>
        <w:rPr>
          <w:sz w:val="20"/>
          <w:szCs w:val="20"/>
          <w:color w:val="auto"/>
        </w:rPr>
      </w:pPr>
      <w:r>
        <w:rPr>
          <w:rFonts w:ascii="Arial" w:cs="Arial" w:eastAsia="Arial" w:hAnsi="Arial"/>
          <w:sz w:val="16"/>
          <w:szCs w:val="16"/>
          <w:color w:val="004483"/>
        </w:rPr>
        <w:t>Current Liabilities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8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Accounts Payable</w:t>
            </w:r>
          </w:p>
        </w:tc>
        <w:tc>
          <w:tcPr>
            <w:tcW w:w="380" w:type="dxa"/>
            <w:vAlign w:val="bottom"/>
            <w:tcBorders>
              <w:top w:val="single" w:sz="8" w:color="A6A6A6"/>
              <w:bottom w:val="single" w:sz="8" w:color="A6A6A6"/>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106,571</w:t>
            </w:r>
          </w:p>
        </w:tc>
        <w:tc>
          <w:tcPr>
            <w:tcW w:w="60" w:type="dxa"/>
            <w:vAlign w:val="bottom"/>
          </w:tcPr>
          <w:p>
            <w:pPr>
              <w:spacing w:after="0"/>
              <w:rPr>
                <w:sz w:val="18"/>
                <w:szCs w:val="18"/>
                <w:color w:val="auto"/>
              </w:rPr>
            </w:pPr>
          </w:p>
        </w:tc>
      </w:tr>
      <w:tr>
        <w:trPr>
          <w:trHeight w:val="210"/>
        </w:trPr>
        <w:tc>
          <w:tcPr>
            <w:tcW w:w="80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Accrued Liabilities</w:t>
            </w: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83,759</w:t>
            </w:r>
          </w:p>
        </w:tc>
        <w:tc>
          <w:tcPr>
            <w:tcW w:w="60" w:type="dxa"/>
            <w:vAlign w:val="bottom"/>
          </w:tcPr>
          <w:p>
            <w:pPr>
              <w:spacing w:after="0"/>
              <w:rPr>
                <w:sz w:val="18"/>
                <w:szCs w:val="18"/>
                <w:color w:val="auto"/>
              </w:rPr>
            </w:pPr>
          </w:p>
        </w:tc>
      </w:tr>
      <w:tr>
        <w:trPr>
          <w:trHeight w:val="210"/>
        </w:trPr>
        <w:tc>
          <w:tcPr>
            <w:tcW w:w="80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Operating Lease Liabilities</w:t>
            </w: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6,006</w:t>
            </w:r>
          </w:p>
        </w:tc>
        <w:tc>
          <w:tcPr>
            <w:tcW w:w="60" w:type="dxa"/>
            <w:vAlign w:val="bottom"/>
          </w:tcPr>
          <w:p>
            <w:pPr>
              <w:spacing w:after="0"/>
              <w:rPr>
                <w:sz w:val="18"/>
                <w:szCs w:val="18"/>
                <w:color w:val="auto"/>
              </w:rPr>
            </w:pPr>
          </w:p>
        </w:tc>
      </w:tr>
      <w:tr>
        <w:trPr>
          <w:trHeight w:val="209"/>
        </w:trPr>
        <w:tc>
          <w:tcPr>
            <w:tcW w:w="80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Income Taxes Payable</w:t>
            </w: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1,964</w:t>
            </w:r>
          </w:p>
        </w:tc>
        <w:tc>
          <w:tcPr>
            <w:tcW w:w="60" w:type="dxa"/>
            <w:vAlign w:val="bottom"/>
          </w:tcPr>
          <w:p>
            <w:pPr>
              <w:spacing w:after="0"/>
              <w:rPr>
                <w:sz w:val="18"/>
                <w:szCs w:val="18"/>
                <w:color w:val="auto"/>
              </w:rPr>
            </w:pPr>
          </w:p>
        </w:tc>
      </w:tr>
      <w:tr>
        <w:trPr>
          <w:trHeight w:val="239"/>
        </w:trPr>
        <w:tc>
          <w:tcPr>
            <w:tcW w:w="8080" w:type="dxa"/>
            <w:vAlign w:val="bottom"/>
            <w:tcBorders>
              <w:bottom w:val="single" w:sz="8" w:color="A3A3A3"/>
            </w:tcBorders>
            <w:gridSpan w:val="2"/>
          </w:tcPr>
          <w:p>
            <w:pPr>
              <w:ind w:left="200"/>
              <w:spacing w:after="0"/>
              <w:rPr>
                <w:sz w:val="20"/>
                <w:szCs w:val="20"/>
                <w:color w:val="auto"/>
              </w:rPr>
            </w:pPr>
            <w:r>
              <w:rPr>
                <w:rFonts w:ascii="Arial" w:cs="Arial" w:eastAsia="Arial" w:hAnsi="Arial"/>
                <w:sz w:val="16"/>
                <w:szCs w:val="16"/>
                <w:color w:val="004483"/>
              </w:rPr>
              <w:t>Current Portion of Long-term Debt</w:t>
            </w:r>
          </w:p>
        </w:tc>
        <w:tc>
          <w:tcPr>
            <w:tcW w:w="38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20"/>
                <w:szCs w:val="20"/>
                <w:color w:val="auto"/>
              </w:rPr>
            </w:pPr>
          </w:p>
        </w:tc>
      </w:tr>
      <w:tr>
        <w:trPr>
          <w:trHeight w:val="206"/>
        </w:trPr>
        <w:tc>
          <w:tcPr>
            <w:tcW w:w="808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Total Current Liabilities</w:t>
            </w:r>
          </w:p>
        </w:tc>
        <w:tc>
          <w:tcPr>
            <w:tcW w:w="38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208,300</w:t>
            </w:r>
          </w:p>
        </w:tc>
        <w:tc>
          <w:tcPr>
            <w:tcW w:w="60" w:type="dxa"/>
            <w:vAlign w:val="bottom"/>
          </w:tcPr>
          <w:p>
            <w:pPr>
              <w:spacing w:after="0"/>
              <w:rPr>
                <w:sz w:val="17"/>
                <w:szCs w:val="17"/>
                <w:color w:val="auto"/>
              </w:rPr>
            </w:pPr>
          </w:p>
        </w:tc>
      </w:tr>
      <w:tr>
        <w:trPr>
          <w:trHeight w:val="210"/>
        </w:trPr>
        <w:tc>
          <w:tcPr>
            <w:tcW w:w="80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Long-term Debt</w:t>
            </w: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1,054,215</w:t>
            </w:r>
          </w:p>
        </w:tc>
        <w:tc>
          <w:tcPr>
            <w:tcW w:w="60" w:type="dxa"/>
            <w:vAlign w:val="bottom"/>
          </w:tcPr>
          <w:p>
            <w:pPr>
              <w:spacing w:after="0"/>
              <w:rPr>
                <w:sz w:val="18"/>
                <w:szCs w:val="18"/>
                <w:color w:val="auto"/>
              </w:rPr>
            </w:pPr>
          </w:p>
        </w:tc>
      </w:tr>
      <w:tr>
        <w:trPr>
          <w:trHeight w:val="209"/>
        </w:trPr>
        <w:tc>
          <w:tcPr>
            <w:tcW w:w="80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Noncurrent Operating Lease Liabilities</w:t>
            </w: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25,398</w:t>
            </w:r>
          </w:p>
        </w:tc>
        <w:tc>
          <w:tcPr>
            <w:tcW w:w="60" w:type="dxa"/>
            <w:vAlign w:val="bottom"/>
          </w:tcPr>
          <w:p>
            <w:pPr>
              <w:spacing w:after="0"/>
              <w:rPr>
                <w:sz w:val="18"/>
                <w:szCs w:val="18"/>
                <w:color w:val="auto"/>
              </w:rPr>
            </w:pPr>
          </w:p>
        </w:tc>
      </w:tr>
      <w:tr>
        <w:trPr>
          <w:trHeight w:val="210"/>
        </w:trPr>
        <w:tc>
          <w:tcPr>
            <w:tcW w:w="80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Other Long-term Liabilities</w:t>
            </w: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37,147</w:t>
            </w:r>
          </w:p>
        </w:tc>
        <w:tc>
          <w:tcPr>
            <w:tcW w:w="60" w:type="dxa"/>
            <w:vAlign w:val="bottom"/>
          </w:tcPr>
          <w:p>
            <w:pPr>
              <w:spacing w:after="0"/>
              <w:rPr>
                <w:sz w:val="18"/>
                <w:szCs w:val="18"/>
                <w:color w:val="auto"/>
              </w:rPr>
            </w:pPr>
          </w:p>
        </w:tc>
      </w:tr>
      <w:tr>
        <w:trPr>
          <w:trHeight w:val="239"/>
        </w:trPr>
        <w:tc>
          <w:tcPr>
            <w:tcW w:w="80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Deferred Income Taxes</w:t>
            </w:r>
          </w:p>
        </w:tc>
        <w:tc>
          <w:tcPr>
            <w:tcW w:w="38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239,596</w:t>
            </w:r>
          </w:p>
        </w:tc>
        <w:tc>
          <w:tcPr>
            <w:tcW w:w="60" w:type="dxa"/>
            <w:vAlign w:val="bottom"/>
          </w:tcPr>
          <w:p>
            <w:pPr>
              <w:spacing w:after="0"/>
              <w:rPr>
                <w:sz w:val="20"/>
                <w:szCs w:val="20"/>
                <w:color w:val="auto"/>
              </w:rPr>
            </w:pPr>
          </w:p>
        </w:tc>
      </w:tr>
      <w:tr>
        <w:trPr>
          <w:trHeight w:val="237"/>
        </w:trPr>
        <w:tc>
          <w:tcPr>
            <w:tcW w:w="808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Total Liabilities</w:t>
            </w:r>
          </w:p>
        </w:tc>
        <w:tc>
          <w:tcPr>
            <w:tcW w:w="38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1,564,656</w:t>
            </w:r>
          </w:p>
        </w:tc>
        <w:tc>
          <w:tcPr>
            <w:tcW w:w="60" w:type="dxa"/>
            <w:vAlign w:val="bottom"/>
          </w:tcPr>
          <w:p>
            <w:pPr>
              <w:spacing w:after="0"/>
              <w:rPr>
                <w:sz w:val="20"/>
                <w:szCs w:val="20"/>
                <w:color w:val="auto"/>
              </w:rPr>
            </w:pPr>
          </w:p>
        </w:tc>
      </w:tr>
      <w:tr>
        <w:trPr>
          <w:trHeight w:val="207"/>
        </w:trPr>
        <w:tc>
          <w:tcPr>
            <w:tcW w:w="80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Stockholders’ Equity</w:t>
            </w:r>
          </w:p>
        </w:tc>
        <w:tc>
          <w:tcPr>
            <w:tcW w:w="38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8080" w:type="dxa"/>
            <w:vAlign w:val="bottom"/>
            <w:gridSpan w:val="2"/>
          </w:tcPr>
          <w:p>
            <w:pPr>
              <w:ind w:left="200"/>
              <w:spacing w:after="0"/>
              <w:rPr>
                <w:sz w:val="20"/>
                <w:szCs w:val="20"/>
                <w:color w:val="auto"/>
              </w:rPr>
            </w:pPr>
            <w:r>
              <w:rPr>
                <w:rFonts w:ascii="Arial" w:cs="Arial" w:eastAsia="Arial" w:hAnsi="Arial"/>
                <w:sz w:val="16"/>
                <w:szCs w:val="16"/>
                <w:color w:val="004483"/>
              </w:rPr>
              <w:t>Preferred Stock, Par Value $0.01; Authorized 5,000,000 Shares; None Issued</w:t>
            </w:r>
          </w:p>
        </w:tc>
        <w:tc>
          <w:tcPr>
            <w:tcW w:w="3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1"/>
        </w:trPr>
        <w:tc>
          <w:tcPr>
            <w:tcW w:w="8080" w:type="dxa"/>
            <w:vAlign w:val="bottom"/>
            <w:tcBorders>
              <w:top w:val="single" w:sz="8" w:color="A6A6A6"/>
            </w:tcBorders>
            <w:gridSpan w:val="2"/>
          </w:tcPr>
          <w:p>
            <w:pPr>
              <w:ind w:left="200"/>
              <w:spacing w:after="0"/>
              <w:rPr>
                <w:sz w:val="20"/>
                <w:szCs w:val="20"/>
                <w:color w:val="auto"/>
              </w:rPr>
            </w:pPr>
            <w:r>
              <w:rPr>
                <w:rFonts w:ascii="Arial" w:cs="Arial" w:eastAsia="Arial" w:hAnsi="Arial"/>
                <w:sz w:val="16"/>
                <w:szCs w:val="16"/>
                <w:color w:val="004483"/>
              </w:rPr>
              <w:t>Common Stock, Par Value $0.01; Authorized 100,000,000 Shares;</w:t>
            </w:r>
          </w:p>
        </w:tc>
        <w:tc>
          <w:tcPr>
            <w:tcW w:w="380" w:type="dxa"/>
            <w:vAlign w:val="bottom"/>
            <w:tcBorders>
              <w:top w:val="single" w:sz="8" w:color="A6A6A6"/>
            </w:tcBorders>
          </w:tcPr>
          <w:p>
            <w:pPr>
              <w:spacing w:after="0"/>
              <w:rPr>
                <w:sz w:val="17"/>
                <w:szCs w:val="17"/>
                <w:color w:val="auto"/>
              </w:rPr>
            </w:pPr>
          </w:p>
        </w:tc>
        <w:tc>
          <w:tcPr>
            <w:tcW w:w="1020" w:type="dxa"/>
            <w:vAlign w:val="bottom"/>
            <w:tcBorders>
              <w:top w:val="single" w:sz="8" w:color="A6A6A6"/>
            </w:tcBorders>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8080" w:type="dxa"/>
            <w:vAlign w:val="bottom"/>
            <w:tcBorders>
              <w:bottom w:val="single" w:sz="8" w:color="A6A6A6"/>
            </w:tcBorders>
            <w:gridSpan w:val="2"/>
          </w:tcPr>
          <w:p>
            <w:pPr>
              <w:ind w:left="340"/>
              <w:spacing w:after="0"/>
              <w:rPr>
                <w:sz w:val="20"/>
                <w:szCs w:val="20"/>
                <w:color w:val="auto"/>
              </w:rPr>
            </w:pPr>
            <w:r>
              <w:rPr>
                <w:rFonts w:ascii="Arial" w:cs="Arial" w:eastAsia="Arial" w:hAnsi="Arial"/>
                <w:sz w:val="16"/>
                <w:szCs w:val="16"/>
                <w:color w:val="004483"/>
              </w:rPr>
              <w:t>Issued and Outstanding 36,242,274 and 38,710,929 Shares, respectively</w:t>
            </w:r>
          </w:p>
        </w:tc>
        <w:tc>
          <w:tcPr>
            <w:tcW w:w="38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362</w:t>
            </w:r>
          </w:p>
        </w:tc>
        <w:tc>
          <w:tcPr>
            <w:tcW w:w="60" w:type="dxa"/>
            <w:vAlign w:val="bottom"/>
          </w:tcPr>
          <w:p>
            <w:pPr>
              <w:spacing w:after="0"/>
              <w:rPr>
                <w:sz w:val="17"/>
                <w:szCs w:val="17"/>
                <w:color w:val="auto"/>
              </w:rPr>
            </w:pPr>
          </w:p>
        </w:tc>
      </w:tr>
      <w:tr>
        <w:trPr>
          <w:trHeight w:val="210"/>
        </w:trPr>
        <w:tc>
          <w:tcPr>
            <w:tcW w:w="80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Capital in Excess of Par Value</w:t>
            </w:r>
          </w:p>
        </w:tc>
        <w:tc>
          <w:tcPr>
            <w:tcW w:w="38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10"/>
        </w:trPr>
        <w:tc>
          <w:tcPr>
            <w:tcW w:w="8080" w:type="dxa"/>
            <w:vAlign w:val="bottom"/>
            <w:gridSpan w:val="2"/>
          </w:tcPr>
          <w:p>
            <w:pPr>
              <w:ind w:left="20"/>
              <w:spacing w:after="0"/>
              <w:rPr>
                <w:sz w:val="20"/>
                <w:szCs w:val="20"/>
                <w:color w:val="auto"/>
              </w:rPr>
            </w:pPr>
            <w:r>
              <w:rPr>
                <w:rFonts w:ascii="Arial" w:cs="Arial" w:eastAsia="Arial" w:hAnsi="Arial"/>
                <w:sz w:val="16"/>
                <w:szCs w:val="16"/>
                <w:color w:val="004483"/>
              </w:rPr>
              <w:t>Accumulated Other Comprehensive Losses</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(3,105 )</w:t>
            </w:r>
          </w:p>
        </w:tc>
      </w:tr>
      <w:tr>
        <w:trPr>
          <w:trHeight w:val="240"/>
        </w:trPr>
        <w:tc>
          <w:tcPr>
            <w:tcW w:w="8080" w:type="dxa"/>
            <w:vAlign w:val="bottom"/>
            <w:tcBorders>
              <w:top w:val="single" w:sz="8" w:color="A6A6A6"/>
              <w:bottom w:val="single" w:sz="8" w:color="A6A6A6"/>
            </w:tcBorders>
            <w:gridSpan w:val="2"/>
          </w:tcPr>
          <w:p>
            <w:pPr>
              <w:ind w:left="20"/>
              <w:spacing w:after="0"/>
              <w:rPr>
                <w:sz w:val="20"/>
                <w:szCs w:val="20"/>
                <w:color w:val="auto"/>
              </w:rPr>
            </w:pPr>
            <w:r>
              <w:rPr>
                <w:rFonts w:ascii="Arial" w:cs="Arial" w:eastAsia="Arial" w:hAnsi="Arial"/>
                <w:sz w:val="16"/>
                <w:szCs w:val="16"/>
                <w:color w:val="004483"/>
              </w:rPr>
              <w:t>Retained Earnings</w:t>
            </w:r>
          </w:p>
        </w:tc>
        <w:tc>
          <w:tcPr>
            <w:tcW w:w="380" w:type="dxa"/>
            <w:vAlign w:val="bottom"/>
            <w:tcBorders>
              <w:top w:val="single" w:sz="8" w:color="A6A6A6"/>
              <w:bottom w:val="single" w:sz="8" w:color="004483"/>
            </w:tcBorders>
          </w:tcPr>
          <w:p>
            <w:pPr>
              <w:spacing w:after="0"/>
              <w:rPr>
                <w:sz w:val="20"/>
                <w:szCs w:val="20"/>
                <w:color w:val="auto"/>
              </w:rPr>
            </w:pPr>
          </w:p>
        </w:tc>
        <w:tc>
          <w:tcPr>
            <w:tcW w:w="10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1,168,257</w:t>
            </w:r>
          </w:p>
        </w:tc>
        <w:tc>
          <w:tcPr>
            <w:tcW w:w="60" w:type="dxa"/>
            <w:vAlign w:val="bottom"/>
          </w:tcPr>
          <w:p>
            <w:pPr>
              <w:spacing w:after="0"/>
              <w:rPr>
                <w:sz w:val="20"/>
                <w:szCs w:val="20"/>
                <w:color w:val="auto"/>
              </w:rPr>
            </w:pPr>
          </w:p>
        </w:tc>
      </w:tr>
      <w:tr>
        <w:trPr>
          <w:trHeight w:val="236"/>
        </w:trPr>
        <w:tc>
          <w:tcPr>
            <w:tcW w:w="79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Total Stockholders’ Equity</w:t>
            </w:r>
          </w:p>
        </w:tc>
        <w:tc>
          <w:tcPr>
            <w:tcW w:w="180" w:type="dxa"/>
            <w:vAlign w:val="bottom"/>
          </w:tcPr>
          <w:p>
            <w:pPr>
              <w:spacing w:after="0"/>
              <w:rPr>
                <w:sz w:val="20"/>
                <w:szCs w:val="20"/>
                <w:color w:val="auto"/>
              </w:rPr>
            </w:pPr>
          </w:p>
        </w:tc>
        <w:tc>
          <w:tcPr>
            <w:tcW w:w="38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1,165,514</w:t>
            </w:r>
          </w:p>
        </w:tc>
        <w:tc>
          <w:tcPr>
            <w:tcW w:w="60" w:type="dxa"/>
            <w:vAlign w:val="bottom"/>
          </w:tcPr>
          <w:p>
            <w:pPr>
              <w:spacing w:after="0"/>
              <w:rPr>
                <w:sz w:val="20"/>
                <w:szCs w:val="20"/>
                <w:color w:val="auto"/>
              </w:rPr>
            </w:pPr>
          </w:p>
        </w:tc>
      </w:tr>
      <w:tr>
        <w:trPr>
          <w:trHeight w:val="208"/>
        </w:trPr>
        <w:tc>
          <w:tcPr>
            <w:tcW w:w="8080" w:type="dxa"/>
            <w:vAlign w:val="bottom"/>
            <w:gridSpan w:val="2"/>
          </w:tcPr>
          <w:p>
            <w:pPr>
              <w:ind w:left="380"/>
              <w:spacing w:after="0"/>
              <w:rPr>
                <w:sz w:val="20"/>
                <w:szCs w:val="20"/>
                <w:color w:val="auto"/>
              </w:rPr>
            </w:pPr>
            <w:r>
              <w:rPr>
                <w:rFonts w:ascii="Arial" w:cs="Arial" w:eastAsia="Arial" w:hAnsi="Arial"/>
                <w:sz w:val="16"/>
                <w:szCs w:val="16"/>
                <w:color w:val="004483"/>
              </w:rPr>
              <w:t>Total Liabilities and Stockholders’ Equity</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2,730,170</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635</wp:posOffset>
            </wp:positionV>
            <wp:extent cx="8826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-127635</wp:posOffset>
            </wp:positionV>
            <wp:extent cx="8826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780" w:hanging="772"/>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113,679</w:t>
      </w:r>
    </w:p>
    <w:p>
      <w:pPr>
        <w:spacing w:after="0" w:line="45"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86,754</w:t>
      </w:r>
    </w:p>
    <w:p>
      <w:pPr>
        <w:spacing w:after="0" w:line="45"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7,118</w:t>
      </w:r>
    </w:p>
    <w:p>
      <w:pPr>
        <w:spacing w:after="0" w:line="45"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45"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-717550</wp:posOffset>
            </wp:positionV>
            <wp:extent cx="9855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-571500</wp:posOffset>
            </wp:positionV>
            <wp:extent cx="9855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-426085</wp:posOffset>
            </wp:positionV>
            <wp:extent cx="9855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85520" cy="889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-280035</wp:posOffset>
            </wp:positionV>
            <wp:extent cx="9855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-134620</wp:posOffset>
            </wp:positionV>
            <wp:extent cx="8743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85520" cy="26035"/>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207,551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938,265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29,212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38,699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232,369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5520" cy="26035"/>
                    </a:xfrm>
                    <a:prstGeom prst="rect">
                      <a:avLst/>
                    </a:prstGeom>
                    <a:noFill/>
                  </pic:spPr>
                </pic:pic>
              </a:graphicData>
            </a:graphic>
          </wp:anchor>
        </w:drawing>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1,446,096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85520" cy="2540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173355</wp:posOffset>
            </wp:positionV>
            <wp:extent cx="9855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8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(3,175 )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1,136,344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10795</wp:posOffset>
            </wp:positionV>
            <wp:extent cx="9855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85520" cy="25400"/>
                    </a:xfrm>
                    <a:prstGeom prst="rect">
                      <a:avLst/>
                    </a:prstGeom>
                    <a:noFill/>
                  </pic:spPr>
                </pic:pic>
              </a:graphicData>
            </a:graphic>
          </wp:anchor>
        </w:drawing>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1,133,556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87439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74395" cy="26035"/>
                    </a:xfrm>
                    <a:prstGeom prst="rect">
                      <a:avLst/>
                    </a:prstGeom>
                    <a:noFill/>
                  </pic:spPr>
                </pic:pic>
              </a:graphicData>
            </a:graphic>
          </wp:anchor>
        </w:drawing>
      </w:r>
    </w:p>
    <w:p>
      <w:pPr>
        <w:spacing w:after="0" w:line="33"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2,579,652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8743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40640</wp:posOffset>
            </wp:positionV>
            <wp:extent cx="8743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9540" w:space="220"/>
            <w:col w:w="1480"/>
          </w:cols>
          <w:pgMar w:left="320" w:top="360" w:right="339"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340" w:type="dxa"/>
            <w:vAlign w:val="bottom"/>
            <w:shd w:val="clear" w:color="auto" w:fill="004483"/>
          </w:tcPr>
          <w:p>
            <w:pPr>
              <w:spacing w:after="0"/>
              <w:rPr>
                <w:sz w:val="14"/>
                <w:szCs w:val="14"/>
                <w:color w:val="auto"/>
              </w:rPr>
            </w:pPr>
          </w:p>
        </w:tc>
        <w:tc>
          <w:tcPr>
            <w:tcW w:w="3420" w:type="dxa"/>
            <w:vAlign w:val="bottom"/>
            <w:gridSpan w:val="6"/>
            <w:shd w:val="clear" w:color="auto" w:fill="004483"/>
          </w:tcPr>
          <w:p>
            <w:pPr>
              <w:jc w:val="right"/>
              <w:ind w:right="700"/>
              <w:spacing w:after="0"/>
              <w:rPr>
                <w:sz w:val="20"/>
                <w:szCs w:val="20"/>
                <w:color w:val="auto"/>
              </w:rPr>
            </w:pPr>
            <w:r>
              <w:rPr>
                <w:rFonts w:ascii="Arial" w:cs="Arial" w:eastAsia="Arial" w:hAnsi="Arial"/>
                <w:sz w:val="13"/>
                <w:szCs w:val="13"/>
                <w:b w:val="1"/>
                <w:bCs w:val="1"/>
                <w:color w:val="FFFFFF"/>
              </w:rPr>
              <w:t>For the Nine Months Ended December 31,</w:t>
            </w:r>
          </w:p>
        </w:tc>
      </w:tr>
      <w:tr>
        <w:trPr>
          <w:trHeight w:val="168"/>
        </w:trPr>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77"/>
        </w:trPr>
        <w:tc>
          <w:tcPr>
            <w:tcW w:w="7480" w:type="dxa"/>
            <w:vAlign w:val="bottom"/>
            <w:tcBorders>
              <w:bottom w:val="single" w:sz="8" w:color="004483"/>
            </w:tcBorders>
          </w:tcPr>
          <w:p>
            <w:pPr>
              <w:spacing w:after="0"/>
              <w:rPr>
                <w:sz w:val="15"/>
                <w:szCs w:val="15"/>
                <w:color w:val="auto"/>
              </w:rPr>
            </w:pPr>
          </w:p>
        </w:tc>
        <w:tc>
          <w:tcPr>
            <w:tcW w:w="340" w:type="dxa"/>
            <w:vAlign w:val="bottom"/>
            <w:tcBorders>
              <w:bottom w:val="single" w:sz="8" w:color="004483"/>
            </w:tcBorders>
          </w:tcPr>
          <w:p>
            <w:pPr>
              <w:spacing w:after="0"/>
              <w:rPr>
                <w:sz w:val="15"/>
                <w:szCs w:val="15"/>
                <w:color w:val="auto"/>
              </w:rPr>
            </w:pPr>
          </w:p>
        </w:tc>
        <w:tc>
          <w:tcPr>
            <w:tcW w:w="2380" w:type="dxa"/>
            <w:vAlign w:val="bottom"/>
            <w:tcBorders>
              <w:bottom w:val="single" w:sz="8" w:color="004483"/>
            </w:tcBorders>
            <w:gridSpan w:val="4"/>
          </w:tcPr>
          <w:p>
            <w:pPr>
              <w:jc w:val="right"/>
              <w:ind w:right="219"/>
              <w:spacing w:after="0"/>
              <w:rPr>
                <w:sz w:val="20"/>
                <w:szCs w:val="20"/>
                <w:color w:val="auto"/>
              </w:rPr>
            </w:pPr>
            <w:r>
              <w:rPr>
                <w:rFonts w:ascii="Arial" w:cs="Arial" w:eastAsia="Arial" w:hAnsi="Arial"/>
                <w:sz w:val="13"/>
                <w:szCs w:val="13"/>
                <w:color w:val="auto"/>
              </w:rPr>
              <w:t>(dollars in thousands)</w:t>
            </w:r>
          </w:p>
        </w:tc>
        <w:tc>
          <w:tcPr>
            <w:tcW w:w="9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74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7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361,184</w:t>
            </w:r>
          </w:p>
        </w:tc>
        <w:tc>
          <w:tcPr>
            <w:tcW w:w="100" w:type="dxa"/>
            <w:vAlign w:val="bottom"/>
          </w:tcPr>
          <w:p>
            <w:pPr>
              <w:spacing w:after="0"/>
              <w:rPr>
                <w:sz w:val="18"/>
                <w:szCs w:val="18"/>
                <w:color w:val="auto"/>
              </w:rPr>
            </w:pPr>
          </w:p>
        </w:tc>
        <w:tc>
          <w:tcPr>
            <w:tcW w:w="940" w:type="dxa"/>
            <w:vAlign w:val="bottom"/>
            <w:tcBorders>
              <w:bottom w:val="single" w:sz="8" w:color="A6A6A6"/>
            </w:tcBorders>
            <w:gridSpan w:val="2"/>
          </w:tcPr>
          <w:p>
            <w:pPr>
              <w:jc w:val="right"/>
              <w:ind w:right="5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299,931</w:t>
            </w:r>
          </w:p>
        </w:tc>
        <w:tc>
          <w:tcPr>
            <w:tcW w:w="100" w:type="dxa"/>
            <w:vAlign w:val="bottom"/>
          </w:tcPr>
          <w:p>
            <w:pPr>
              <w:spacing w:after="0"/>
              <w:rPr>
                <w:sz w:val="18"/>
                <w:szCs w:val="18"/>
                <w:color w:val="auto"/>
              </w:rPr>
            </w:pPr>
          </w:p>
        </w:tc>
      </w:tr>
      <w:tr>
        <w:trPr>
          <w:trHeight w:val="201"/>
        </w:trPr>
        <w:tc>
          <w:tcPr>
            <w:tcW w:w="7480" w:type="dxa"/>
            <w:vAlign w:val="bottom"/>
          </w:tcPr>
          <w:p>
            <w:pPr>
              <w:ind w:left="20"/>
              <w:spacing w:after="0"/>
              <w:rPr>
                <w:sz w:val="20"/>
                <w:szCs w:val="20"/>
                <w:color w:val="auto"/>
              </w:rPr>
            </w:pPr>
            <w:r>
              <w:rPr>
                <w:rFonts w:ascii="Arial" w:cs="Arial" w:eastAsia="Arial" w:hAnsi="Arial"/>
                <w:sz w:val="16"/>
                <w:szCs w:val="16"/>
                <w:color w:val="004483"/>
              </w:rPr>
              <w:t>Adjustments to Reconcile Net Earnings to Net Cash Provided</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340" w:type="dxa"/>
            <w:vAlign w:val="bottom"/>
            <w:tcBorders>
              <w:bottom w:val="single" w:sz="8" w:color="A6A6A6"/>
            </w:tcBorders>
          </w:tcPr>
          <w:p>
            <w:pPr>
              <w:spacing w:after="0"/>
              <w:rPr>
                <w:sz w:val="17"/>
                <w:szCs w:val="17"/>
                <w:color w:val="auto"/>
              </w:rPr>
            </w:pPr>
          </w:p>
        </w:tc>
        <w:tc>
          <w:tcPr>
            <w:tcW w:w="13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4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Depreciation, Depletion, and Amortization</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103,689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96,478</w:t>
            </w:r>
          </w:p>
        </w:tc>
        <w:tc>
          <w:tcPr>
            <w:tcW w:w="100" w:type="dxa"/>
            <w:vAlign w:val="bottom"/>
          </w:tcPr>
          <w:p>
            <w:pPr>
              <w:spacing w:after="0"/>
              <w:rPr>
                <w:sz w:val="18"/>
                <w:szCs w:val="18"/>
                <w:color w:val="auto"/>
              </w:rPr>
            </w:pPr>
          </w:p>
        </w:tc>
      </w:tr>
      <w:tr>
        <w:trPr>
          <w:trHeight w:val="209"/>
        </w:trPr>
        <w:tc>
          <w:tcPr>
            <w:tcW w:w="7480" w:type="dxa"/>
            <w:vAlign w:val="bottom"/>
          </w:tcPr>
          <w:p>
            <w:pPr>
              <w:ind w:left="200"/>
              <w:spacing w:after="0"/>
              <w:rPr>
                <w:sz w:val="20"/>
                <w:szCs w:val="20"/>
                <w:color w:val="auto"/>
              </w:rPr>
            </w:pPr>
            <w:r>
              <w:rPr>
                <w:rFonts w:ascii="Arial" w:cs="Arial" w:eastAsia="Arial" w:hAnsi="Arial"/>
                <w:sz w:val="16"/>
                <w:szCs w:val="16"/>
                <w:color w:val="004483"/>
              </w:rPr>
              <w:t>Write-off of Debt Issuance Costs</w:t>
            </w:r>
          </w:p>
        </w:tc>
        <w:tc>
          <w:tcPr>
            <w:tcW w:w="3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6,101</w:t>
            </w:r>
          </w:p>
        </w:tc>
        <w:tc>
          <w:tcPr>
            <w:tcW w:w="100" w:type="dxa"/>
            <w:vAlign w:val="bottom"/>
          </w:tcPr>
          <w:p>
            <w:pPr>
              <w:spacing w:after="0"/>
              <w:rPr>
                <w:sz w:val="18"/>
                <w:szCs w:val="18"/>
                <w:color w:val="auto"/>
              </w:rPr>
            </w:pPr>
          </w:p>
        </w:tc>
      </w:tr>
      <w:tr>
        <w:trPr>
          <w:trHeight w:val="209"/>
        </w:trPr>
        <w:tc>
          <w:tcPr>
            <w:tcW w:w="74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Deferred Income Tax Provision</w:t>
            </w:r>
          </w:p>
        </w:tc>
        <w:tc>
          <w:tcPr>
            <w:tcW w:w="340" w:type="dxa"/>
            <w:vAlign w:val="bottom"/>
            <w:tcBorders>
              <w:top w:val="single" w:sz="8" w:color="A6A6A6"/>
              <w:bottom w:val="single" w:sz="8" w:color="A6A6A6"/>
            </w:tcBorders>
          </w:tcPr>
          <w:p>
            <w:pPr>
              <w:spacing w:after="0"/>
              <w:rPr>
                <w:sz w:val="18"/>
                <w:szCs w:val="18"/>
                <w:color w:val="auto"/>
              </w:rPr>
            </w:pPr>
          </w:p>
        </w:tc>
        <w:tc>
          <w:tcPr>
            <w:tcW w:w="1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7,227</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spacing w:after="0"/>
              <w:rPr>
                <w:sz w:val="18"/>
                <w:szCs w:val="18"/>
                <w:color w:val="auto"/>
              </w:rPr>
            </w:pP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12,685</w:t>
            </w:r>
          </w:p>
        </w:tc>
        <w:tc>
          <w:tcPr>
            <w:tcW w:w="100" w:type="dxa"/>
            <w:vAlign w:val="bottom"/>
          </w:tcPr>
          <w:p>
            <w:pPr>
              <w:spacing w:after="0"/>
              <w:rPr>
                <w:sz w:val="18"/>
                <w:szCs w:val="18"/>
                <w:color w:val="auto"/>
              </w:rPr>
            </w:pPr>
          </w:p>
        </w:tc>
      </w:tr>
      <w:tr>
        <w:trPr>
          <w:trHeight w:val="209"/>
        </w:trPr>
        <w:tc>
          <w:tcPr>
            <w:tcW w:w="74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Stock Compensation Expense</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13,636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10,637</w:t>
            </w:r>
          </w:p>
        </w:tc>
        <w:tc>
          <w:tcPr>
            <w:tcW w:w="100" w:type="dxa"/>
            <w:vAlign w:val="bottom"/>
          </w:tcPr>
          <w:p>
            <w:pPr>
              <w:spacing w:after="0"/>
              <w:rPr>
                <w:sz w:val="18"/>
                <w:szCs w:val="18"/>
                <w:color w:val="auto"/>
              </w:rPr>
            </w:pPr>
          </w:p>
        </w:tc>
      </w:tr>
      <w:tr>
        <w:trPr>
          <w:trHeight w:val="210"/>
        </w:trPr>
        <w:tc>
          <w:tcPr>
            <w:tcW w:w="7480" w:type="dxa"/>
            <w:vAlign w:val="bottom"/>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(23,631 )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(24,785 )</w:t>
            </w:r>
          </w:p>
        </w:tc>
      </w:tr>
      <w:tr>
        <w:trPr>
          <w:trHeight w:val="210"/>
        </w:trPr>
        <w:tc>
          <w:tcPr>
            <w:tcW w:w="74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Distributions from Joint Venture</w:t>
            </w:r>
          </w:p>
        </w:tc>
        <w:tc>
          <w:tcPr>
            <w:tcW w:w="340" w:type="dxa"/>
            <w:vAlign w:val="bottom"/>
            <w:tcBorders>
              <w:top w:val="single" w:sz="8" w:color="A6A6A6"/>
              <w:bottom w:val="single" w:sz="8" w:color="A6A6A6"/>
            </w:tcBorders>
          </w:tcPr>
          <w:p>
            <w:pPr>
              <w:spacing w:after="0"/>
              <w:rPr>
                <w:sz w:val="18"/>
                <w:szCs w:val="18"/>
                <w:color w:val="auto"/>
              </w:rPr>
            </w:pPr>
          </w:p>
        </w:tc>
        <w:tc>
          <w:tcPr>
            <w:tcW w:w="1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19,000</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spacing w:after="0"/>
              <w:rPr>
                <w:sz w:val="18"/>
                <w:szCs w:val="18"/>
                <w:color w:val="auto"/>
              </w:rPr>
            </w:pP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20,750</w:t>
            </w:r>
          </w:p>
        </w:tc>
        <w:tc>
          <w:tcPr>
            <w:tcW w:w="100" w:type="dxa"/>
            <w:vAlign w:val="bottom"/>
          </w:tcPr>
          <w:p>
            <w:pPr>
              <w:spacing w:after="0"/>
              <w:rPr>
                <w:sz w:val="18"/>
                <w:szCs w:val="18"/>
                <w:color w:val="auto"/>
              </w:rPr>
            </w:pPr>
          </w:p>
        </w:tc>
      </w:tr>
      <w:tr>
        <w:trPr>
          <w:trHeight w:val="209"/>
        </w:trPr>
        <w:tc>
          <w:tcPr>
            <w:tcW w:w="7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Changes in Operating Assets and Liabilities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480" w:type="dxa"/>
            <w:vAlign w:val="bottom"/>
          </w:tcPr>
          <w:p>
            <w:pPr>
              <w:ind w:left="200"/>
              <w:spacing w:after="0"/>
              <w:rPr>
                <w:sz w:val="20"/>
                <w:szCs w:val="20"/>
                <w:color w:val="auto"/>
              </w:rPr>
            </w:pPr>
            <w:r>
              <w:rPr>
                <w:rFonts w:ascii="Arial" w:cs="Arial" w:eastAsia="Arial" w:hAnsi="Arial"/>
                <w:sz w:val="16"/>
                <w:szCs w:val="16"/>
                <w:color w:val="004483"/>
              </w:rPr>
              <w:t>Accounts and Notes Receivable</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(23,595 )</w:t>
            </w: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80" w:type="dxa"/>
            <w:vAlign w:val="bottom"/>
          </w:tcPr>
          <w:p>
            <w:pPr>
              <w:ind w:left="200"/>
              <w:spacing w:after="0"/>
              <w:rPr>
                <w:sz w:val="20"/>
                <w:szCs w:val="20"/>
                <w:color w:val="auto"/>
              </w:rPr>
            </w:pPr>
            <w:r>
              <w:rPr>
                <w:rFonts w:ascii="Arial" w:cs="Arial" w:eastAsia="Arial" w:hAnsi="Arial"/>
                <w:sz w:val="16"/>
                <w:szCs w:val="16"/>
                <w:color w:val="004483"/>
              </w:rPr>
              <w:t>Inventories</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(3,219 )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23,771</w:t>
            </w:r>
          </w:p>
        </w:tc>
        <w:tc>
          <w:tcPr>
            <w:tcW w:w="100" w:type="dxa"/>
            <w:vAlign w:val="bottom"/>
          </w:tcPr>
          <w:p>
            <w:pPr>
              <w:spacing w:after="0"/>
              <w:rPr>
                <w:sz w:val="18"/>
                <w:szCs w:val="18"/>
                <w:color w:val="auto"/>
              </w:rPr>
            </w:pP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80" w:type="dxa"/>
            <w:vAlign w:val="bottom"/>
          </w:tcPr>
          <w:p>
            <w:pPr>
              <w:ind w:left="200"/>
              <w:spacing w:after="0"/>
              <w:rPr>
                <w:sz w:val="20"/>
                <w:szCs w:val="20"/>
                <w:color w:val="auto"/>
              </w:rPr>
            </w:pPr>
            <w:r>
              <w:rPr>
                <w:rFonts w:ascii="Arial" w:cs="Arial" w:eastAsia="Arial" w:hAnsi="Arial"/>
                <w:sz w:val="16"/>
                <w:szCs w:val="16"/>
                <w:color w:val="004483"/>
              </w:rPr>
              <w:t>Accounts Payable and Accrued Liabilities</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(13,959 )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13,629</w:t>
            </w:r>
          </w:p>
        </w:tc>
        <w:tc>
          <w:tcPr>
            <w:tcW w:w="100" w:type="dxa"/>
            <w:vAlign w:val="bottom"/>
          </w:tcPr>
          <w:p>
            <w:pPr>
              <w:spacing w:after="0"/>
              <w:rPr>
                <w:sz w:val="18"/>
                <w:szCs w:val="18"/>
                <w:color w:val="auto"/>
              </w:rPr>
            </w:pP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80" w:type="dxa"/>
            <w:vAlign w:val="bottom"/>
          </w:tcPr>
          <w:p>
            <w:pPr>
              <w:ind w:left="200"/>
              <w:spacing w:after="0"/>
              <w:rPr>
                <w:sz w:val="20"/>
                <w:szCs w:val="20"/>
                <w:color w:val="auto"/>
              </w:rPr>
            </w:pPr>
            <w:r>
              <w:rPr>
                <w:rFonts w:ascii="Arial" w:cs="Arial" w:eastAsia="Arial" w:hAnsi="Arial"/>
                <w:sz w:val="16"/>
                <w:szCs w:val="16"/>
                <w:color w:val="004483"/>
              </w:rPr>
              <w:t>Other Assets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(672 )</w:t>
            </w: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480" w:type="dxa"/>
            <w:vAlign w:val="bottom"/>
          </w:tcPr>
          <w:p>
            <w:pPr>
              <w:ind w:left="200"/>
              <w:spacing w:after="0"/>
              <w:rPr>
                <w:sz w:val="20"/>
                <w:szCs w:val="20"/>
                <w:color w:val="auto"/>
              </w:rPr>
            </w:pPr>
            <w:r>
              <w:rPr>
                <w:rFonts w:ascii="Arial" w:cs="Arial" w:eastAsia="Arial" w:hAnsi="Arial"/>
                <w:sz w:val="16"/>
                <w:szCs w:val="16"/>
                <w:color w:val="004483"/>
              </w:rPr>
              <w:t>Income Taxes Payable (Receivable)</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(6,052 )</w:t>
            </w:r>
          </w:p>
        </w:tc>
      </w:tr>
      <w:tr>
        <w:trPr>
          <w:trHeight w:val="237"/>
        </w:trPr>
        <w:tc>
          <w:tcPr>
            <w:tcW w:w="7480" w:type="dxa"/>
            <w:vAlign w:val="bottom"/>
            <w:tcBorders>
              <w:top w:val="single" w:sz="8" w:color="A6A6A6"/>
              <w:bottom w:val="single" w:sz="8" w:color="A6A6A6"/>
            </w:tcBorders>
          </w:tcPr>
          <w:p>
            <w:pPr>
              <w:ind w:left="380"/>
              <w:spacing w:after="0"/>
              <w:rPr>
                <w:sz w:val="20"/>
                <w:szCs w:val="20"/>
                <w:color w:val="auto"/>
              </w:rPr>
            </w:pPr>
            <w:r>
              <w:rPr>
                <w:rFonts w:ascii="Arial" w:cs="Arial" w:eastAsia="Arial" w:hAnsi="Arial"/>
                <w:sz w:val="16"/>
                <w:szCs w:val="16"/>
                <w:color w:val="004483"/>
              </w:rPr>
              <w:t>Net Cash Provided by Operating Activities</w:t>
            </w:r>
          </w:p>
        </w:tc>
        <w:tc>
          <w:tcPr>
            <w:tcW w:w="340" w:type="dxa"/>
            <w:vAlign w:val="bottom"/>
            <w:tcBorders>
              <w:top w:val="single" w:sz="8" w:color="004483"/>
              <w:bottom w:val="single" w:sz="8" w:color="004483"/>
            </w:tcBorders>
          </w:tcPr>
          <w:p>
            <w:pPr>
              <w:spacing w:after="0"/>
              <w:rPr>
                <w:sz w:val="20"/>
                <w:szCs w:val="20"/>
                <w:color w:val="auto"/>
              </w:rPr>
            </w:pPr>
          </w:p>
        </w:tc>
        <w:tc>
          <w:tcPr>
            <w:tcW w:w="13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480,111</w:t>
            </w:r>
          </w:p>
        </w:tc>
        <w:tc>
          <w:tcPr>
            <w:tcW w:w="100" w:type="dxa"/>
            <w:vAlign w:val="bottom"/>
          </w:tcPr>
          <w:p>
            <w:pPr>
              <w:spacing w:after="0"/>
              <w:rPr>
                <w:sz w:val="20"/>
                <w:szCs w:val="20"/>
                <w:color w:val="auto"/>
              </w:rPr>
            </w:pPr>
          </w:p>
        </w:tc>
        <w:tc>
          <w:tcPr>
            <w:tcW w:w="180" w:type="dxa"/>
            <w:vAlign w:val="bottom"/>
            <w:tcBorders>
              <w:top w:val="single" w:sz="8" w:color="A6A6A6"/>
              <w:bottom w:val="single" w:sz="8" w:color="A6A6A6"/>
            </w:tcBorders>
          </w:tcPr>
          <w:p>
            <w:pPr>
              <w:spacing w:after="0"/>
              <w:rPr>
                <w:sz w:val="20"/>
                <w:szCs w:val="20"/>
                <w:color w:val="auto"/>
              </w:rPr>
            </w:pPr>
          </w:p>
        </w:tc>
        <w:tc>
          <w:tcPr>
            <w:tcW w:w="760" w:type="dxa"/>
            <w:vAlign w:val="bottom"/>
            <w:tcBorders>
              <w:top w:val="single" w:sz="8" w:color="004483"/>
              <w:bottom w:val="single" w:sz="8" w:color="004483"/>
            </w:tcBorders>
          </w:tcPr>
          <w:p>
            <w:pPr>
              <w:spacing w:after="0"/>
              <w:rPr>
                <w:sz w:val="20"/>
                <w:szCs w:val="20"/>
                <w:color w:val="auto"/>
              </w:rPr>
            </w:pPr>
          </w:p>
        </w:tc>
        <w:tc>
          <w:tcPr>
            <w:tcW w:w="9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428,878</w:t>
            </w:r>
          </w:p>
        </w:tc>
        <w:tc>
          <w:tcPr>
            <w:tcW w:w="100" w:type="dxa"/>
            <w:vAlign w:val="bottom"/>
          </w:tcPr>
          <w:p>
            <w:pPr>
              <w:spacing w:after="0"/>
              <w:rPr>
                <w:sz w:val="20"/>
                <w:szCs w:val="20"/>
                <w:color w:val="auto"/>
              </w:rPr>
            </w:pPr>
          </w:p>
        </w:tc>
      </w:tr>
      <w:tr>
        <w:trPr>
          <w:trHeight w:val="209"/>
        </w:trPr>
        <w:tc>
          <w:tcPr>
            <w:tcW w:w="74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7480" w:type="dxa"/>
            <w:vAlign w:val="bottom"/>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(60,951 )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(55,188 )</w:t>
            </w: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7480" w:type="dxa"/>
            <w:vAlign w:val="bottom"/>
          </w:tcPr>
          <w:p>
            <w:pPr>
              <w:ind w:left="200"/>
              <w:spacing w:after="0"/>
              <w:rPr>
                <w:sz w:val="20"/>
                <w:szCs w:val="20"/>
                <w:color w:val="auto"/>
              </w:rPr>
            </w:pPr>
            <w:r>
              <w:rPr>
                <w:rFonts w:ascii="Arial" w:cs="Arial" w:eastAsia="Arial" w:hAnsi="Arial"/>
                <w:sz w:val="16"/>
                <w:szCs w:val="16"/>
                <w:color w:val="004483"/>
              </w:rPr>
              <w:t>Acquisition Spending</w:t>
            </w:r>
          </w:p>
        </w:tc>
        <w:tc>
          <w:tcPr>
            <w:tcW w:w="3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(158,451 )</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tcBorders>
              <w:top w:val="single" w:sz="8" w:color="004483"/>
            </w:tcBorders>
            <w:shd w:val="clear" w:color="auto" w:fill="004483"/>
          </w:tcPr>
          <w:p>
            <w:pPr>
              <w:spacing w:after="0" w:line="20" w:lineRule="exact"/>
              <w:rPr>
                <w:sz w:val="1"/>
                <w:szCs w:val="1"/>
                <w:color w:val="auto"/>
              </w:rPr>
            </w:pPr>
          </w:p>
        </w:tc>
        <w:tc>
          <w:tcPr>
            <w:tcW w:w="13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tcBorders>
              <w:top w:val="single" w:sz="8" w:color="004483"/>
            </w:tcBorders>
            <w:shd w:val="clear" w:color="auto" w:fill="004483"/>
          </w:tcPr>
          <w:p>
            <w:pPr>
              <w:spacing w:after="0" w:line="20" w:lineRule="exact"/>
              <w:rPr>
                <w:sz w:val="1"/>
                <w:szCs w:val="1"/>
                <w:color w:val="auto"/>
              </w:rPr>
            </w:pPr>
          </w:p>
        </w:tc>
        <w:tc>
          <w:tcPr>
            <w:tcW w:w="9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80" w:type="dxa"/>
            <w:vAlign w:val="bottom"/>
          </w:tcPr>
          <w:p>
            <w:pPr>
              <w:ind w:left="380"/>
              <w:spacing w:after="0"/>
              <w:rPr>
                <w:sz w:val="20"/>
                <w:szCs w:val="20"/>
                <w:color w:val="auto"/>
              </w:rPr>
            </w:pPr>
            <w:r>
              <w:rPr>
                <w:rFonts w:ascii="Arial" w:cs="Arial" w:eastAsia="Arial" w:hAnsi="Arial"/>
                <w:sz w:val="16"/>
                <w:szCs w:val="16"/>
                <w:color w:val="004483"/>
              </w:rPr>
              <w:t>Net Cash Used in Investing Activities</w:t>
            </w:r>
          </w:p>
        </w:tc>
        <w:tc>
          <w:tcPr>
            <w:tcW w:w="3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(219,402 )</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(55,188 )</w:t>
            </w:r>
          </w:p>
        </w:tc>
      </w:tr>
      <w:tr>
        <w:trPr>
          <w:trHeight w:val="209"/>
        </w:trPr>
        <w:tc>
          <w:tcPr>
            <w:tcW w:w="74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top w:val="single" w:sz="8" w:color="004483"/>
              <w:bottom w:val="single" w:sz="8" w:color="A6A6A6"/>
            </w:tcBorders>
          </w:tcPr>
          <w:p>
            <w:pPr>
              <w:spacing w:after="0"/>
              <w:rPr>
                <w:sz w:val="18"/>
                <w:szCs w:val="18"/>
                <w:color w:val="auto"/>
              </w:rPr>
            </w:pPr>
          </w:p>
        </w:tc>
        <w:tc>
          <w:tcPr>
            <w:tcW w:w="1340" w:type="dxa"/>
            <w:vAlign w:val="bottom"/>
            <w:tcBorders>
              <w:top w:val="single" w:sz="8" w:color="004483"/>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004483"/>
              <w:bottom w:val="single" w:sz="8" w:color="A6A6A6"/>
            </w:tcBorders>
          </w:tcPr>
          <w:p>
            <w:pPr>
              <w:spacing w:after="0"/>
              <w:rPr>
                <w:sz w:val="18"/>
                <w:szCs w:val="18"/>
                <w:color w:val="auto"/>
              </w:rPr>
            </w:pPr>
          </w:p>
        </w:tc>
        <w:tc>
          <w:tcPr>
            <w:tcW w:w="940" w:type="dxa"/>
            <w:vAlign w:val="bottom"/>
            <w:tcBorders>
              <w:top w:val="single" w:sz="8" w:color="004483"/>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74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Borrowings Under Revolving Credit Facility</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r>
      <w:tr>
        <w:trPr>
          <w:trHeight w:val="210"/>
        </w:trPr>
        <w:tc>
          <w:tcPr>
            <w:tcW w:w="7480" w:type="dxa"/>
            <w:vAlign w:val="bottom"/>
          </w:tcPr>
          <w:p>
            <w:pPr>
              <w:ind w:left="200"/>
              <w:spacing w:after="0"/>
              <w:rPr>
                <w:sz w:val="20"/>
                <w:szCs w:val="20"/>
                <w:color w:val="auto"/>
              </w:rPr>
            </w:pPr>
            <w:r>
              <w:rPr>
                <w:rFonts w:ascii="Arial" w:cs="Arial" w:eastAsia="Arial" w:hAnsi="Arial"/>
                <w:sz w:val="16"/>
                <w:szCs w:val="16"/>
                <w:color w:val="004483"/>
              </w:rPr>
              <w:t>Repayment of Borrowings Under Revolving Credit Facility</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(70,000 )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74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2.500% Senior Unsecured Notes</w:t>
            </w:r>
          </w:p>
        </w:tc>
        <w:tc>
          <w:tcPr>
            <w:tcW w:w="340" w:type="dxa"/>
            <w:vAlign w:val="bottom"/>
            <w:tcBorders>
              <w:top w:val="single" w:sz="8" w:color="A6A6A6"/>
              <w:bottom w:val="single" w:sz="8" w:color="A6A6A6"/>
            </w:tcBorders>
          </w:tcPr>
          <w:p>
            <w:pPr>
              <w:spacing w:after="0"/>
              <w:rPr>
                <w:sz w:val="18"/>
                <w:szCs w:val="18"/>
                <w:color w:val="auto"/>
              </w:rPr>
            </w:pPr>
          </w:p>
        </w:tc>
        <w:tc>
          <w:tcPr>
            <w:tcW w:w="1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spacing w:after="0"/>
              <w:rPr>
                <w:sz w:val="18"/>
                <w:szCs w:val="18"/>
                <w:color w:val="auto"/>
              </w:rPr>
            </w:pP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743,692</w:t>
            </w:r>
          </w:p>
        </w:tc>
        <w:tc>
          <w:tcPr>
            <w:tcW w:w="100" w:type="dxa"/>
            <w:vAlign w:val="bottom"/>
          </w:tcPr>
          <w:p>
            <w:pPr>
              <w:spacing w:after="0"/>
              <w:rPr>
                <w:sz w:val="18"/>
                <w:szCs w:val="18"/>
                <w:color w:val="auto"/>
              </w:rPr>
            </w:pPr>
          </w:p>
        </w:tc>
      </w:tr>
      <w:tr>
        <w:trPr>
          <w:trHeight w:val="210"/>
        </w:trPr>
        <w:tc>
          <w:tcPr>
            <w:tcW w:w="7480" w:type="dxa"/>
            <w:vAlign w:val="bottom"/>
          </w:tcPr>
          <w:p>
            <w:pPr>
              <w:ind w:left="200"/>
              <w:spacing w:after="0"/>
              <w:rPr>
                <w:sz w:val="20"/>
                <w:szCs w:val="20"/>
                <w:color w:val="auto"/>
              </w:rPr>
            </w:pPr>
            <w:r>
              <w:rPr>
                <w:rFonts w:ascii="Arial" w:cs="Arial" w:eastAsia="Arial" w:hAnsi="Arial"/>
                <w:sz w:val="16"/>
                <w:szCs w:val="16"/>
                <w:color w:val="004483"/>
              </w:rPr>
              <w:t>Repayment of 4.500% Senior Unsecured Notes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(350,000 )</w:t>
            </w: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80" w:type="dxa"/>
            <w:vAlign w:val="bottom"/>
          </w:tcPr>
          <w:p>
            <w:pPr>
              <w:ind w:left="200"/>
              <w:spacing w:after="0"/>
              <w:rPr>
                <w:sz w:val="20"/>
                <w:szCs w:val="20"/>
                <w:color w:val="auto"/>
              </w:rPr>
            </w:pPr>
            <w:r>
              <w:rPr>
                <w:rFonts w:ascii="Arial" w:cs="Arial" w:eastAsia="Arial" w:hAnsi="Arial"/>
                <w:sz w:val="16"/>
                <w:szCs w:val="16"/>
                <w:color w:val="004483"/>
              </w:rPr>
              <w:t>Repayment of Term Loan and Term Loan Credit Agreement</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(5,000 )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(665,000 )</w:t>
            </w: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80" w:type="dxa"/>
            <w:vAlign w:val="bottom"/>
          </w:tcPr>
          <w:p>
            <w:pPr>
              <w:ind w:left="200"/>
              <w:spacing w:after="0"/>
              <w:rPr>
                <w:sz w:val="20"/>
                <w:szCs w:val="20"/>
                <w:color w:val="auto"/>
              </w:rPr>
            </w:pPr>
            <w:r>
              <w:rPr>
                <w:rFonts w:ascii="Arial" w:cs="Arial" w:eastAsia="Arial" w:hAnsi="Arial"/>
                <w:sz w:val="16"/>
                <w:szCs w:val="16"/>
                <w:color w:val="004483"/>
              </w:rPr>
              <w:t>Dividends Paid to Stockholders</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(28,421 )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(20,538 )</w:t>
            </w: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80" w:type="dxa"/>
            <w:vAlign w:val="bottom"/>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(313,898 )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(435,975 )</w:t>
            </w:r>
          </w:p>
        </w:tc>
      </w:tr>
      <w:tr>
        <w:trPr>
          <w:trHeight w:val="209"/>
        </w:trPr>
        <w:tc>
          <w:tcPr>
            <w:tcW w:w="74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340" w:type="dxa"/>
            <w:vAlign w:val="bottom"/>
            <w:tcBorders>
              <w:top w:val="single" w:sz="8" w:color="A6A6A6"/>
              <w:bottom w:val="single" w:sz="8" w:color="A6A6A6"/>
            </w:tcBorders>
          </w:tcPr>
          <w:p>
            <w:pPr>
              <w:spacing w:after="0"/>
              <w:rPr>
                <w:sz w:val="18"/>
                <w:szCs w:val="18"/>
                <w:color w:val="auto"/>
              </w:rPr>
            </w:pPr>
          </w:p>
        </w:tc>
        <w:tc>
          <w:tcPr>
            <w:tcW w:w="1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spacing w:after="0"/>
              <w:rPr>
                <w:sz w:val="18"/>
                <w:szCs w:val="18"/>
                <w:color w:val="auto"/>
              </w:rPr>
            </w:pP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20,754</w:t>
            </w:r>
          </w:p>
        </w:tc>
        <w:tc>
          <w:tcPr>
            <w:tcW w:w="100" w:type="dxa"/>
            <w:vAlign w:val="bottom"/>
          </w:tcPr>
          <w:p>
            <w:pPr>
              <w:spacing w:after="0"/>
              <w:rPr>
                <w:sz w:val="18"/>
                <w:szCs w:val="18"/>
                <w:color w:val="auto"/>
              </w:rPr>
            </w:pPr>
          </w:p>
        </w:tc>
      </w:tr>
      <w:tr>
        <w:trPr>
          <w:trHeight w:val="210"/>
        </w:trPr>
        <w:tc>
          <w:tcPr>
            <w:tcW w:w="7480" w:type="dxa"/>
            <w:vAlign w:val="bottom"/>
          </w:tcPr>
          <w:p>
            <w:pPr>
              <w:ind w:left="200"/>
              <w:spacing w:after="0"/>
              <w:rPr>
                <w:sz w:val="20"/>
                <w:szCs w:val="20"/>
                <w:color w:val="auto"/>
              </w:rPr>
            </w:pPr>
            <w:r>
              <w:rPr>
                <w:rFonts w:ascii="Arial" w:cs="Arial" w:eastAsia="Arial" w:hAnsi="Arial"/>
                <w:sz w:val="16"/>
                <w:szCs w:val="16"/>
                <w:color w:val="004483"/>
              </w:rPr>
              <w:t>Loss on Early Retirement of Senior Notes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80" w:type="dxa"/>
            <w:vAlign w:val="bottom"/>
          </w:tcPr>
          <w:p>
            <w:pPr>
              <w:ind w:left="200"/>
              <w:spacing w:after="0"/>
              <w:rPr>
                <w:sz w:val="20"/>
                <w:szCs w:val="20"/>
                <w:color w:val="auto"/>
              </w:rPr>
            </w:pPr>
            <w:r>
              <w:rPr>
                <w:rFonts w:ascii="Arial" w:cs="Arial" w:eastAsia="Arial" w:hAnsi="Arial"/>
                <w:sz w:val="16"/>
                <w:szCs w:val="16"/>
                <w:color w:val="004483"/>
              </w:rPr>
              <w:t>Payment of Debt Issuance Costs</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(903 )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(7,985 )</w:t>
            </w: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13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7480" w:type="dxa"/>
            <w:vAlign w:val="bottom"/>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3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(1,806 )</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(1,359 )</w:t>
            </w: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tcBorders>
              <w:top w:val="single" w:sz="8" w:color="004483"/>
            </w:tcBorders>
            <w:shd w:val="clear" w:color="auto" w:fill="004483"/>
          </w:tcPr>
          <w:p>
            <w:pPr>
              <w:spacing w:after="0" w:line="20" w:lineRule="exact"/>
              <w:rPr>
                <w:sz w:val="1"/>
                <w:szCs w:val="1"/>
                <w:color w:val="auto"/>
              </w:rPr>
            </w:pPr>
          </w:p>
        </w:tc>
        <w:tc>
          <w:tcPr>
            <w:tcW w:w="13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tcBorders>
              <w:top w:val="single" w:sz="8" w:color="004483"/>
            </w:tcBorders>
            <w:shd w:val="clear" w:color="auto" w:fill="004483"/>
          </w:tcPr>
          <w:p>
            <w:pPr>
              <w:spacing w:after="0" w:line="20" w:lineRule="exact"/>
              <w:rPr>
                <w:sz w:val="1"/>
                <w:szCs w:val="1"/>
                <w:color w:val="auto"/>
              </w:rPr>
            </w:pPr>
          </w:p>
        </w:tc>
        <w:tc>
          <w:tcPr>
            <w:tcW w:w="9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480" w:type="dxa"/>
            <w:vAlign w:val="bottom"/>
          </w:tcPr>
          <w:p>
            <w:pPr>
              <w:ind w:left="380"/>
              <w:spacing w:after="0"/>
              <w:rPr>
                <w:sz w:val="20"/>
                <w:szCs w:val="20"/>
                <w:color w:val="auto"/>
              </w:rPr>
            </w:pPr>
            <w:r>
              <w:rPr>
                <w:rFonts w:ascii="Arial" w:cs="Arial" w:eastAsia="Arial" w:hAnsi="Arial"/>
                <w:sz w:val="16"/>
                <w:szCs w:val="16"/>
                <w:color w:val="004483"/>
              </w:rPr>
              <w:t>Net Cash Used in Financing Activities</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(219,188 )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(624,818 )</w:t>
            </w:r>
          </w:p>
        </w:tc>
      </w:tr>
      <w:tr>
        <w:trPr>
          <w:trHeight w:val="20"/>
        </w:trPr>
        <w:tc>
          <w:tcPr>
            <w:tcW w:w="7480" w:type="dxa"/>
            <w:vAlign w:val="bottom"/>
            <w:shd w:val="clear" w:color="auto" w:fill="A6A6A6"/>
          </w:tcPr>
          <w:p>
            <w:pPr>
              <w:spacing w:after="0" w:line="20" w:lineRule="exact"/>
              <w:rPr>
                <w:sz w:val="1"/>
                <w:szCs w:val="1"/>
                <w:color w:val="auto"/>
              </w:rPr>
            </w:pPr>
          </w:p>
        </w:tc>
        <w:tc>
          <w:tcPr>
            <w:tcW w:w="340" w:type="dxa"/>
            <w:vAlign w:val="bottom"/>
            <w:tcBorders>
              <w:top w:val="single" w:sz="8" w:color="004483"/>
            </w:tcBorders>
            <w:shd w:val="clear" w:color="auto" w:fill="004483"/>
          </w:tcPr>
          <w:p>
            <w:pPr>
              <w:spacing w:after="0" w:line="20" w:lineRule="exact"/>
              <w:rPr>
                <w:sz w:val="1"/>
                <w:szCs w:val="1"/>
                <w:color w:val="auto"/>
              </w:rPr>
            </w:pPr>
          </w:p>
        </w:tc>
        <w:tc>
          <w:tcPr>
            <w:tcW w:w="13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760" w:type="dxa"/>
            <w:vAlign w:val="bottom"/>
            <w:tcBorders>
              <w:top w:val="single" w:sz="8" w:color="004483"/>
            </w:tcBorders>
            <w:shd w:val="clear" w:color="auto" w:fill="004483"/>
          </w:tcPr>
          <w:p>
            <w:pPr>
              <w:spacing w:after="0" w:line="20" w:lineRule="exact"/>
              <w:rPr>
                <w:sz w:val="1"/>
                <w:szCs w:val="1"/>
                <w:color w:val="auto"/>
              </w:rPr>
            </w:pPr>
          </w:p>
        </w:tc>
        <w:tc>
          <w:tcPr>
            <w:tcW w:w="9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41,521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(251,128 )</w:t>
            </w:r>
          </w:p>
        </w:tc>
      </w:tr>
      <w:tr>
        <w:trPr>
          <w:trHeight w:val="237"/>
        </w:trPr>
        <w:tc>
          <w:tcPr>
            <w:tcW w:w="74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40" w:type="dxa"/>
            <w:vAlign w:val="bottom"/>
            <w:tcBorders>
              <w:top w:val="single" w:sz="8" w:color="A6A6A6"/>
              <w:bottom w:val="single" w:sz="8" w:color="004483"/>
            </w:tcBorders>
          </w:tcPr>
          <w:p>
            <w:pPr>
              <w:spacing w:after="0"/>
              <w:rPr>
                <w:sz w:val="20"/>
                <w:szCs w:val="20"/>
                <w:color w:val="auto"/>
              </w:rPr>
            </w:pPr>
          </w:p>
        </w:tc>
        <w:tc>
          <w:tcPr>
            <w:tcW w:w="13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19,416</w:t>
            </w:r>
          </w:p>
        </w:tc>
        <w:tc>
          <w:tcPr>
            <w:tcW w:w="100" w:type="dxa"/>
            <w:vAlign w:val="bottom"/>
          </w:tcPr>
          <w:p>
            <w:pPr>
              <w:spacing w:after="0"/>
              <w:rPr>
                <w:sz w:val="20"/>
                <w:szCs w:val="20"/>
                <w:color w:val="auto"/>
              </w:rPr>
            </w:pPr>
          </w:p>
        </w:tc>
        <w:tc>
          <w:tcPr>
            <w:tcW w:w="180" w:type="dxa"/>
            <w:vAlign w:val="bottom"/>
            <w:tcBorders>
              <w:top w:val="single" w:sz="8" w:color="A6A6A6"/>
              <w:bottom w:val="single" w:sz="8" w:color="A6A6A6"/>
            </w:tcBorders>
          </w:tcPr>
          <w:p>
            <w:pPr>
              <w:spacing w:after="0"/>
              <w:rPr>
                <w:sz w:val="20"/>
                <w:szCs w:val="20"/>
                <w:color w:val="auto"/>
              </w:rPr>
            </w:pPr>
          </w:p>
        </w:tc>
        <w:tc>
          <w:tcPr>
            <w:tcW w:w="760" w:type="dxa"/>
            <w:vAlign w:val="bottom"/>
            <w:tcBorders>
              <w:top w:val="single" w:sz="8" w:color="A6A6A6"/>
              <w:bottom w:val="single" w:sz="8" w:color="004483"/>
            </w:tcBorders>
          </w:tcPr>
          <w:p>
            <w:pPr>
              <w:spacing w:after="0"/>
              <w:rPr>
                <w:sz w:val="20"/>
                <w:szCs w:val="20"/>
                <w:color w:val="auto"/>
              </w:rPr>
            </w:pPr>
          </w:p>
        </w:tc>
        <w:tc>
          <w:tcPr>
            <w:tcW w:w="9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268,520</w:t>
            </w:r>
          </w:p>
        </w:tc>
        <w:tc>
          <w:tcPr>
            <w:tcW w:w="100" w:type="dxa"/>
            <w:vAlign w:val="bottom"/>
          </w:tcPr>
          <w:p>
            <w:pPr>
              <w:spacing w:after="0"/>
              <w:rPr>
                <w:sz w:val="20"/>
                <w:szCs w:val="20"/>
                <w:color w:val="auto"/>
              </w:rPr>
            </w:pPr>
          </w:p>
        </w:tc>
      </w:tr>
      <w:tr>
        <w:trPr>
          <w:trHeight w:val="208"/>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60,937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17,392</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635</wp:posOffset>
            </wp:positionV>
            <wp:extent cx="23228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-127635</wp:posOffset>
            </wp:positionV>
            <wp:extent cx="23228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Capital in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r>
      <w:tr>
        <w:trPr>
          <w:trHeight w:val="181"/>
        </w:trPr>
        <w:tc>
          <w:tcPr>
            <w:tcW w:w="544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60" w:type="dxa"/>
            <w:vAlign w:val="bottom"/>
            <w:tcBorders>
              <w:bottom w:val="single" w:sz="8" w:color="004483"/>
            </w:tcBorders>
          </w:tcPr>
          <w:p>
            <w:pPr>
              <w:spacing w:after="0"/>
              <w:rPr>
                <w:sz w:val="15"/>
                <w:szCs w:val="15"/>
                <w:color w:val="auto"/>
              </w:rPr>
            </w:pPr>
          </w:p>
        </w:tc>
        <w:tc>
          <w:tcPr>
            <w:tcW w:w="122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w w:val="96"/>
              </w:rPr>
              <w:t>(dollars in thousands)</w:t>
            </w:r>
          </w:p>
        </w:tc>
        <w:tc>
          <w:tcPr>
            <w:tcW w:w="16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60" w:type="dxa"/>
            <w:vAlign w:val="bottom"/>
          </w:tcPr>
          <w:p>
            <w:pPr>
              <w:spacing w:after="0"/>
              <w:rPr>
                <w:sz w:val="15"/>
                <w:szCs w:val="15"/>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424</w:t>
            </w:r>
          </w:p>
        </w:tc>
        <w:tc>
          <w:tcPr>
            <w:tcW w:w="1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62,497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1,299,509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(3,440 )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1,358,990</w:t>
            </w:r>
          </w:p>
        </w:tc>
        <w:tc>
          <w:tcPr>
            <w:tcW w:w="60" w:type="dxa"/>
            <w:vAlign w:val="bottom"/>
          </w:tcPr>
          <w:p>
            <w:pPr>
              <w:spacing w:after="0"/>
              <w:rPr>
                <w:sz w:val="18"/>
                <w:szCs w:val="18"/>
                <w:color w:val="auto"/>
              </w:rPr>
            </w:pPr>
          </w:p>
        </w:tc>
      </w:tr>
      <w:tr>
        <w:trPr>
          <w:trHeight w:val="207"/>
        </w:trPr>
        <w:tc>
          <w:tcPr>
            <w:tcW w:w="54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95,327</w:t>
            </w:r>
          </w:p>
        </w:tc>
        <w:tc>
          <w:tcPr>
            <w:tcW w:w="16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95,327</w:t>
            </w:r>
          </w:p>
        </w:tc>
        <w:tc>
          <w:tcPr>
            <w:tcW w:w="60" w:type="dxa"/>
            <w:vAlign w:val="bottom"/>
          </w:tcPr>
          <w:p>
            <w:pPr>
              <w:spacing w:after="0"/>
              <w:rPr>
                <w:sz w:val="18"/>
                <w:szCs w:val="18"/>
                <w:color w:val="auto"/>
              </w:rPr>
            </w:pPr>
          </w:p>
        </w:tc>
      </w:tr>
      <w:tr>
        <w:trPr>
          <w:trHeight w:val="209"/>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2,456</w:t>
            </w:r>
          </w:p>
        </w:tc>
        <w:tc>
          <w:tcPr>
            <w:tcW w:w="60" w:type="dxa"/>
            <w:vAlign w:val="bottom"/>
          </w:tcPr>
          <w:p>
            <w:pPr>
              <w:spacing w:after="0"/>
              <w:rPr>
                <w:sz w:val="18"/>
                <w:szCs w:val="18"/>
                <w:color w:val="auto"/>
              </w:rPr>
            </w:pPr>
          </w:p>
        </w:tc>
      </w:tr>
      <w:tr>
        <w:trPr>
          <w:trHeight w:val="209"/>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8,222</w:t>
            </w:r>
          </w:p>
        </w:tc>
        <w:tc>
          <w:tcPr>
            <w:tcW w:w="60" w:type="dxa"/>
            <w:vAlign w:val="bottom"/>
          </w:tcPr>
          <w:p>
            <w:pPr>
              <w:spacing w:after="0"/>
              <w:rPr>
                <w:sz w:val="18"/>
                <w:szCs w:val="18"/>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(1,214 )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(1,214 )</w:t>
            </w:r>
          </w:p>
        </w:tc>
      </w:tr>
      <w:tr>
        <w:trPr>
          <w:trHeight w:val="20"/>
        </w:trPr>
        <w:tc>
          <w:tcPr>
            <w:tcW w:w="54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80" w:type="dxa"/>
            <w:vAlign w:val="bottom"/>
            <w:tcBorders>
              <w:right w:val="single" w:sz="8" w:color="A6A6A6"/>
            </w:tcBorders>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(4 )</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(61,925 )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(61,929 )</w:t>
            </w:r>
          </w:p>
        </w:tc>
      </w:tr>
      <w:tr>
        <w:trPr>
          <w:trHeight w:val="20"/>
        </w:trPr>
        <w:tc>
          <w:tcPr>
            <w:tcW w:w="54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80" w:type="dxa"/>
            <w:vAlign w:val="bottom"/>
            <w:tcBorders>
              <w:right w:val="single" w:sz="8" w:color="A6A6A6"/>
            </w:tcBorders>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(10,547 )</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(10,547 )</w:t>
            </w:r>
          </w:p>
        </w:tc>
      </w:tr>
      <w:tr>
        <w:trPr>
          <w:trHeight w:val="239"/>
        </w:trPr>
        <w:tc>
          <w:tcPr>
            <w:tcW w:w="54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0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20"/>
                <w:szCs w:val="20"/>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24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421</w:t>
            </w:r>
          </w:p>
        </w:tc>
        <w:tc>
          <w:tcPr>
            <w:tcW w:w="18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10,035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1,384,289</w:t>
            </w:r>
          </w:p>
        </w:tc>
        <w:tc>
          <w:tcPr>
            <w:tcW w:w="16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(3,413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1,391,332</w:t>
            </w:r>
          </w:p>
        </w:tc>
        <w:tc>
          <w:tcPr>
            <w:tcW w:w="60" w:type="dxa"/>
            <w:vAlign w:val="bottom"/>
          </w:tcPr>
          <w:p>
            <w:pPr>
              <w:spacing w:after="0"/>
              <w:rPr>
                <w:sz w:val="18"/>
                <w:szCs w:val="18"/>
                <w:color w:val="auto"/>
              </w:rPr>
            </w:pPr>
          </w:p>
        </w:tc>
      </w:tr>
      <w:tr>
        <w:trPr>
          <w:trHeight w:val="20"/>
        </w:trPr>
        <w:tc>
          <w:tcPr>
            <w:tcW w:w="544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102,125</w:t>
            </w:r>
          </w:p>
        </w:tc>
        <w:tc>
          <w:tcPr>
            <w:tcW w:w="16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102,125</w:t>
            </w:r>
          </w:p>
        </w:tc>
        <w:tc>
          <w:tcPr>
            <w:tcW w:w="60" w:type="dxa"/>
            <w:vAlign w:val="bottom"/>
          </w:tcPr>
          <w:p>
            <w:pPr>
              <w:spacing w:after="0"/>
              <w:rPr>
                <w:sz w:val="16"/>
                <w:szCs w:val="16"/>
                <w:color w:val="auto"/>
              </w:rPr>
            </w:pPr>
          </w:p>
        </w:tc>
      </w:tr>
      <w:tr>
        <w:trPr>
          <w:trHeight w:val="209"/>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3,920</w:t>
            </w:r>
          </w:p>
        </w:tc>
        <w:tc>
          <w:tcPr>
            <w:tcW w:w="60" w:type="dxa"/>
            <w:vAlign w:val="bottom"/>
          </w:tcPr>
          <w:p>
            <w:pPr>
              <w:spacing w:after="0"/>
              <w:rPr>
                <w:sz w:val="18"/>
                <w:szCs w:val="18"/>
                <w:color w:val="auto"/>
              </w:rPr>
            </w:pPr>
          </w:p>
        </w:tc>
      </w:tr>
      <w:tr>
        <w:trPr>
          <w:trHeight w:val="209"/>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 and Restricted Share Issuances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6,238</w:t>
            </w:r>
          </w:p>
        </w:tc>
        <w:tc>
          <w:tcPr>
            <w:tcW w:w="60" w:type="dxa"/>
            <w:vAlign w:val="bottom"/>
          </w:tcPr>
          <w:p>
            <w:pPr>
              <w:spacing w:after="0"/>
              <w:rPr>
                <w:sz w:val="18"/>
                <w:szCs w:val="18"/>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(145 )</w:t>
            </w:r>
          </w:p>
        </w:tc>
      </w:tr>
      <w:tr>
        <w:trPr>
          <w:trHeight w:val="20"/>
        </w:trPr>
        <w:tc>
          <w:tcPr>
            <w:tcW w:w="54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80" w:type="dxa"/>
            <w:vAlign w:val="bottom"/>
            <w:tcBorders>
              <w:right w:val="single" w:sz="8" w:color="A6A6A6"/>
            </w:tcBorders>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(12 )</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(20,048 )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(165,856 )</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(185,916 )</w:t>
            </w:r>
          </w:p>
        </w:tc>
      </w:tr>
      <w:tr>
        <w:trPr>
          <w:trHeight w:val="20"/>
        </w:trPr>
        <w:tc>
          <w:tcPr>
            <w:tcW w:w="54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80" w:type="dxa"/>
            <w:vAlign w:val="bottom"/>
            <w:tcBorders>
              <w:right w:val="single" w:sz="8" w:color="A6A6A6"/>
            </w:tcBorders>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(10,272 )</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(10,272 )</w:t>
            </w:r>
          </w:p>
        </w:tc>
      </w:tr>
      <w:tr>
        <w:trPr>
          <w:trHeight w:val="239"/>
        </w:trPr>
        <w:tc>
          <w:tcPr>
            <w:tcW w:w="54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0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20"/>
                <w:szCs w:val="20"/>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24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409</w:t>
            </w:r>
          </w:p>
        </w:tc>
        <w:tc>
          <w:tcPr>
            <w:tcW w:w="18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1,310,286</w:t>
            </w:r>
          </w:p>
        </w:tc>
        <w:tc>
          <w:tcPr>
            <w:tcW w:w="16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(3,386</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1,307,309</w:t>
            </w:r>
          </w:p>
        </w:tc>
        <w:tc>
          <w:tcPr>
            <w:tcW w:w="60" w:type="dxa"/>
            <w:vAlign w:val="bottom"/>
          </w:tcPr>
          <w:p>
            <w:pPr>
              <w:spacing w:after="0"/>
              <w:rPr>
                <w:sz w:val="18"/>
                <w:szCs w:val="18"/>
                <w:color w:val="auto"/>
              </w:rPr>
            </w:pPr>
          </w:p>
        </w:tc>
      </w:tr>
      <w:tr>
        <w:trPr>
          <w:trHeight w:val="20"/>
        </w:trPr>
        <w:tc>
          <w:tcPr>
            <w:tcW w:w="5440" w:type="dxa"/>
            <w:vAlign w:val="bottom"/>
            <w:tcBorders>
              <w:bottom w:val="single" w:sz="8" w:color="A3A3A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5440" w:type="dxa"/>
            <w:vAlign w:val="bottom"/>
            <w:tcBorders>
              <w:bottom w:val="single" w:sz="8" w:color="A3A3A3"/>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102,479</w:t>
            </w:r>
          </w:p>
        </w:tc>
        <w:tc>
          <w:tcPr>
            <w:tcW w:w="16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102,479</w:t>
            </w:r>
          </w:p>
        </w:tc>
        <w:tc>
          <w:tcPr>
            <w:tcW w:w="60" w:type="dxa"/>
            <w:vAlign w:val="bottom"/>
          </w:tcPr>
          <w:p>
            <w:pPr>
              <w:spacing w:after="0"/>
              <w:rPr>
                <w:sz w:val="16"/>
                <w:szCs w:val="16"/>
                <w:color w:val="auto"/>
              </w:rPr>
            </w:pPr>
          </w:p>
        </w:tc>
      </w:tr>
      <w:tr>
        <w:trPr>
          <w:trHeight w:val="209"/>
        </w:trPr>
        <w:tc>
          <w:tcPr>
            <w:tcW w:w="5440" w:type="dxa"/>
            <w:vAlign w:val="bottom"/>
            <w:tcBorders>
              <w:bottom w:val="single" w:sz="8" w:color="A3A3A3"/>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4,261</w:t>
            </w:r>
          </w:p>
        </w:tc>
        <w:tc>
          <w:tcPr>
            <w:tcW w:w="60" w:type="dxa"/>
            <w:vAlign w:val="bottom"/>
          </w:tcPr>
          <w:p>
            <w:pPr>
              <w:spacing w:after="0"/>
              <w:rPr>
                <w:sz w:val="18"/>
                <w:szCs w:val="18"/>
                <w:color w:val="auto"/>
              </w:rPr>
            </w:pPr>
          </w:p>
        </w:tc>
      </w:tr>
      <w:tr>
        <w:trPr>
          <w:trHeight w:val="209"/>
        </w:trPr>
        <w:tc>
          <w:tcPr>
            <w:tcW w:w="5440" w:type="dxa"/>
            <w:vAlign w:val="bottom"/>
            <w:tcBorders>
              <w:bottom w:val="single" w:sz="8" w:color="A3A3A3"/>
            </w:tcBorders>
          </w:tcPr>
          <w:p>
            <w:pPr>
              <w:ind w:left="20"/>
              <w:spacing w:after="0"/>
              <w:rPr>
                <w:sz w:val="20"/>
                <w:szCs w:val="20"/>
                <w:color w:val="auto"/>
              </w:rPr>
            </w:pPr>
            <w:r>
              <w:rPr>
                <w:rFonts w:ascii="Arial" w:cs="Arial" w:eastAsia="Arial" w:hAnsi="Arial"/>
                <w:sz w:val="16"/>
                <w:szCs w:val="16"/>
                <w:color w:val="004483"/>
              </w:rPr>
              <w:t>Stock Option Exercise and Restricted Share Issuances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6,294</w:t>
            </w:r>
          </w:p>
        </w:tc>
        <w:tc>
          <w:tcPr>
            <w:tcW w:w="60" w:type="dxa"/>
            <w:vAlign w:val="bottom"/>
          </w:tcPr>
          <w:p>
            <w:pPr>
              <w:spacing w:after="0"/>
              <w:rPr>
                <w:sz w:val="18"/>
                <w:szCs w:val="18"/>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(12 )</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(10,554 )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(177,564 )</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(188,130 )</w:t>
            </w:r>
          </w:p>
        </w:tc>
      </w:tr>
      <w:tr>
        <w:trPr>
          <w:trHeight w:val="20"/>
        </w:trPr>
        <w:tc>
          <w:tcPr>
            <w:tcW w:w="5440" w:type="dxa"/>
            <w:vAlign w:val="bottom"/>
            <w:shd w:val="clear" w:color="auto" w:fill="A3A3A3"/>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80" w:type="dxa"/>
            <w:vAlign w:val="bottom"/>
            <w:tcBorders>
              <w:right w:val="single" w:sz="8" w:color="A6A6A6"/>
            </w:tcBorders>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(9,992 )</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(9,992 )</w:t>
            </w:r>
          </w:p>
        </w:tc>
      </w:tr>
      <w:tr>
        <w:trPr>
          <w:trHeight w:val="240"/>
        </w:trPr>
        <w:tc>
          <w:tcPr>
            <w:tcW w:w="5440" w:type="dxa"/>
            <w:vAlign w:val="bottom"/>
            <w:tcBorders>
              <w:top w:val="single" w:sz="8" w:color="A3A3A3"/>
              <w:bottom w:val="single" w:sz="8" w:color="A3A3A3"/>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0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20"/>
                <w:szCs w:val="20"/>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4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398</w:t>
            </w:r>
          </w:p>
        </w:tc>
        <w:tc>
          <w:tcPr>
            <w:tcW w:w="18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1,225,209</w:t>
            </w:r>
          </w:p>
        </w:tc>
        <w:tc>
          <w:tcPr>
            <w:tcW w:w="16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(3,359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1,222,248</w:t>
            </w:r>
          </w:p>
        </w:tc>
        <w:tc>
          <w:tcPr>
            <w:tcW w:w="6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5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79"/>
              <w:spacing w:after="0" w:line="14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Capital in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r>
      <w:tr>
        <w:trPr>
          <w:trHeight w:val="181"/>
        </w:trPr>
        <w:tc>
          <w:tcPr>
            <w:tcW w:w="544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60" w:type="dxa"/>
            <w:vAlign w:val="bottom"/>
            <w:tcBorders>
              <w:bottom w:val="single" w:sz="8" w:color="004483"/>
            </w:tcBorders>
          </w:tcPr>
          <w:p>
            <w:pPr>
              <w:spacing w:after="0"/>
              <w:rPr>
                <w:sz w:val="15"/>
                <w:szCs w:val="15"/>
                <w:color w:val="auto"/>
              </w:rPr>
            </w:pPr>
          </w:p>
        </w:tc>
        <w:tc>
          <w:tcPr>
            <w:tcW w:w="122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w w:val="96"/>
              </w:rPr>
              <w:t>(dollars in thousands)</w:t>
            </w:r>
          </w:p>
        </w:tc>
        <w:tc>
          <w:tcPr>
            <w:tcW w:w="16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60" w:type="dxa"/>
            <w:vAlign w:val="bottom"/>
          </w:tcPr>
          <w:p>
            <w:pPr>
              <w:spacing w:after="0"/>
              <w:rPr>
                <w:sz w:val="15"/>
                <w:szCs w:val="15"/>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387</w:t>
            </w:r>
          </w:p>
        </w:tc>
        <w:tc>
          <w:tcPr>
            <w:tcW w:w="1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1,136,344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(3,175 )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1,133,556</w:t>
            </w:r>
          </w:p>
        </w:tc>
        <w:tc>
          <w:tcPr>
            <w:tcW w:w="60" w:type="dxa"/>
            <w:vAlign w:val="bottom"/>
          </w:tcPr>
          <w:p>
            <w:pPr>
              <w:spacing w:after="0"/>
              <w:rPr>
                <w:sz w:val="18"/>
                <w:szCs w:val="18"/>
                <w:color w:val="auto"/>
              </w:rPr>
            </w:pPr>
          </w:p>
        </w:tc>
      </w:tr>
      <w:tr>
        <w:trPr>
          <w:trHeight w:val="207"/>
        </w:trPr>
        <w:tc>
          <w:tcPr>
            <w:tcW w:w="54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105,005</w:t>
            </w:r>
          </w:p>
        </w:tc>
        <w:tc>
          <w:tcPr>
            <w:tcW w:w="16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105,005</w:t>
            </w:r>
          </w:p>
        </w:tc>
        <w:tc>
          <w:tcPr>
            <w:tcW w:w="60" w:type="dxa"/>
            <w:vAlign w:val="bottom"/>
          </w:tcPr>
          <w:p>
            <w:pPr>
              <w:spacing w:after="0"/>
              <w:rPr>
                <w:sz w:val="18"/>
                <w:szCs w:val="18"/>
                <w:color w:val="auto"/>
              </w:rPr>
            </w:pPr>
          </w:p>
        </w:tc>
      </w:tr>
      <w:tr>
        <w:trPr>
          <w:trHeight w:val="210"/>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5,146</w:t>
            </w:r>
          </w:p>
        </w:tc>
        <w:tc>
          <w:tcPr>
            <w:tcW w:w="60" w:type="dxa"/>
            <w:vAlign w:val="bottom"/>
          </w:tcPr>
          <w:p>
            <w:pPr>
              <w:spacing w:after="0"/>
              <w:rPr>
                <w:sz w:val="18"/>
                <w:szCs w:val="18"/>
                <w:color w:val="auto"/>
              </w:rPr>
            </w:pPr>
          </w:p>
        </w:tc>
      </w:tr>
      <w:tr>
        <w:trPr>
          <w:trHeight w:val="209"/>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667</w:t>
            </w:r>
          </w:p>
        </w:tc>
        <w:tc>
          <w:tcPr>
            <w:tcW w:w="60" w:type="dxa"/>
            <w:vAlign w:val="bottom"/>
          </w:tcPr>
          <w:p>
            <w:pPr>
              <w:spacing w:after="0"/>
              <w:rPr>
                <w:sz w:val="18"/>
                <w:szCs w:val="18"/>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(1,497 )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(1,497 )</w:t>
            </w:r>
          </w:p>
        </w:tc>
      </w:tr>
      <w:tr>
        <w:trPr>
          <w:trHeight w:val="20"/>
        </w:trPr>
        <w:tc>
          <w:tcPr>
            <w:tcW w:w="54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80" w:type="dxa"/>
            <w:vAlign w:val="bottom"/>
            <w:tcBorders>
              <w:right w:val="single" w:sz="8" w:color="A6A6A6"/>
            </w:tcBorders>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(8 )</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(4,315 )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(105,289 )</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(109,612 )</w:t>
            </w:r>
          </w:p>
        </w:tc>
      </w:tr>
      <w:tr>
        <w:trPr>
          <w:trHeight w:val="20"/>
        </w:trPr>
        <w:tc>
          <w:tcPr>
            <w:tcW w:w="54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80" w:type="dxa"/>
            <w:vAlign w:val="bottom"/>
            <w:tcBorders>
              <w:right w:val="single" w:sz="8" w:color="A6A6A6"/>
            </w:tcBorders>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(9,507 )</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(9,507 )</w:t>
            </w:r>
          </w:p>
        </w:tc>
      </w:tr>
      <w:tr>
        <w:trPr>
          <w:trHeight w:val="240"/>
        </w:trPr>
        <w:tc>
          <w:tcPr>
            <w:tcW w:w="54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0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0"/>
                <w:szCs w:val="20"/>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24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380</w:t>
            </w:r>
          </w:p>
        </w:tc>
        <w:tc>
          <w:tcPr>
            <w:tcW w:w="18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1,126,553</w:t>
            </w:r>
          </w:p>
        </w:tc>
        <w:tc>
          <w:tcPr>
            <w:tcW w:w="16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(3,152</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1,123,781</w:t>
            </w:r>
          </w:p>
        </w:tc>
        <w:tc>
          <w:tcPr>
            <w:tcW w:w="60" w:type="dxa"/>
            <w:vAlign w:val="bottom"/>
          </w:tcPr>
          <w:p>
            <w:pPr>
              <w:spacing w:after="0"/>
              <w:rPr>
                <w:sz w:val="18"/>
                <w:szCs w:val="18"/>
                <w:color w:val="auto"/>
              </w:rPr>
            </w:pPr>
          </w:p>
        </w:tc>
      </w:tr>
      <w:tr>
        <w:trPr>
          <w:trHeight w:val="20"/>
        </w:trPr>
        <w:tc>
          <w:tcPr>
            <w:tcW w:w="544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138,995</w:t>
            </w:r>
          </w:p>
        </w:tc>
        <w:tc>
          <w:tcPr>
            <w:tcW w:w="16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138,995</w:t>
            </w:r>
          </w:p>
        </w:tc>
        <w:tc>
          <w:tcPr>
            <w:tcW w:w="60" w:type="dxa"/>
            <w:vAlign w:val="bottom"/>
          </w:tcPr>
          <w:p>
            <w:pPr>
              <w:spacing w:after="0"/>
              <w:rPr>
                <w:sz w:val="16"/>
                <w:szCs w:val="16"/>
                <w:color w:val="auto"/>
              </w:rPr>
            </w:pPr>
          </w:p>
        </w:tc>
      </w:tr>
      <w:tr>
        <w:trPr>
          <w:trHeight w:val="210"/>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4,402</w:t>
            </w:r>
          </w:p>
        </w:tc>
        <w:tc>
          <w:tcPr>
            <w:tcW w:w="60" w:type="dxa"/>
            <w:vAlign w:val="bottom"/>
          </w:tcPr>
          <w:p>
            <w:pPr>
              <w:spacing w:after="0"/>
              <w:rPr>
                <w:sz w:val="18"/>
                <w:szCs w:val="18"/>
                <w:color w:val="auto"/>
              </w:rPr>
            </w:pPr>
          </w:p>
        </w:tc>
      </w:tr>
      <w:tr>
        <w:trPr>
          <w:trHeight w:val="210"/>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 and Restricted Share Issuances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8"/>
                <w:szCs w:val="18"/>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(309 )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(309 )</w:t>
            </w:r>
          </w:p>
        </w:tc>
      </w:tr>
      <w:tr>
        <w:trPr>
          <w:trHeight w:val="20"/>
        </w:trPr>
        <w:tc>
          <w:tcPr>
            <w:tcW w:w="54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80" w:type="dxa"/>
            <w:vAlign w:val="bottom"/>
            <w:tcBorders>
              <w:right w:val="single" w:sz="8" w:color="A6A6A6"/>
            </w:tcBorders>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(9 )</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(4,161 )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(96,616 )</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(100,786 )</w:t>
            </w:r>
          </w:p>
        </w:tc>
      </w:tr>
      <w:tr>
        <w:trPr>
          <w:trHeight w:val="20"/>
        </w:trPr>
        <w:tc>
          <w:tcPr>
            <w:tcW w:w="54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80" w:type="dxa"/>
            <w:vAlign w:val="bottom"/>
            <w:tcBorders>
              <w:right w:val="single" w:sz="8" w:color="A6A6A6"/>
            </w:tcBorders>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(9,471 )</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(9,471 )</w:t>
            </w:r>
          </w:p>
        </w:tc>
      </w:tr>
      <w:tr>
        <w:trPr>
          <w:trHeight w:val="240"/>
        </w:trPr>
        <w:tc>
          <w:tcPr>
            <w:tcW w:w="54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0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20"/>
                <w:szCs w:val="20"/>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24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371</w:t>
            </w:r>
          </w:p>
        </w:tc>
        <w:tc>
          <w:tcPr>
            <w:tcW w:w="18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1,159,461</w:t>
            </w:r>
          </w:p>
        </w:tc>
        <w:tc>
          <w:tcPr>
            <w:tcW w:w="16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(3,128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1,156,704</w:t>
            </w:r>
          </w:p>
        </w:tc>
        <w:tc>
          <w:tcPr>
            <w:tcW w:w="60" w:type="dxa"/>
            <w:vAlign w:val="bottom"/>
          </w:tcPr>
          <w:p>
            <w:pPr>
              <w:spacing w:after="0"/>
              <w:rPr>
                <w:sz w:val="18"/>
                <w:szCs w:val="18"/>
                <w:color w:val="auto"/>
              </w:rPr>
            </w:pPr>
          </w:p>
        </w:tc>
      </w:tr>
      <w:tr>
        <w:trPr>
          <w:trHeight w:val="20"/>
        </w:trPr>
        <w:tc>
          <w:tcPr>
            <w:tcW w:w="5440" w:type="dxa"/>
            <w:vAlign w:val="bottom"/>
            <w:tcBorders>
              <w:bottom w:val="single" w:sz="8" w:color="A3A3A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5440" w:type="dxa"/>
            <w:vAlign w:val="bottom"/>
            <w:tcBorders>
              <w:bottom w:val="single" w:sz="8" w:color="A3A3A3"/>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117,184</w:t>
            </w:r>
          </w:p>
        </w:tc>
        <w:tc>
          <w:tcPr>
            <w:tcW w:w="16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117,184</w:t>
            </w:r>
          </w:p>
        </w:tc>
        <w:tc>
          <w:tcPr>
            <w:tcW w:w="60" w:type="dxa"/>
            <w:vAlign w:val="bottom"/>
          </w:tcPr>
          <w:p>
            <w:pPr>
              <w:spacing w:after="0"/>
              <w:rPr>
                <w:sz w:val="16"/>
                <w:szCs w:val="16"/>
                <w:color w:val="auto"/>
              </w:rPr>
            </w:pPr>
          </w:p>
        </w:tc>
      </w:tr>
      <w:tr>
        <w:trPr>
          <w:trHeight w:val="210"/>
        </w:trPr>
        <w:tc>
          <w:tcPr>
            <w:tcW w:w="5440" w:type="dxa"/>
            <w:vAlign w:val="bottom"/>
            <w:tcBorders>
              <w:bottom w:val="single" w:sz="8" w:color="A3A3A3"/>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4,088</w:t>
            </w:r>
          </w:p>
        </w:tc>
        <w:tc>
          <w:tcPr>
            <w:tcW w:w="60" w:type="dxa"/>
            <w:vAlign w:val="bottom"/>
          </w:tcPr>
          <w:p>
            <w:pPr>
              <w:spacing w:after="0"/>
              <w:rPr>
                <w:sz w:val="18"/>
                <w:szCs w:val="18"/>
                <w:color w:val="auto"/>
              </w:rPr>
            </w:pPr>
          </w:p>
        </w:tc>
      </w:tr>
      <w:tr>
        <w:trPr>
          <w:trHeight w:val="209"/>
        </w:trPr>
        <w:tc>
          <w:tcPr>
            <w:tcW w:w="5440" w:type="dxa"/>
            <w:vAlign w:val="bottom"/>
            <w:tcBorders>
              <w:bottom w:val="single" w:sz="8" w:color="A3A3A3"/>
            </w:tcBorders>
          </w:tcPr>
          <w:p>
            <w:pPr>
              <w:ind w:left="20"/>
              <w:spacing w:after="0"/>
              <w:rPr>
                <w:sz w:val="20"/>
                <w:szCs w:val="20"/>
                <w:color w:val="auto"/>
              </w:rPr>
            </w:pPr>
            <w:r>
              <w:rPr>
                <w:rFonts w:ascii="Arial" w:cs="Arial" w:eastAsia="Arial" w:hAnsi="Arial"/>
                <w:sz w:val="16"/>
                <w:szCs w:val="16"/>
                <w:color w:val="004483"/>
              </w:rPr>
              <w:t>Stock Option Exercise and Restricted Share Issuances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18"/>
                <w:szCs w:val="18"/>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(9 )</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(4,193 )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(99,298 )</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(103,500 )</w:t>
            </w:r>
          </w:p>
        </w:tc>
      </w:tr>
      <w:tr>
        <w:trPr>
          <w:trHeight w:val="20"/>
        </w:trPr>
        <w:tc>
          <w:tcPr>
            <w:tcW w:w="5440" w:type="dxa"/>
            <w:vAlign w:val="bottom"/>
            <w:shd w:val="clear" w:color="auto" w:fill="A3A3A3"/>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80" w:type="dxa"/>
            <w:vAlign w:val="bottom"/>
            <w:tcBorders>
              <w:right w:val="single" w:sz="8" w:color="A6A6A6"/>
            </w:tcBorders>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60" w:type="dxa"/>
            <w:vAlign w:val="bottom"/>
            <w:tcBorders>
              <w:right w:val="single" w:sz="8" w:color="A6A6A6"/>
            </w:tcBorders>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(9,090 )</w:t>
            </w:r>
          </w:p>
        </w:tc>
        <w:tc>
          <w:tcPr>
            <w:tcW w:w="16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(9,090 )</w:t>
            </w:r>
          </w:p>
        </w:tc>
      </w:tr>
      <w:tr>
        <w:trPr>
          <w:trHeight w:val="239"/>
        </w:trPr>
        <w:tc>
          <w:tcPr>
            <w:tcW w:w="5440" w:type="dxa"/>
            <w:vAlign w:val="bottom"/>
            <w:tcBorders>
              <w:top w:val="single" w:sz="8" w:color="A3A3A3"/>
              <w:bottom w:val="single" w:sz="8" w:color="A3A3A3"/>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00" w:type="dxa"/>
            <w:vAlign w:val="bottom"/>
            <w:tcBorders>
              <w:top w:val="single" w:sz="8" w:color="A6A6A6"/>
              <w:bottom w:val="single" w:sz="8" w:color="004483"/>
            </w:tcBorders>
          </w:tcPr>
          <w:p>
            <w:pPr>
              <w:spacing w:after="0"/>
              <w:rPr>
                <w:sz w:val="20"/>
                <w:szCs w:val="20"/>
                <w:color w:val="auto"/>
              </w:rPr>
            </w:pPr>
          </w:p>
        </w:tc>
        <w:tc>
          <w:tcPr>
            <w:tcW w:w="7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0"/>
                <w:szCs w:val="20"/>
                <w:color w:val="auto"/>
              </w:rPr>
            </w:pPr>
          </w:p>
        </w:tc>
        <w:tc>
          <w:tcPr>
            <w:tcW w:w="1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0"/>
                <w:szCs w:val="20"/>
                <w:color w:val="auto"/>
              </w:rPr>
            </w:pPr>
          </w:p>
        </w:tc>
      </w:tr>
      <w:tr>
        <w:trPr>
          <w:trHeight w:val="208"/>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362</w:t>
            </w:r>
          </w:p>
        </w:tc>
        <w:tc>
          <w:tcPr>
            <w:tcW w:w="1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1,168,257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(3,105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1,165,514</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-6556375</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-6556375</wp:posOffset>
            </wp:positionV>
            <wp:extent cx="25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-6556375</wp:posOffset>
            </wp:positionV>
            <wp:extent cx="25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-6556375</wp:posOffset>
            </wp:positionV>
            <wp:extent cx="254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-5356225</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-5356225</wp:posOffset>
            </wp:positionV>
            <wp:extent cx="254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-5356225</wp:posOffset>
            </wp:positionV>
            <wp:extent cx="254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-5356225</wp:posOffset>
            </wp:positionV>
            <wp:extent cx="25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-4302125</wp:posOffset>
            </wp:positionV>
            <wp:extent cx="34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-4302125</wp:posOffset>
            </wp:positionV>
            <wp:extent cx="254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-4302125</wp:posOffset>
            </wp:positionV>
            <wp:extent cx="254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-4302125</wp:posOffset>
            </wp:positionV>
            <wp:extent cx="254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-2399030</wp:posOffset>
            </wp:positionV>
            <wp:extent cx="342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-2399030</wp:posOffset>
            </wp:positionV>
            <wp:extent cx="254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-2399030</wp:posOffset>
            </wp:positionV>
            <wp:extent cx="254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-2399030</wp:posOffset>
            </wp:positionV>
            <wp:extent cx="254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-1198880</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-1198880</wp:posOffset>
            </wp:positionV>
            <wp:extent cx="254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-1198880</wp:posOffset>
            </wp:positionV>
            <wp:extent cx="254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-1198880</wp:posOffset>
            </wp:positionV>
            <wp:extent cx="254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-144145</wp:posOffset>
            </wp:positionV>
            <wp:extent cx="34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-144145</wp:posOffset>
            </wp:positionV>
            <wp:extent cx="254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-144145</wp:posOffset>
            </wp:positionV>
            <wp:extent cx="254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-144145</wp:posOffset>
            </wp:positionV>
            <wp:extent cx="254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635</wp:posOffset>
            </wp:positionV>
            <wp:extent cx="36087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-127635</wp:posOffset>
            </wp:positionV>
            <wp:extent cx="36087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4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accompanying Unaudited Consolidated Financial Statements as of and for the three and nine months ended December 31, 2022,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5727700</wp:posOffset>
            </wp:positionH>
            <wp:positionV relativeFrom="paragraph">
              <wp:posOffset>-539115</wp:posOffset>
            </wp:positionV>
            <wp:extent cx="6858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9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recent accounting pronouncements that are expected to materially affect the Company.</w:t>
      </w:r>
    </w:p>
    <w:p>
      <w:pPr>
        <w:spacing w:after="0" w:line="18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17"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color w:val="auto"/>
        </w:rPr>
        <w:t>Supplemental cash flow information is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spacing w:after="0"/>
              <w:rPr>
                <w:sz w:val="19"/>
                <w:szCs w:val="19"/>
                <w:color w:val="auto"/>
              </w:rPr>
            </w:pPr>
          </w:p>
        </w:tc>
        <w:tc>
          <w:tcPr>
            <w:tcW w:w="360" w:type="dxa"/>
            <w:vAlign w:val="bottom"/>
            <w:shd w:val="clear" w:color="auto" w:fill="004483"/>
          </w:tcPr>
          <w:p>
            <w:pPr>
              <w:spacing w:after="0"/>
              <w:rPr>
                <w:sz w:val="19"/>
                <w:szCs w:val="19"/>
                <w:color w:val="auto"/>
              </w:rPr>
            </w:pPr>
          </w:p>
        </w:tc>
        <w:tc>
          <w:tcPr>
            <w:tcW w:w="2800" w:type="dxa"/>
            <w:vAlign w:val="bottom"/>
            <w:gridSpan w:val="3"/>
            <w:shd w:val="clear" w:color="auto" w:fill="004483"/>
          </w:tcPr>
          <w:p>
            <w:pPr>
              <w:jc w:val="center"/>
              <w:ind w:left="148"/>
              <w:spacing w:after="0"/>
              <w:rPr>
                <w:sz w:val="20"/>
                <w:szCs w:val="20"/>
                <w:color w:val="auto"/>
              </w:rPr>
            </w:pPr>
            <w:r>
              <w:rPr>
                <w:rFonts w:ascii="Arial" w:cs="Arial" w:eastAsia="Arial" w:hAnsi="Arial"/>
                <w:sz w:val="13"/>
                <w:szCs w:val="13"/>
                <w:b w:val="1"/>
                <w:bCs w:val="1"/>
                <w:color w:val="FFFFFF"/>
                <w:w w:val="97"/>
              </w:rPr>
              <w:t>For the Nine Months Ended December 31,</w:t>
            </w:r>
          </w:p>
        </w:tc>
        <w:tc>
          <w:tcPr>
            <w:tcW w:w="580" w:type="dxa"/>
            <w:vAlign w:val="bottom"/>
            <w:shd w:val="clear" w:color="auto" w:fill="004483"/>
          </w:tcPr>
          <w:p>
            <w:pPr>
              <w:spacing w:after="0"/>
              <w:rPr>
                <w:sz w:val="19"/>
                <w:szCs w:val="19"/>
                <w:color w:val="auto"/>
              </w:rPr>
            </w:pPr>
          </w:p>
        </w:tc>
        <w:tc>
          <w:tcPr>
            <w:tcW w:w="100" w:type="dxa"/>
            <w:vAlign w:val="bottom"/>
            <w:shd w:val="clear" w:color="auto" w:fill="004483"/>
          </w:tcPr>
          <w:p>
            <w:pPr>
              <w:spacing w:after="0"/>
              <w:rPr>
                <w:sz w:val="19"/>
                <w:szCs w:val="19"/>
                <w:color w:val="auto"/>
              </w:rPr>
            </w:pPr>
          </w:p>
        </w:tc>
      </w:tr>
      <w:tr>
        <w:trPr>
          <w:trHeight w:val="168"/>
        </w:trPr>
        <w:tc>
          <w:tcPr>
            <w:tcW w:w="7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77"/>
        </w:trPr>
        <w:tc>
          <w:tcPr>
            <w:tcW w:w="7400" w:type="dxa"/>
            <w:vAlign w:val="bottom"/>
            <w:tcBorders>
              <w:bottom w:val="single" w:sz="8" w:color="004483"/>
            </w:tcBorders>
          </w:tcPr>
          <w:p>
            <w:pPr>
              <w:spacing w:after="0"/>
              <w:rPr>
                <w:sz w:val="15"/>
                <w:szCs w:val="15"/>
                <w:color w:val="auto"/>
              </w:rPr>
            </w:pPr>
          </w:p>
        </w:tc>
        <w:tc>
          <w:tcPr>
            <w:tcW w:w="360" w:type="dxa"/>
            <w:vAlign w:val="bottom"/>
            <w:tcBorders>
              <w:bottom w:val="single" w:sz="8" w:color="004483"/>
            </w:tcBorders>
          </w:tcPr>
          <w:p>
            <w:pPr>
              <w:spacing w:after="0"/>
              <w:rPr>
                <w:sz w:val="15"/>
                <w:szCs w:val="15"/>
                <w:color w:val="auto"/>
              </w:rPr>
            </w:pPr>
          </w:p>
        </w:tc>
        <w:tc>
          <w:tcPr>
            <w:tcW w:w="2800" w:type="dxa"/>
            <w:vAlign w:val="bottom"/>
            <w:tcBorders>
              <w:bottom w:val="single" w:sz="8" w:color="004483"/>
            </w:tcBorders>
            <w:gridSpan w:val="3"/>
          </w:tcPr>
          <w:p>
            <w:pPr>
              <w:jc w:val="center"/>
              <w:ind w:left="148"/>
              <w:spacing w:after="0"/>
              <w:rPr>
                <w:sz w:val="20"/>
                <w:szCs w:val="20"/>
                <w:color w:val="auto"/>
              </w:rPr>
            </w:pPr>
            <w:r>
              <w:rPr>
                <w:rFonts w:ascii="Arial" w:cs="Arial" w:eastAsia="Arial" w:hAnsi="Arial"/>
                <w:sz w:val="13"/>
                <w:szCs w:val="13"/>
                <w:color w:val="auto"/>
                <w:w w:val="98"/>
              </w:rPr>
              <w:t>(dollars in thousands)</w:t>
            </w:r>
          </w:p>
        </w:tc>
        <w:tc>
          <w:tcPr>
            <w:tcW w:w="5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Cash Payments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400" w:type="dxa"/>
            <w:vAlign w:val="bottom"/>
            <w:tcBorders>
              <w:bottom w:val="single" w:sz="8" w:color="A6A6A6"/>
            </w:tcBorders>
          </w:tcPr>
          <w:p>
            <w:pPr>
              <w:spacing w:after="0"/>
              <w:rPr>
                <w:sz w:val="2"/>
                <w:szCs w:val="2"/>
                <w:color w:val="auto"/>
              </w:rPr>
            </w:pPr>
          </w:p>
        </w:tc>
        <w:tc>
          <w:tcPr>
            <w:tcW w:w="360" w:type="dxa"/>
            <w:vAlign w:val="bottom"/>
            <w:tcBorders>
              <w:bottom w:val="single" w:sz="8" w:color="A6A6A6"/>
            </w:tcBorders>
          </w:tcPr>
          <w:p>
            <w:pPr>
              <w:spacing w:after="0"/>
              <w:rPr>
                <w:sz w:val="2"/>
                <w:szCs w:val="2"/>
                <w:color w:val="auto"/>
              </w:rPr>
            </w:pPr>
          </w:p>
        </w:tc>
        <w:tc>
          <w:tcPr>
            <w:tcW w:w="1360" w:type="dxa"/>
            <w:vAlign w:val="bottom"/>
            <w:tcBorders>
              <w:bottom w:val="single" w:sz="8" w:color="A6A6A6"/>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6A6A6"/>
            </w:tcBorders>
          </w:tcPr>
          <w:p>
            <w:pPr>
              <w:spacing w:after="0"/>
              <w:rPr>
                <w:sz w:val="2"/>
                <w:szCs w:val="2"/>
                <w:color w:val="auto"/>
              </w:rPr>
            </w:pPr>
          </w:p>
        </w:tc>
        <w:tc>
          <w:tcPr>
            <w:tcW w:w="580" w:type="dxa"/>
            <w:vAlign w:val="bottom"/>
            <w:tcBorders>
              <w:bottom w:val="single" w:sz="8" w:color="A6A6A6"/>
            </w:tcBorders>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7400" w:type="dxa"/>
            <w:vAlign w:val="bottom"/>
          </w:tcPr>
          <w:p>
            <w:pPr>
              <w:ind w:left="120"/>
              <w:spacing w:after="0"/>
              <w:rPr>
                <w:sz w:val="20"/>
                <w:szCs w:val="20"/>
                <w:color w:val="auto"/>
              </w:rPr>
            </w:pPr>
            <w:r>
              <w:rPr>
                <w:rFonts w:ascii="Arial" w:cs="Arial" w:eastAsia="Arial" w:hAnsi="Arial"/>
                <w:sz w:val="16"/>
                <w:szCs w:val="16"/>
                <w:color w:val="004483"/>
              </w:rPr>
              <w:t>Interest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26,526</w:t>
            </w:r>
          </w:p>
        </w:tc>
        <w:tc>
          <w:tcPr>
            <w:tcW w:w="1440" w:type="dxa"/>
            <w:vAlign w:val="bottom"/>
            <w:gridSpan w:val="2"/>
          </w:tcPr>
          <w:p>
            <w:pPr>
              <w:jc w:val="right"/>
              <w:ind w:right="10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11,143</w:t>
            </w:r>
          </w:p>
        </w:tc>
        <w:tc>
          <w:tcPr>
            <w:tcW w:w="100" w:type="dxa"/>
            <w:vAlign w:val="bottom"/>
          </w:tcPr>
          <w:p>
            <w:pPr>
              <w:spacing w:after="0"/>
              <w:rPr>
                <w:sz w:val="20"/>
                <w:szCs w:val="20"/>
                <w:color w:val="auto"/>
              </w:rPr>
            </w:pPr>
          </w:p>
        </w:tc>
      </w:tr>
      <w:tr>
        <w:trPr>
          <w:trHeight w:val="237"/>
        </w:trPr>
        <w:tc>
          <w:tcPr>
            <w:tcW w:w="740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360" w:type="dxa"/>
            <w:vAlign w:val="bottom"/>
            <w:tcBorders>
              <w:top w:val="single" w:sz="8" w:color="A6A6A6"/>
              <w:bottom w:val="single" w:sz="8" w:color="A6A6A6"/>
            </w:tcBorders>
          </w:tcPr>
          <w:p>
            <w:pPr>
              <w:spacing w:after="0"/>
              <w:rPr>
                <w:sz w:val="20"/>
                <w:szCs w:val="20"/>
                <w:color w:val="auto"/>
              </w:rPr>
            </w:pPr>
          </w:p>
        </w:tc>
        <w:tc>
          <w:tcPr>
            <w:tcW w:w="13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94,793</w:t>
            </w:r>
          </w:p>
        </w:tc>
        <w:tc>
          <w:tcPr>
            <w:tcW w:w="120" w:type="dxa"/>
            <w:vAlign w:val="bottom"/>
          </w:tcPr>
          <w:p>
            <w:pPr>
              <w:spacing w:after="0"/>
              <w:rPr>
                <w:sz w:val="20"/>
                <w:szCs w:val="20"/>
                <w:color w:val="auto"/>
              </w:rPr>
            </w:pPr>
          </w:p>
        </w:tc>
        <w:tc>
          <w:tcPr>
            <w:tcW w:w="1320" w:type="dxa"/>
            <w:vAlign w:val="bottom"/>
            <w:tcBorders>
              <w:top w:val="single" w:sz="8" w:color="A6A6A6"/>
              <w:bottom w:val="single" w:sz="8" w:color="A6A6A6"/>
            </w:tcBorders>
          </w:tcPr>
          <w:p>
            <w:pPr>
              <w:spacing w:after="0"/>
              <w:rPr>
                <w:sz w:val="20"/>
                <w:szCs w:val="20"/>
                <w:color w:val="auto"/>
              </w:rPr>
            </w:pPr>
          </w:p>
        </w:tc>
        <w:tc>
          <w:tcPr>
            <w:tcW w:w="5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70,502</w:t>
            </w:r>
          </w:p>
        </w:tc>
        <w:tc>
          <w:tcPr>
            <w:tcW w:w="100" w:type="dxa"/>
            <w:vAlign w:val="bottom"/>
          </w:tcPr>
          <w:p>
            <w:pPr>
              <w:spacing w:after="0"/>
              <w:rPr>
                <w:sz w:val="20"/>
                <w:szCs w:val="20"/>
                <w:color w:val="auto"/>
              </w:rPr>
            </w:pPr>
          </w:p>
        </w:tc>
      </w:tr>
      <w:tr>
        <w:trPr>
          <w:trHeight w:val="237"/>
        </w:trPr>
        <w:tc>
          <w:tcPr>
            <w:tcW w:w="740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360" w:type="dxa"/>
            <w:vAlign w:val="bottom"/>
            <w:tcBorders>
              <w:bottom w:val="single" w:sz="8" w:color="A6A6A6"/>
            </w:tcBorders>
          </w:tcPr>
          <w:p>
            <w:pPr>
              <w:spacing w:after="0"/>
              <w:rPr>
                <w:sz w:val="20"/>
                <w:szCs w:val="20"/>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6,360</w:t>
            </w:r>
          </w:p>
        </w:tc>
        <w:tc>
          <w:tcPr>
            <w:tcW w:w="120" w:type="dxa"/>
            <w:vAlign w:val="bottom"/>
          </w:tcPr>
          <w:p>
            <w:pPr>
              <w:spacing w:after="0"/>
              <w:rPr>
                <w:sz w:val="20"/>
                <w:szCs w:val="20"/>
                <w:color w:val="auto"/>
              </w:rPr>
            </w:pPr>
          </w:p>
        </w:tc>
        <w:tc>
          <w:tcPr>
            <w:tcW w:w="132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6,082</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ConAgg Acquisition</w:t>
      </w:r>
    </w:p>
    <w:p>
      <w:pPr>
        <w:spacing w:after="0" w:line="12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On April 22, 2022, we purchased the assets of a readymix concrete and aggregates business (the ConAgg Acquisition). The purchase price of the ConAgg Acquisition was approximately $121.2 million, which was paid in April 2022. During August 2022, we finalized the working capital adjustment, which resulted in a reduction in the purchase price of approximately $1.0 million. After this reduction, the purchase price for the ConAgg Acquisition was approximately $120.2 million. The purchase price and expenses incurred in connection with the ConAgg Acquisition were funded through borrowings under our revolving credit facility. Operations related to the ConAgg Acquisition are included in the Concrete and Aggregates business in our segment reporting from April 22, 2022, through December 31,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Purchase Price to assets acquired and liabilities assumed: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6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3"/>
                <w:szCs w:val="13"/>
                <w:color w:val="auto"/>
              </w:rPr>
              <w:t>Fair Value</w:t>
            </w:r>
          </w:p>
        </w:tc>
      </w:tr>
      <w:tr>
        <w:trPr>
          <w:trHeight w:val="213"/>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Working Capital</w:t>
            </w:r>
          </w:p>
        </w:tc>
        <w:tc>
          <w:tcPr>
            <w:tcW w:w="900" w:type="dxa"/>
            <w:vAlign w:val="bottom"/>
            <w:tcBorders>
              <w:bottom w:val="single" w:sz="8" w:color="A6A6A6"/>
            </w:tcBorders>
          </w:tcPr>
          <w:p>
            <w:pPr>
              <w:jc w:val="right"/>
              <w:ind w:right="7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10,780</w:t>
            </w:r>
          </w:p>
        </w:tc>
      </w:tr>
      <w:tr>
        <w:trPr>
          <w:trHeight w:val="20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Plant, and Equipment</w:t>
            </w:r>
          </w:p>
        </w:tc>
        <w:tc>
          <w:tcPr>
            <w:tcW w:w="90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39,489</w:t>
            </w:r>
          </w:p>
        </w:tc>
      </w:tr>
      <w:tr>
        <w:trPr>
          <w:trHeight w:val="20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Intangible Assets</w:t>
            </w:r>
          </w:p>
        </w:tc>
        <w:tc>
          <w:tcPr>
            <w:tcW w:w="90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30,750</w:t>
            </w:r>
          </w:p>
        </w:tc>
      </w:tr>
      <w:tr>
        <w:trPr>
          <w:trHeight w:val="240"/>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w:t>
            </w:r>
          </w:p>
        </w:tc>
        <w:tc>
          <w:tcPr>
            <w:tcW w:w="900" w:type="dxa"/>
            <w:vAlign w:val="bottom"/>
            <w:tcBorders>
              <w:bottom w:val="single" w:sz="8" w:color="004483"/>
            </w:tcBorders>
          </w:tcPr>
          <w:p>
            <w:pPr>
              <w:spacing w:after="0"/>
              <w:rPr>
                <w:sz w:val="20"/>
                <w:szCs w:val="20"/>
                <w:color w:val="auto"/>
              </w:rPr>
            </w:pP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39,135</w:t>
            </w:r>
          </w:p>
        </w:tc>
      </w:tr>
      <w:tr>
        <w:trPr>
          <w:trHeight w:val="209"/>
        </w:trPr>
        <w:tc>
          <w:tcPr>
            <w:tcW w:w="8860" w:type="dxa"/>
            <w:vAlign w:val="bottom"/>
          </w:tcPr>
          <w:p>
            <w:pPr>
              <w:ind w:left="200"/>
              <w:spacing w:after="0"/>
              <w:rPr>
                <w:sz w:val="20"/>
                <w:szCs w:val="20"/>
                <w:color w:val="auto"/>
              </w:rPr>
            </w:pPr>
            <w:r>
              <w:rPr>
                <w:rFonts w:ascii="Arial" w:cs="Arial" w:eastAsia="Arial" w:hAnsi="Arial"/>
                <w:sz w:val="16"/>
                <w:szCs w:val="16"/>
                <w:b w:val="1"/>
                <w:bCs w:val="1"/>
                <w:color w:val="auto"/>
              </w:rPr>
              <w:t>Total Purchase Price</w:t>
            </w:r>
          </w:p>
        </w:tc>
        <w:tc>
          <w:tcPr>
            <w:tcW w:w="900" w:type="dxa"/>
            <w:vAlign w:val="bottom"/>
            <w:tcBorders>
              <w:bottom w:val="single" w:sz="8" w:color="004483"/>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120,154</w:t>
            </w:r>
          </w:p>
        </w:tc>
      </w:tr>
      <w:tr>
        <w:trPr>
          <w:trHeight w:val="20"/>
        </w:trPr>
        <w:tc>
          <w:tcPr>
            <w:tcW w:w="8860" w:type="dxa"/>
            <w:vAlign w:val="bottom"/>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r>
    </w:tbl>
    <w:p>
      <w:pPr>
        <w:spacing w:after="0" w:line="323" w:lineRule="exact"/>
        <w:rPr>
          <w:sz w:val="20"/>
          <w:szCs w:val="20"/>
          <w:color w:val="auto"/>
        </w:rPr>
      </w:pPr>
    </w:p>
    <w:p>
      <w:pPr>
        <w:jc w:val="both"/>
        <w:ind w:right="80"/>
        <w:spacing w:after="0" w:line="246" w:lineRule="auto"/>
        <w:rPr>
          <w:sz w:val="20"/>
          <w:szCs w:val="20"/>
          <w:color w:val="auto"/>
        </w:rPr>
      </w:pPr>
      <w:r>
        <w:rPr>
          <w:rFonts w:ascii="Arial" w:cs="Arial" w:eastAsia="Arial" w:hAnsi="Arial"/>
          <w:sz w:val="18"/>
          <w:szCs w:val="18"/>
          <w:color w:val="auto"/>
        </w:rPr>
        <w:t>The estimated useful lives assigned to Property, Plant, and Equipment range from 5 to 30 years, while the estimated useful lives assigned to Intangible Assets range from 2 to 15 years.</w:t>
      </w:r>
    </w:p>
    <w:p>
      <w:pPr>
        <w:spacing w:after="0" w:line="197"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The following table presents the Revenue and Operating Earnings related to the ConAgg Acquisition that has been included in our Consolidated Statement of Earnings from April 22, 2022, through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-27940</wp:posOffset>
            </wp:positionV>
            <wp:extent cx="6858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40" w:type="dxa"/>
            <w:vAlign w:val="bottom"/>
          </w:tcPr>
          <w:p>
            <w:pPr>
              <w:spacing w:after="0"/>
              <w:rPr>
                <w:sz w:val="16"/>
                <w:szCs w:val="16"/>
                <w:color w:val="auto"/>
              </w:rPr>
            </w:pPr>
          </w:p>
        </w:tc>
        <w:tc>
          <w:tcPr>
            <w:tcW w:w="2140" w:type="dxa"/>
            <w:vAlign w:val="bottom"/>
            <w:gridSpan w:val="3"/>
            <w:shd w:val="clear" w:color="auto" w:fill="004483"/>
          </w:tcPr>
          <w:p>
            <w:pPr>
              <w:jc w:val="right"/>
              <w:ind w:right="360"/>
              <w:spacing w:after="0"/>
              <w:rPr>
                <w:sz w:val="20"/>
                <w:szCs w:val="20"/>
                <w:color w:val="auto"/>
              </w:rPr>
            </w:pPr>
            <w:r>
              <w:rPr>
                <w:rFonts w:ascii="Arial" w:cs="Arial" w:eastAsia="Arial" w:hAnsi="Arial"/>
                <w:sz w:val="13"/>
                <w:szCs w:val="13"/>
                <w:b w:val="1"/>
                <w:bCs w:val="1"/>
                <w:color w:val="FFFFFF"/>
                <w:w w:val="99"/>
              </w:rPr>
              <w:t>For the Three Months Ended</w:t>
            </w:r>
          </w:p>
        </w:tc>
        <w:tc>
          <w:tcPr>
            <w:tcW w:w="100" w:type="dxa"/>
            <w:vAlign w:val="bottom"/>
            <w:shd w:val="clear" w:color="auto" w:fill="004483"/>
          </w:tcPr>
          <w:p>
            <w:pPr>
              <w:spacing w:after="0"/>
              <w:rPr>
                <w:sz w:val="16"/>
                <w:szCs w:val="16"/>
                <w:color w:val="auto"/>
              </w:rPr>
            </w:pPr>
          </w:p>
        </w:tc>
        <w:tc>
          <w:tcPr>
            <w:tcW w:w="1760" w:type="dxa"/>
            <w:vAlign w:val="bottom"/>
            <w:shd w:val="clear" w:color="auto" w:fill="004483"/>
          </w:tcPr>
          <w:p>
            <w:pPr>
              <w:jc w:val="right"/>
              <w:ind w:right="45"/>
              <w:spacing w:after="0"/>
              <w:rPr>
                <w:sz w:val="20"/>
                <w:szCs w:val="20"/>
                <w:color w:val="auto"/>
              </w:rPr>
            </w:pPr>
            <w:r>
              <w:rPr>
                <w:rFonts w:ascii="Arial" w:cs="Arial" w:eastAsia="Arial" w:hAnsi="Arial"/>
                <w:sz w:val="13"/>
                <w:szCs w:val="13"/>
                <w:b w:val="1"/>
                <w:bCs w:val="1"/>
                <w:color w:val="FFFFFF"/>
                <w:w w:val="95"/>
              </w:rPr>
              <w:t>For the Nine Months Ended</w:t>
            </w:r>
          </w:p>
        </w:tc>
        <w:tc>
          <w:tcPr>
            <w:tcW w:w="100" w:type="dxa"/>
            <w:vAlign w:val="bottom"/>
            <w:shd w:val="clear" w:color="auto" w:fill="004483"/>
          </w:tcPr>
          <w:p>
            <w:pPr>
              <w:spacing w:after="0"/>
              <w:rPr>
                <w:sz w:val="16"/>
                <w:szCs w:val="16"/>
                <w:color w:val="auto"/>
              </w:rPr>
            </w:pPr>
          </w:p>
        </w:tc>
      </w:tr>
      <w:tr>
        <w:trPr>
          <w:trHeight w:val="204"/>
        </w:trPr>
        <w:tc>
          <w:tcPr>
            <w:tcW w:w="7140" w:type="dxa"/>
            <w:vAlign w:val="bottom"/>
          </w:tcPr>
          <w:p>
            <w:pPr>
              <w:spacing w:after="0"/>
              <w:rPr>
                <w:sz w:val="17"/>
                <w:szCs w:val="17"/>
                <w:color w:val="auto"/>
              </w:rPr>
            </w:pPr>
          </w:p>
        </w:tc>
        <w:tc>
          <w:tcPr>
            <w:tcW w:w="740" w:type="dxa"/>
            <w:vAlign w:val="bottom"/>
            <w:shd w:val="clear" w:color="auto" w:fill="004483"/>
          </w:tcPr>
          <w:p>
            <w:pPr>
              <w:spacing w:after="0"/>
              <w:rPr>
                <w:sz w:val="17"/>
                <w:szCs w:val="17"/>
                <w:color w:val="auto"/>
              </w:rPr>
            </w:pPr>
          </w:p>
        </w:tc>
        <w:tc>
          <w:tcPr>
            <w:tcW w:w="3260" w:type="dxa"/>
            <w:vAlign w:val="bottom"/>
            <w:gridSpan w:val="4"/>
            <w:shd w:val="clear" w:color="auto" w:fill="004483"/>
          </w:tcPr>
          <w:p>
            <w:pPr>
              <w:jc w:val="center"/>
              <w:ind w:right="685"/>
              <w:spacing w:after="0"/>
              <w:rPr>
                <w:sz w:val="20"/>
                <w:szCs w:val="20"/>
                <w:color w:val="auto"/>
              </w:rPr>
            </w:pPr>
            <w:r>
              <w:rPr>
                <w:rFonts w:ascii="Arial" w:cs="Arial" w:eastAsia="Arial" w:hAnsi="Arial"/>
                <w:sz w:val="13"/>
                <w:szCs w:val="13"/>
                <w:b w:val="1"/>
                <w:bCs w:val="1"/>
                <w:color w:val="FFFFFF"/>
                <w:w w:val="97"/>
              </w:rPr>
              <w:t>December 31, 2022</w:t>
            </w:r>
          </w:p>
        </w:tc>
        <w:tc>
          <w:tcPr>
            <w:tcW w:w="100" w:type="dxa"/>
            <w:vAlign w:val="bottom"/>
            <w:shd w:val="clear" w:color="auto" w:fill="004483"/>
          </w:tcPr>
          <w:p>
            <w:pPr>
              <w:spacing w:after="0"/>
              <w:rPr>
                <w:sz w:val="17"/>
                <w:szCs w:val="17"/>
                <w:color w:val="auto"/>
              </w:rPr>
            </w:pPr>
          </w:p>
        </w:tc>
      </w:tr>
      <w:tr>
        <w:trPr>
          <w:trHeight w:val="183"/>
        </w:trPr>
        <w:tc>
          <w:tcPr>
            <w:tcW w:w="7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360" w:type="dxa"/>
            <w:vAlign w:val="bottom"/>
            <w:gridSpan w:val="5"/>
          </w:tcPr>
          <w:p>
            <w:pPr>
              <w:jc w:val="center"/>
              <w:ind w:right="840"/>
              <w:spacing w:after="0"/>
              <w:rPr>
                <w:sz w:val="20"/>
                <w:szCs w:val="20"/>
                <w:color w:val="auto"/>
              </w:rPr>
            </w:pPr>
            <w:r>
              <w:rPr>
                <w:rFonts w:ascii="Arial" w:cs="Arial" w:eastAsia="Arial" w:hAnsi="Arial"/>
                <w:sz w:val="13"/>
                <w:szCs w:val="13"/>
                <w:color w:val="auto"/>
                <w:w w:val="96"/>
              </w:rPr>
              <w:t>(dollars in thousands)</w:t>
            </w:r>
          </w:p>
        </w:tc>
      </w:tr>
      <w:tr>
        <w:trPr>
          <w:trHeight w:val="215"/>
        </w:trPr>
        <w:tc>
          <w:tcPr>
            <w:tcW w:w="714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740" w:type="dxa"/>
            <w:vAlign w:val="bottom"/>
            <w:tcBorders>
              <w:top w:val="single" w:sz="8" w:color="004483"/>
              <w:bottom w:val="single" w:sz="8" w:color="A6A6A6"/>
            </w:tcBorders>
          </w:tcPr>
          <w:p>
            <w:pPr>
              <w:jc w:val="right"/>
              <w:ind w:right="565"/>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9,779</w:t>
            </w:r>
          </w:p>
        </w:tc>
        <w:tc>
          <w:tcPr>
            <w:tcW w:w="280" w:type="dxa"/>
            <w:vAlign w:val="bottom"/>
            <w:tcBorders>
              <w:top w:val="single" w:sz="8" w:color="004483"/>
            </w:tcBorders>
          </w:tcPr>
          <w:p>
            <w:pPr>
              <w:spacing w:after="0"/>
              <w:rPr>
                <w:sz w:val="18"/>
                <w:szCs w:val="18"/>
                <w:color w:val="auto"/>
              </w:rPr>
            </w:pPr>
          </w:p>
        </w:tc>
        <w:tc>
          <w:tcPr>
            <w:tcW w:w="1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34,694</w:t>
            </w:r>
          </w:p>
        </w:tc>
        <w:tc>
          <w:tcPr>
            <w:tcW w:w="100" w:type="dxa"/>
            <w:vAlign w:val="bottom"/>
          </w:tcPr>
          <w:p>
            <w:pPr>
              <w:spacing w:after="0"/>
              <w:rPr>
                <w:sz w:val="18"/>
                <w:szCs w:val="18"/>
                <w:color w:val="auto"/>
              </w:rPr>
            </w:pPr>
          </w:p>
        </w:tc>
      </w:tr>
      <w:tr>
        <w:trPr>
          <w:trHeight w:val="210"/>
        </w:trPr>
        <w:tc>
          <w:tcPr>
            <w:tcW w:w="7140" w:type="dxa"/>
            <w:vAlign w:val="bottom"/>
          </w:tcPr>
          <w:p>
            <w:pPr>
              <w:ind w:left="20"/>
              <w:spacing w:after="0"/>
              <w:rPr>
                <w:sz w:val="20"/>
                <w:szCs w:val="20"/>
                <w:color w:val="auto"/>
              </w:rPr>
            </w:pPr>
            <w:r>
              <w:rPr>
                <w:rFonts w:ascii="Arial" w:cs="Arial" w:eastAsia="Arial" w:hAnsi="Arial"/>
                <w:sz w:val="16"/>
                <w:szCs w:val="16"/>
                <w:b w:val="1"/>
                <w:bCs w:val="1"/>
                <w:color w:val="004483"/>
              </w:rPr>
              <w:t>Operating Earnings</w:t>
            </w:r>
          </w:p>
        </w:tc>
        <w:tc>
          <w:tcPr>
            <w:tcW w:w="740" w:type="dxa"/>
            <w:vAlign w:val="bottom"/>
          </w:tcPr>
          <w:p>
            <w:pPr>
              <w:jc w:val="right"/>
              <w:ind w:right="565"/>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(346 )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8"/>
                <w:szCs w:val="18"/>
                <w:color w:val="auto"/>
              </w:rPr>
            </w:pPr>
          </w:p>
        </w:tc>
      </w:tr>
      <w:tr>
        <w:trPr>
          <w:trHeight w:val="20"/>
        </w:trPr>
        <w:tc>
          <w:tcPr>
            <w:tcW w:w="71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1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Operating Earnings shown above for the three and nine months ended December 31, 2022, include approximately $2.1 million and $6.1 million related to depreciation and amortization, respectively. Additionally, Operating Earnings for the nine months ended December 31, 2022, were negatively affected by approximately $2.1 million related to the recording of acquired inventories at fair value. There was no effect on the quarter ended December 31, 2022, as all the acquired inventory was sold by the end of the fiscal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-408940</wp:posOffset>
            </wp:positionV>
            <wp:extent cx="6858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-22860</wp:posOffset>
            </wp:positionV>
            <wp:extent cx="49599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59985"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 Acquisition</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September 16, 2022, we acquired a cement distribution terminal located in Nashville, Tennessee (the Terminal Acquisition). The purchase price of the Terminal Acquisition was approximately $39.5 million. The purchase price allocation has not been finalized. The Terminal Acquisition was funded through borrowings under our revolving credit facility. Operations related to the Terminal Acquisition are included in the Cement business in our segment reporting from September 16, 2022, through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-22860</wp:posOffset>
            </wp:positionV>
            <wp:extent cx="6858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9" w:name="page10"/>
    <w:bookmarkEnd w:id="9"/>
    <w:p>
      <w:pPr>
        <w:ind w:right="580"/>
        <w:spacing w:after="0" w:line="246" w:lineRule="auto"/>
        <w:rPr>
          <w:sz w:val="20"/>
          <w:szCs w:val="20"/>
          <w:color w:val="auto"/>
        </w:rPr>
      </w:pPr>
      <w:r>
        <w:rPr>
          <w:rFonts w:ascii="Arial" w:cs="Arial" w:eastAsia="Arial" w:hAnsi="Arial"/>
          <w:sz w:val="18"/>
          <w:szCs w:val="18"/>
          <w:color w:val="auto"/>
        </w:rPr>
        <w:t>The following table summarizes the preliminary allocation of the Purchase Price of the Terminal Acquisition to the assets acquired and liabilities assumed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-27940</wp:posOffset>
            </wp:positionV>
            <wp:extent cx="6858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60" w:type="dxa"/>
            <w:vAlign w:val="bottom"/>
            <w:tcBorders>
              <w:bottom w:val="single" w:sz="8" w:color="004483"/>
            </w:tcBorders>
          </w:tcPr>
          <w:p>
            <w:pPr>
              <w:spacing w:after="0"/>
              <w:rPr>
                <w:sz w:val="15"/>
                <w:szCs w:val="15"/>
                <w:color w:val="auto"/>
              </w:rPr>
            </w:pPr>
          </w:p>
        </w:tc>
        <w:tc>
          <w:tcPr>
            <w:tcW w:w="600" w:type="dxa"/>
            <w:vAlign w:val="bottom"/>
            <w:tcBorders>
              <w:bottom w:val="single" w:sz="8" w:color="004483"/>
            </w:tcBorders>
          </w:tcPr>
          <w:p>
            <w:pPr>
              <w:spacing w:after="0"/>
              <w:rPr>
                <w:sz w:val="15"/>
                <w:szCs w:val="15"/>
                <w:color w:val="auto"/>
              </w:rPr>
            </w:pPr>
          </w:p>
        </w:tc>
        <w:tc>
          <w:tcPr>
            <w:tcW w:w="1680" w:type="dxa"/>
            <w:vAlign w:val="bottom"/>
            <w:tcBorders>
              <w:bottom w:val="single" w:sz="8" w:color="004483"/>
            </w:tcBorders>
          </w:tcPr>
          <w:p>
            <w:pPr>
              <w:jc w:val="right"/>
              <w:spacing w:after="0"/>
              <w:rPr>
                <w:sz w:val="20"/>
                <w:szCs w:val="20"/>
                <w:color w:val="auto"/>
              </w:rPr>
            </w:pPr>
            <w:r>
              <w:rPr>
                <w:rFonts w:ascii="Arial" w:cs="Arial" w:eastAsia="Arial" w:hAnsi="Arial"/>
                <w:sz w:val="13"/>
                <w:szCs w:val="13"/>
                <w:color w:val="auto"/>
              </w:rPr>
              <w:t>Estimated Fair Value</w:t>
            </w:r>
          </w:p>
        </w:tc>
      </w:tr>
      <w:tr>
        <w:trPr>
          <w:trHeight w:val="213"/>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Working Capital</w:t>
            </w:r>
          </w:p>
        </w:tc>
        <w:tc>
          <w:tcPr>
            <w:tcW w:w="600" w:type="dxa"/>
            <w:vAlign w:val="bottom"/>
            <w:tcBorders>
              <w:bottom w:val="single" w:sz="8" w:color="A6A6A6"/>
            </w:tcBorders>
          </w:tcPr>
          <w:p>
            <w:pPr>
              <w:jc w:val="right"/>
              <w:ind w:right="4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1,116</w:t>
            </w:r>
          </w:p>
        </w:tc>
      </w:tr>
      <w:tr>
        <w:trPr>
          <w:trHeight w:val="210"/>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Plant, and Equipment</w:t>
            </w:r>
          </w:p>
        </w:tc>
        <w:tc>
          <w:tcPr>
            <w:tcW w:w="600" w:type="dxa"/>
            <w:vAlign w:val="bottom"/>
            <w:tcBorders>
              <w:bottom w:val="single" w:sz="8" w:color="A6A6A6"/>
            </w:tcBorders>
          </w:tcPr>
          <w:p>
            <w:pPr>
              <w:spacing w:after="0"/>
              <w:rPr>
                <w:sz w:val="18"/>
                <w:szCs w:val="18"/>
                <w:color w:val="auto"/>
              </w:rPr>
            </w:pPr>
          </w:p>
        </w:tc>
        <w:tc>
          <w:tcPr>
            <w:tcW w:w="1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23,301</w:t>
            </w:r>
          </w:p>
        </w:tc>
      </w:tr>
      <w:tr>
        <w:trPr>
          <w:trHeight w:val="20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Intangible Assets</w:t>
            </w:r>
          </w:p>
        </w:tc>
        <w:tc>
          <w:tcPr>
            <w:tcW w:w="600" w:type="dxa"/>
            <w:vAlign w:val="bottom"/>
            <w:tcBorders>
              <w:bottom w:val="single" w:sz="8" w:color="A6A6A6"/>
            </w:tcBorders>
          </w:tcPr>
          <w:p>
            <w:pPr>
              <w:spacing w:after="0"/>
              <w:rPr>
                <w:sz w:val="18"/>
                <w:szCs w:val="18"/>
                <w:color w:val="auto"/>
              </w:rPr>
            </w:pPr>
          </w:p>
        </w:tc>
        <w:tc>
          <w:tcPr>
            <w:tcW w:w="1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2,589</w:t>
            </w:r>
          </w:p>
        </w:tc>
      </w:tr>
      <w:tr>
        <w:trPr>
          <w:trHeight w:val="23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w:t>
            </w:r>
          </w:p>
        </w:tc>
        <w:tc>
          <w:tcPr>
            <w:tcW w:w="600" w:type="dxa"/>
            <w:vAlign w:val="bottom"/>
            <w:tcBorders>
              <w:bottom w:val="single" w:sz="8" w:color="004483"/>
            </w:tcBorders>
          </w:tcPr>
          <w:p>
            <w:pPr>
              <w:spacing w:after="0"/>
              <w:rPr>
                <w:sz w:val="20"/>
                <w:szCs w:val="20"/>
                <w:color w:val="auto"/>
              </w:rPr>
            </w:pPr>
          </w:p>
        </w:tc>
        <w:tc>
          <w:tcPr>
            <w:tcW w:w="1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12,439</w:t>
            </w:r>
          </w:p>
        </w:tc>
      </w:tr>
      <w:tr>
        <w:trPr>
          <w:trHeight w:val="209"/>
        </w:trPr>
        <w:tc>
          <w:tcPr>
            <w:tcW w:w="8860" w:type="dxa"/>
            <w:vAlign w:val="bottom"/>
          </w:tcPr>
          <w:p>
            <w:pPr>
              <w:ind w:left="200"/>
              <w:spacing w:after="0"/>
              <w:rPr>
                <w:sz w:val="20"/>
                <w:szCs w:val="20"/>
                <w:color w:val="auto"/>
              </w:rPr>
            </w:pPr>
            <w:r>
              <w:rPr>
                <w:rFonts w:ascii="Arial" w:cs="Arial" w:eastAsia="Arial" w:hAnsi="Arial"/>
                <w:sz w:val="16"/>
                <w:szCs w:val="16"/>
                <w:b w:val="1"/>
                <w:bCs w:val="1"/>
                <w:color w:val="auto"/>
              </w:rPr>
              <w:t>Total Purchase Price</w:t>
            </w: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39,445</w:t>
            </w:r>
          </w:p>
        </w:tc>
      </w:tr>
      <w:tr>
        <w:trPr>
          <w:trHeight w:val="20"/>
        </w:trPr>
        <w:tc>
          <w:tcPr>
            <w:tcW w:w="886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680" w:type="dxa"/>
            <w:vAlign w:val="bottom"/>
            <w:tcBorders>
              <w:bottom w:val="single" w:sz="8" w:color="004483"/>
            </w:tcBorders>
          </w:tcPr>
          <w:p>
            <w:pPr>
              <w:spacing w:after="0" w:line="20" w:lineRule="exact"/>
              <w:rPr>
                <w:sz w:val="1"/>
                <w:szCs w:val="1"/>
                <w:color w:val="auto"/>
              </w:rPr>
            </w:pPr>
          </w:p>
        </w:tc>
      </w:tr>
    </w:tbl>
    <w:p>
      <w:pPr>
        <w:spacing w:after="0" w:line="215"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The estimated useful lives assigned to Property, Plant, and Equipment range from 5 to 25 years, while the estimated useful lives assigned to Intangible Assets range from 2 to 15 years.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REVENUE</w:t>
      </w:r>
    </w:p>
    <w:p>
      <w:pPr>
        <w:spacing w:after="0" w:line="12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cement, concrete, aggregates, and gypsum wallboard is originated by purchase orders from our customers, who are mostly third-party contractors and suppliers. Revenue from our Recycled Paperboard segment is generated mainly through long-term supply agreements that mature in 2025 and 2026. We invoice customers upon shipment, and our collection terms range from 30-75 days. Revenue from the sale of cement, concrete, aggregates, and gypsum wallboard not related to long-term supply agreements is recognized upon shipment of the related products to customers, which is when title and ownership are transferred, and the customer is obligated to pay.</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9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that are billed to the customer are recorded as Revenue, while costs we incur for shipping and handling are recorded as expenses and included in Cost of Goods Sold.</w:t>
      </w:r>
    </w:p>
    <w:p>
      <w:pPr>
        <w:spacing w:after="0" w:line="97"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See Footnote (N) to the Unaudited Consolidated Financial Statements for disaggregation of revenue by segment.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(E) ACCOUNTS AND NOTES RECEIVABLE</w:t>
      </w:r>
    </w:p>
    <w:p>
      <w:pPr>
        <w:spacing w:after="0" w:line="12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Accounts Receivable are shown net of the allowance for doubtful accounts totaling $6.9 million and $6.7 million at December 31, 2022, and March 31, 2022, respectively. We perform ongoing credit evaluations of our customers’ financial condition and generally require no collateral from our customers. The allowance for non-collection of receivables is based upon analysis of economic trends in the construction industry, detailed analysis of the expected collectability of accounts receivable that are past due, and the expected collectability of overall receivables. We have no significant credit risk concentration among our diversified customer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5771515</wp:posOffset>
            </wp:positionH>
            <wp:positionV relativeFrom="paragraph">
              <wp:posOffset>-539115</wp:posOffset>
            </wp:positionV>
            <wp:extent cx="6858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had Notes Receivable totaling approximately $8.6 million at December 31, 2022, of which $0.1 million was classified as current. We lend funds to certain companies in the ordinary course of business, and the notes bear interest at LIBOR plus 3%, which was approximately 6.8% at December 31, 2022. Remaining unpaid amounts, plus accrued interest, mature in fiscal 2025. The notes are collateralized by certain assets of the borrowers, namely property and equipment, and are generally payable monthly. We monitor the credit risk of each borrower by assessing the timeliness of payments, credit history, credit metrics, and our ongoing interactions with each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-539115</wp:posOffset>
            </wp:positionV>
            <wp:extent cx="6858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-281940</wp:posOffset>
            </wp:positionV>
            <wp:extent cx="6858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INVENTORIES</w:t>
      </w:r>
    </w:p>
    <w:p>
      <w:pPr>
        <w:spacing w:after="0" w:line="13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are converted to tonnage using standard inventory density factors. Inventories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2600" w:type="dxa"/>
            <w:vAlign w:val="bottom"/>
            <w:shd w:val="clear" w:color="auto" w:fill="004483"/>
          </w:tcPr>
          <w:p>
            <w:pPr>
              <w:jc w:val="right"/>
              <w:ind w:right="977"/>
              <w:spacing w:after="0"/>
              <w:rPr>
                <w:sz w:val="20"/>
                <w:szCs w:val="20"/>
                <w:color w:val="auto"/>
              </w:rPr>
            </w:pPr>
            <w:r>
              <w:rPr>
                <w:rFonts w:ascii="Arial" w:cs="Arial" w:eastAsia="Arial" w:hAnsi="Arial"/>
                <w:sz w:val="13"/>
                <w:szCs w:val="13"/>
                <w:b w:val="1"/>
                <w:bCs w:val="1"/>
                <w:color w:val="FFFFFF"/>
              </w:rPr>
              <w:t>December 31,</w:t>
            </w:r>
          </w:p>
        </w:tc>
        <w:tc>
          <w:tcPr>
            <w:tcW w:w="9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68"/>
        </w:trPr>
        <w:tc>
          <w:tcPr>
            <w:tcW w:w="7680" w:type="dxa"/>
            <w:vAlign w:val="bottom"/>
          </w:tcPr>
          <w:p>
            <w:pPr>
              <w:spacing w:after="0"/>
              <w:rPr>
                <w:sz w:val="14"/>
                <w:szCs w:val="14"/>
                <w:color w:val="auto"/>
              </w:rPr>
            </w:pPr>
          </w:p>
        </w:tc>
        <w:tc>
          <w:tcPr>
            <w:tcW w:w="2600" w:type="dxa"/>
            <w:vAlign w:val="bottom"/>
          </w:tcPr>
          <w:p>
            <w:pPr>
              <w:jc w:val="right"/>
              <w:ind w:right="977"/>
              <w:spacing w:after="0"/>
              <w:rPr>
                <w:sz w:val="20"/>
                <w:szCs w:val="20"/>
                <w:color w:val="auto"/>
              </w:rPr>
            </w:pPr>
            <w:r>
              <w:rPr>
                <w:rFonts w:ascii="Arial" w:cs="Arial" w:eastAsia="Arial" w:hAnsi="Arial"/>
                <w:sz w:val="13"/>
                <w:szCs w:val="13"/>
                <w:b w:val="1"/>
                <w:bCs w:val="1"/>
                <w:color w:val="auto"/>
              </w:rPr>
              <w:t>2022</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77"/>
        </w:trPr>
        <w:tc>
          <w:tcPr>
            <w:tcW w:w="7680" w:type="dxa"/>
            <w:vAlign w:val="bottom"/>
            <w:tcBorders>
              <w:bottom w:val="single" w:sz="8" w:color="004483"/>
            </w:tcBorders>
          </w:tcPr>
          <w:p>
            <w:pPr>
              <w:spacing w:after="0"/>
              <w:rPr>
                <w:sz w:val="15"/>
                <w:szCs w:val="15"/>
                <w:color w:val="auto"/>
              </w:rPr>
            </w:pPr>
          </w:p>
        </w:tc>
        <w:tc>
          <w:tcPr>
            <w:tcW w:w="2600" w:type="dxa"/>
            <w:vAlign w:val="bottom"/>
            <w:tcBorders>
              <w:bottom w:val="single" w:sz="8" w:color="004483"/>
            </w:tcBorders>
          </w:tcPr>
          <w:p>
            <w:pPr>
              <w:jc w:val="right"/>
              <w:ind w:right="217"/>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5" w:lineRule="exact"/>
        <w:rPr>
          <w:sz w:val="20"/>
          <w:szCs w:val="20"/>
          <w:color w:val="auto"/>
        </w:rPr>
      </w:pPr>
    </w:p>
    <w:p>
      <w:pPr>
        <w:sectPr>
          <w:pgSz w:w="11900" w:h="16838" w:orient="portrait"/>
          <w:cols w:equalWidth="0" w:num="1">
            <w:col w:w="11240"/>
          </w:cols>
          <w:pgMar w:left="320" w:top="598" w:right="339" w:bottom="1440" w:gutter="0" w:footer="0" w:header="0"/>
        </w:sectPr>
      </w:pPr>
    </w:p>
    <w:tbl>
      <w:tblPr>
        <w:tblLayout w:type="fixed"/>
        <w:tblInd w:w="0" w:type="dxa"/>
        <w:tblCellMar>
          <w:top w:w="0" w:type="dxa"/>
          <w:left w:w="0" w:type="dxa"/>
          <w:bottom w:w="0" w:type="dxa"/>
          <w:right w:w="0" w:type="dxa"/>
        </w:tblCellMar>
      </w:tblPr>
      <w:tr>
        <w:trPr>
          <w:trHeight w:val="198"/>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Raw Materials and Materials-in-Progress</w:t>
            </w:r>
          </w:p>
        </w:tc>
        <w:tc>
          <w:tcPr>
            <w:tcW w:w="540" w:type="dxa"/>
            <w:vAlign w:val="bottom"/>
            <w:tcBorders>
              <w:bottom w:val="single" w:sz="8" w:color="A6A6A6"/>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72,114</w:t>
            </w:r>
          </w:p>
        </w:tc>
      </w:tr>
      <w:tr>
        <w:trPr>
          <w:trHeight w:val="209"/>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Finished Cement</w:t>
            </w:r>
          </w:p>
        </w:tc>
        <w:tc>
          <w:tcPr>
            <w:tcW w:w="5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35,617</w:t>
            </w:r>
          </w:p>
        </w:tc>
      </w:tr>
      <w:tr>
        <w:trPr>
          <w:trHeight w:val="209"/>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Aggregates</w:t>
            </w:r>
          </w:p>
        </w:tc>
        <w:tc>
          <w:tcPr>
            <w:tcW w:w="5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7,329</w:t>
            </w:r>
          </w:p>
        </w:tc>
      </w:tr>
      <w:tr>
        <w:trPr>
          <w:trHeight w:val="209"/>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5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6,778</w:t>
            </w:r>
          </w:p>
        </w:tc>
      </w:tr>
      <w:tr>
        <w:trPr>
          <w:trHeight w:val="210"/>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Paperboard</w:t>
            </w:r>
          </w:p>
        </w:tc>
        <w:tc>
          <w:tcPr>
            <w:tcW w:w="5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8,091</w:t>
            </w:r>
          </w:p>
        </w:tc>
      </w:tr>
      <w:tr>
        <w:trPr>
          <w:trHeight w:val="209"/>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Repair Parts and Supplies</w:t>
            </w:r>
          </w:p>
        </w:tc>
        <w:tc>
          <w:tcPr>
            <w:tcW w:w="5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106,426</w:t>
            </w:r>
          </w:p>
        </w:tc>
      </w:tr>
      <w:tr>
        <w:trPr>
          <w:trHeight w:val="240"/>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Fuel and Coal</w:t>
            </w:r>
          </w:p>
        </w:tc>
        <w:tc>
          <w:tcPr>
            <w:tcW w:w="54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10,800</w:t>
            </w:r>
          </w:p>
        </w:tc>
      </w:tr>
      <w:tr>
        <w:trPr>
          <w:trHeight w:val="209"/>
        </w:trPr>
        <w:tc>
          <w:tcPr>
            <w:tcW w:w="768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247,155</w:t>
            </w:r>
          </w:p>
        </w:tc>
      </w:tr>
      <w:tr>
        <w:trPr>
          <w:trHeight w:val="20"/>
        </w:trPr>
        <w:tc>
          <w:tcPr>
            <w:tcW w:w="768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054" w:hanging="1054"/>
        <w:spacing w:after="0"/>
        <w:tabs>
          <w:tab w:leader="none" w:pos="1054" w:val="left"/>
        </w:tabs>
        <w:numPr>
          <w:ilvl w:val="0"/>
          <w:numId w:val="7"/>
        </w:numPr>
        <w:rPr>
          <w:rFonts w:ascii="Arial" w:cs="Arial" w:eastAsia="Arial" w:hAnsi="Arial"/>
          <w:sz w:val="16"/>
          <w:szCs w:val="16"/>
          <w:color w:val="auto"/>
        </w:rPr>
      </w:pPr>
      <w:r>
        <w:rPr>
          <w:rFonts w:ascii="Arial" w:cs="Arial" w:eastAsia="Arial" w:hAnsi="Arial"/>
          <w:sz w:val="16"/>
          <w:szCs w:val="16"/>
          <w:color w:val="auto"/>
        </w:rPr>
        <w:t>81,308</w:t>
      </w:r>
    </w:p>
    <w:p>
      <w:pPr>
        <w:spacing w:after="0" w:line="45" w:lineRule="exact"/>
        <w:rPr>
          <w:rFonts w:ascii="Arial" w:cs="Arial" w:eastAsia="Arial" w:hAnsi="Arial"/>
          <w:sz w:val="16"/>
          <w:szCs w:val="16"/>
          <w:color w:val="auto"/>
        </w:rPr>
      </w:pPr>
    </w:p>
    <w:p>
      <w:pPr>
        <w:ind w:left="1054"/>
        <w:spacing w:after="0"/>
        <w:rPr>
          <w:rFonts w:ascii="Arial" w:cs="Arial" w:eastAsia="Arial" w:hAnsi="Arial"/>
          <w:sz w:val="16"/>
          <w:szCs w:val="16"/>
          <w:color w:val="auto"/>
        </w:rPr>
      </w:pPr>
      <w:r>
        <w:rPr>
          <w:rFonts w:ascii="Arial" w:cs="Arial" w:eastAsia="Arial" w:hAnsi="Arial"/>
          <w:sz w:val="16"/>
          <w:szCs w:val="16"/>
          <w:color w:val="auto"/>
        </w:rPr>
        <w:t>38,769</w:t>
      </w:r>
    </w:p>
    <w:p>
      <w:pPr>
        <w:spacing w:after="0" w:line="45" w:lineRule="exact"/>
        <w:rPr>
          <w:rFonts w:ascii="Arial" w:cs="Arial" w:eastAsia="Arial" w:hAnsi="Arial"/>
          <w:sz w:val="16"/>
          <w:szCs w:val="16"/>
          <w:color w:val="auto"/>
        </w:rPr>
      </w:pPr>
    </w:p>
    <w:p>
      <w:pPr>
        <w:ind w:left="1154"/>
        <w:spacing w:after="0"/>
        <w:rPr>
          <w:rFonts w:ascii="Arial" w:cs="Arial" w:eastAsia="Arial" w:hAnsi="Arial"/>
          <w:sz w:val="16"/>
          <w:szCs w:val="16"/>
          <w:color w:val="auto"/>
        </w:rPr>
      </w:pPr>
      <w:r>
        <w:rPr>
          <w:rFonts w:ascii="Arial" w:cs="Arial" w:eastAsia="Arial" w:hAnsi="Arial"/>
          <w:sz w:val="15"/>
          <w:szCs w:val="15"/>
          <w:color w:val="auto"/>
        </w:rPr>
        <w:t>3,558</w:t>
      </w:r>
    </w:p>
    <w:p>
      <w:pPr>
        <w:spacing w:after="0" w:line="57" w:lineRule="exact"/>
        <w:rPr>
          <w:rFonts w:ascii="Arial" w:cs="Arial" w:eastAsia="Arial" w:hAnsi="Arial"/>
          <w:sz w:val="16"/>
          <w:szCs w:val="16"/>
          <w:color w:val="auto"/>
        </w:rPr>
      </w:pPr>
    </w:p>
    <w:p>
      <w:pPr>
        <w:ind w:left="1154"/>
        <w:spacing w:after="0"/>
        <w:rPr>
          <w:rFonts w:ascii="Arial" w:cs="Arial" w:eastAsia="Arial" w:hAnsi="Arial"/>
          <w:sz w:val="16"/>
          <w:szCs w:val="16"/>
          <w:color w:val="auto"/>
        </w:rPr>
      </w:pPr>
      <w:r>
        <w:rPr>
          <w:rFonts w:ascii="Arial" w:cs="Arial" w:eastAsia="Arial" w:hAnsi="Arial"/>
          <w:sz w:val="15"/>
          <w:szCs w:val="15"/>
          <w:color w:val="auto"/>
        </w:rPr>
        <w:t>3,452</w:t>
      </w:r>
    </w:p>
    <w:p>
      <w:pPr>
        <w:spacing w:after="0" w:line="57" w:lineRule="exact"/>
        <w:rPr>
          <w:rFonts w:ascii="Arial" w:cs="Arial" w:eastAsia="Arial" w:hAnsi="Arial"/>
          <w:sz w:val="16"/>
          <w:szCs w:val="16"/>
          <w:color w:val="auto"/>
        </w:rPr>
      </w:pPr>
    </w:p>
    <w:p>
      <w:pPr>
        <w:ind w:left="1154"/>
        <w:spacing w:after="0"/>
        <w:rPr>
          <w:rFonts w:ascii="Arial" w:cs="Arial" w:eastAsia="Arial" w:hAnsi="Arial"/>
          <w:sz w:val="16"/>
          <w:szCs w:val="16"/>
          <w:color w:val="auto"/>
        </w:rPr>
      </w:pPr>
      <w:r>
        <w:rPr>
          <w:rFonts w:ascii="Arial" w:cs="Arial" w:eastAsia="Arial" w:hAnsi="Arial"/>
          <w:sz w:val="15"/>
          <w:szCs w:val="15"/>
          <w:color w:val="auto"/>
        </w:rPr>
        <w:t>7,462</w:t>
      </w:r>
    </w:p>
    <w:p>
      <w:pPr>
        <w:spacing w:after="0" w:line="57" w:lineRule="exact"/>
        <w:rPr>
          <w:rFonts w:ascii="Arial" w:cs="Arial" w:eastAsia="Arial" w:hAnsi="Arial"/>
          <w:sz w:val="16"/>
          <w:szCs w:val="16"/>
          <w:color w:val="auto"/>
        </w:rPr>
      </w:pPr>
    </w:p>
    <w:p>
      <w:pPr>
        <w:ind w:left="1054"/>
        <w:spacing w:after="0"/>
        <w:rPr>
          <w:rFonts w:ascii="Arial" w:cs="Arial" w:eastAsia="Arial" w:hAnsi="Arial"/>
          <w:sz w:val="16"/>
          <w:szCs w:val="16"/>
          <w:color w:val="auto"/>
        </w:rPr>
      </w:pPr>
      <w:r>
        <w:rPr>
          <w:rFonts w:ascii="Arial" w:cs="Arial" w:eastAsia="Arial" w:hAnsi="Arial"/>
          <w:sz w:val="16"/>
          <w:szCs w:val="16"/>
          <w:color w:val="auto"/>
        </w:rPr>
        <w:t>91,593</w:t>
      </w:r>
    </w:p>
    <w:p>
      <w:pPr>
        <w:spacing w:after="0" w:line="45" w:lineRule="exact"/>
        <w:rPr>
          <w:rFonts w:ascii="Arial" w:cs="Arial" w:eastAsia="Arial" w:hAnsi="Arial"/>
          <w:sz w:val="16"/>
          <w:szCs w:val="16"/>
          <w:color w:val="auto"/>
        </w:rPr>
      </w:pPr>
    </w:p>
    <w:p>
      <w:pPr>
        <w:ind w:left="1054"/>
        <w:spacing w:after="0"/>
        <w:rPr>
          <w:rFonts w:ascii="Arial" w:cs="Arial" w:eastAsia="Arial" w:hAnsi="Arial"/>
          <w:sz w:val="16"/>
          <w:szCs w:val="16"/>
          <w:color w:val="auto"/>
        </w:rPr>
      </w:pPr>
      <w:r>
        <w:rPr>
          <w:rFonts w:ascii="Arial" w:cs="Arial" w:eastAsia="Arial" w:hAnsi="Arial"/>
          <w:sz w:val="16"/>
          <w:szCs w:val="16"/>
          <w:color w:val="auto"/>
        </w:rPr>
        <w:t>10,519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-862965</wp:posOffset>
            </wp:positionV>
            <wp:extent cx="11226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-717550</wp:posOffset>
            </wp:positionV>
            <wp:extent cx="11226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2268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-571500</wp:posOffset>
            </wp:positionV>
            <wp:extent cx="11226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-426085</wp:posOffset>
            </wp:positionV>
            <wp:extent cx="11226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-280035</wp:posOffset>
            </wp:positionV>
            <wp:extent cx="11226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-134620</wp:posOffset>
            </wp:positionV>
            <wp:extent cx="11226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10795</wp:posOffset>
            </wp:positionV>
            <wp:extent cx="112268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22680" cy="25400"/>
                    </a:xfrm>
                    <a:prstGeom prst="rect">
                      <a:avLst/>
                    </a:prstGeom>
                    <a:noFill/>
                  </pic:spPr>
                </pic:pic>
              </a:graphicData>
            </a:graphic>
          </wp:anchor>
        </w:drawing>
      </w:r>
    </w:p>
    <w:p>
      <w:pPr>
        <w:spacing w:after="0" w:line="33" w:lineRule="exact"/>
        <w:rPr>
          <w:sz w:val="20"/>
          <w:szCs w:val="20"/>
          <w:color w:val="auto"/>
        </w:rPr>
      </w:pPr>
    </w:p>
    <w:p>
      <w:pPr>
        <w:ind w:left="974" w:hanging="974"/>
        <w:spacing w:after="0"/>
        <w:tabs>
          <w:tab w:leader="none" w:pos="97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236,661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10026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02665"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40640</wp:posOffset>
            </wp:positionV>
            <wp:extent cx="10026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9260" w:space="306"/>
            <w:col w:w="1674"/>
          </w:cols>
          <w:pgMar w:left="320" w:top="59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114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December 31,</w:t>
            </w:r>
          </w:p>
        </w:tc>
        <w:tc>
          <w:tcPr>
            <w:tcW w:w="12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700" w:type="dxa"/>
            <w:vAlign w:val="bottom"/>
            <w:shd w:val="clear" w:color="auto" w:fill="004483"/>
          </w:tcPr>
          <w:p>
            <w:pPr>
              <w:spacing w:after="0"/>
              <w:rPr>
                <w:sz w:val="14"/>
                <w:szCs w:val="14"/>
                <w:color w:val="auto"/>
              </w:rPr>
            </w:pPr>
          </w:p>
        </w:tc>
        <w:tc>
          <w:tcPr>
            <w:tcW w:w="940" w:type="dxa"/>
            <w:vAlign w:val="bottom"/>
            <w:gridSpan w:val="2"/>
            <w:shd w:val="clear" w:color="auto" w:fill="004483"/>
          </w:tcPr>
          <w:p>
            <w:pPr>
              <w:ind w:left="240"/>
              <w:spacing w:after="0"/>
              <w:rPr>
                <w:sz w:val="20"/>
                <w:szCs w:val="20"/>
                <w:color w:val="auto"/>
              </w:rPr>
            </w:pPr>
            <w:r>
              <w:rPr>
                <w:rFonts w:ascii="Arial" w:cs="Arial" w:eastAsia="Arial" w:hAnsi="Arial"/>
                <w:sz w:val="13"/>
                <w:szCs w:val="13"/>
                <w:b w:val="1"/>
                <w:bCs w:val="1"/>
                <w:color w:val="FFFFFF"/>
              </w:rPr>
              <w:t>March 31,</w:t>
            </w:r>
          </w:p>
        </w:tc>
      </w:tr>
      <w:tr>
        <w:trPr>
          <w:trHeight w:val="168"/>
        </w:trPr>
        <w:tc>
          <w:tcPr>
            <w:tcW w:w="7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77"/>
        </w:trPr>
        <w:tc>
          <w:tcPr>
            <w:tcW w:w="782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080" w:type="dxa"/>
            <w:vAlign w:val="bottom"/>
            <w:tcBorders>
              <w:bottom w:val="single" w:sz="8" w:color="004483"/>
            </w:tcBorders>
            <w:gridSpan w:val="4"/>
          </w:tcPr>
          <w:p>
            <w:pPr>
              <w:jc w:val="right"/>
              <w:ind w:right="139"/>
              <w:spacing w:after="0"/>
              <w:rPr>
                <w:sz w:val="20"/>
                <w:szCs w:val="20"/>
                <w:color w:val="auto"/>
              </w:rPr>
            </w:pPr>
            <w:r>
              <w:rPr>
                <w:rFonts w:ascii="Arial" w:cs="Arial" w:eastAsia="Arial" w:hAnsi="Arial"/>
                <w:sz w:val="13"/>
                <w:szCs w:val="13"/>
                <w:color w:val="auto"/>
              </w:rPr>
              <w:t>(dollars in thousands)</w:t>
            </w:r>
          </w:p>
        </w:tc>
        <w:tc>
          <w:tcPr>
            <w:tcW w:w="8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004483"/>
              </w:rPr>
              <w:t>Payroll and Incentive Compensation</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34,760</w:t>
            </w:r>
          </w:p>
        </w:tc>
        <w:tc>
          <w:tcPr>
            <w:tcW w:w="940" w:type="dxa"/>
            <w:vAlign w:val="bottom"/>
            <w:gridSpan w:val="3"/>
          </w:tcPr>
          <w:p>
            <w:pPr>
              <w:jc w:val="right"/>
              <w:ind w:right="4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37,262</w:t>
            </w:r>
          </w:p>
        </w:tc>
        <w:tc>
          <w:tcPr>
            <w:tcW w:w="100" w:type="dxa"/>
            <w:vAlign w:val="bottom"/>
          </w:tcPr>
          <w:p>
            <w:pPr>
              <w:spacing w:after="0"/>
              <w:rPr>
                <w:sz w:val="18"/>
                <w:szCs w:val="18"/>
                <w:color w:val="auto"/>
              </w:rPr>
            </w:pPr>
          </w:p>
        </w:tc>
      </w:tr>
      <w:tr>
        <w:trPr>
          <w:trHeight w:val="210"/>
        </w:trPr>
        <w:tc>
          <w:tcPr>
            <w:tcW w:w="78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Benefits</w:t>
            </w:r>
          </w:p>
        </w:tc>
        <w:tc>
          <w:tcPr>
            <w:tcW w:w="400" w:type="dxa"/>
            <w:vAlign w:val="bottom"/>
            <w:tcBorders>
              <w:top w:val="single" w:sz="8" w:color="A6A6A6"/>
              <w:bottom w:val="single" w:sz="8" w:color="A6A6A6"/>
            </w:tcBorders>
          </w:tcPr>
          <w:p>
            <w:pPr>
              <w:spacing w:after="0"/>
              <w:rPr>
                <w:sz w:val="18"/>
                <w:szCs w:val="18"/>
                <w:color w:val="auto"/>
              </w:rPr>
            </w:pPr>
          </w:p>
        </w:tc>
        <w:tc>
          <w:tcPr>
            <w:tcW w:w="11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16,466</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8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14,894</w:t>
            </w:r>
          </w:p>
        </w:tc>
        <w:tc>
          <w:tcPr>
            <w:tcW w:w="100" w:type="dxa"/>
            <w:vAlign w:val="bottom"/>
          </w:tcPr>
          <w:p>
            <w:pPr>
              <w:spacing w:after="0"/>
              <w:rPr>
                <w:sz w:val="18"/>
                <w:szCs w:val="18"/>
                <w:color w:val="auto"/>
              </w:rPr>
            </w:pPr>
          </w:p>
        </w:tc>
      </w:tr>
      <w:tr>
        <w:trPr>
          <w:trHeight w:val="209"/>
        </w:trPr>
        <w:tc>
          <w:tcPr>
            <w:tcW w:w="78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w:t>
            </w:r>
          </w:p>
        </w:tc>
        <w:tc>
          <w:tcPr>
            <w:tcW w:w="40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9,288</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9,756</w:t>
            </w:r>
          </w:p>
        </w:tc>
        <w:tc>
          <w:tcPr>
            <w:tcW w:w="100" w:type="dxa"/>
            <w:vAlign w:val="bottom"/>
          </w:tcPr>
          <w:p>
            <w:pPr>
              <w:spacing w:after="0"/>
              <w:rPr>
                <w:sz w:val="18"/>
                <w:szCs w:val="18"/>
                <w:color w:val="auto"/>
              </w:rPr>
            </w:pPr>
          </w:p>
        </w:tc>
      </w:tr>
      <w:tr>
        <w:trPr>
          <w:trHeight w:val="210"/>
        </w:trPr>
        <w:tc>
          <w:tcPr>
            <w:tcW w:w="78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w:t>
            </w:r>
          </w:p>
        </w:tc>
        <w:tc>
          <w:tcPr>
            <w:tcW w:w="40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2,201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5,052</w:t>
            </w:r>
          </w:p>
        </w:tc>
        <w:tc>
          <w:tcPr>
            <w:tcW w:w="100" w:type="dxa"/>
            <w:vAlign w:val="bottom"/>
          </w:tcPr>
          <w:p>
            <w:pPr>
              <w:spacing w:after="0"/>
              <w:rPr>
                <w:sz w:val="18"/>
                <w:szCs w:val="18"/>
                <w:color w:val="auto"/>
              </w:rPr>
            </w:pPr>
          </w:p>
        </w:tc>
      </w:tr>
      <w:tr>
        <w:trPr>
          <w:trHeight w:val="209"/>
        </w:trPr>
        <w:tc>
          <w:tcPr>
            <w:tcW w:w="78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Taxes</w:t>
            </w:r>
          </w:p>
        </w:tc>
        <w:tc>
          <w:tcPr>
            <w:tcW w:w="40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6,315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6,514</w:t>
            </w:r>
          </w:p>
        </w:tc>
        <w:tc>
          <w:tcPr>
            <w:tcW w:w="100" w:type="dxa"/>
            <w:vAlign w:val="bottom"/>
          </w:tcPr>
          <w:p>
            <w:pPr>
              <w:spacing w:after="0"/>
              <w:rPr>
                <w:sz w:val="18"/>
                <w:szCs w:val="18"/>
                <w:color w:val="auto"/>
              </w:rPr>
            </w:pPr>
          </w:p>
        </w:tc>
      </w:tr>
      <w:tr>
        <w:trPr>
          <w:trHeight w:val="209"/>
        </w:trPr>
        <w:tc>
          <w:tcPr>
            <w:tcW w:w="78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Power and Fuel</w:t>
            </w:r>
          </w:p>
        </w:tc>
        <w:tc>
          <w:tcPr>
            <w:tcW w:w="40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4,269</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2,877</w:t>
            </w:r>
          </w:p>
        </w:tc>
        <w:tc>
          <w:tcPr>
            <w:tcW w:w="100" w:type="dxa"/>
            <w:vAlign w:val="bottom"/>
          </w:tcPr>
          <w:p>
            <w:pPr>
              <w:spacing w:after="0"/>
              <w:rPr>
                <w:sz w:val="18"/>
                <w:szCs w:val="18"/>
                <w:color w:val="auto"/>
              </w:rPr>
            </w:pPr>
          </w:p>
        </w:tc>
      </w:tr>
      <w:tr>
        <w:trPr>
          <w:trHeight w:val="210"/>
        </w:trPr>
        <w:tc>
          <w:tcPr>
            <w:tcW w:w="78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w:t>
            </w:r>
          </w:p>
        </w:tc>
        <w:tc>
          <w:tcPr>
            <w:tcW w:w="40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1,882</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1,172</w:t>
            </w:r>
          </w:p>
        </w:tc>
        <w:tc>
          <w:tcPr>
            <w:tcW w:w="100" w:type="dxa"/>
            <w:vAlign w:val="bottom"/>
          </w:tcPr>
          <w:p>
            <w:pPr>
              <w:spacing w:after="0"/>
              <w:rPr>
                <w:sz w:val="18"/>
                <w:szCs w:val="18"/>
                <w:color w:val="auto"/>
              </w:rPr>
            </w:pPr>
          </w:p>
        </w:tc>
      </w:tr>
      <w:tr>
        <w:trPr>
          <w:trHeight w:val="209"/>
        </w:trPr>
        <w:tc>
          <w:tcPr>
            <w:tcW w:w="78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Legal and Professional</w:t>
            </w:r>
          </w:p>
        </w:tc>
        <w:tc>
          <w:tcPr>
            <w:tcW w:w="40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8"/>
                <w:szCs w:val="18"/>
                <w:color w:val="auto"/>
              </w:rPr>
            </w:pPr>
          </w:p>
        </w:tc>
      </w:tr>
      <w:tr>
        <w:trPr>
          <w:trHeight w:val="210"/>
        </w:trPr>
        <w:tc>
          <w:tcPr>
            <w:tcW w:w="78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and Use Tax</w:t>
            </w:r>
          </w:p>
        </w:tc>
        <w:tc>
          <w:tcPr>
            <w:tcW w:w="40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1,362</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r>
      <w:tr>
        <w:trPr>
          <w:trHeight w:val="240"/>
        </w:trPr>
        <w:tc>
          <w:tcPr>
            <w:tcW w:w="78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w:t>
            </w:r>
          </w:p>
        </w:tc>
        <w:tc>
          <w:tcPr>
            <w:tcW w:w="40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5,579</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700" w:type="dxa"/>
            <w:vAlign w:val="bottom"/>
            <w:tcBorders>
              <w:bottom w:val="single" w:sz="8" w:color="004483"/>
            </w:tcBorders>
          </w:tcPr>
          <w:p>
            <w:pPr>
              <w:spacing w:after="0"/>
              <w:rPr>
                <w:sz w:val="20"/>
                <w:szCs w:val="20"/>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6,729</w:t>
            </w:r>
          </w:p>
        </w:tc>
        <w:tc>
          <w:tcPr>
            <w:tcW w:w="100" w:type="dxa"/>
            <w:vAlign w:val="bottom"/>
          </w:tcPr>
          <w:p>
            <w:pPr>
              <w:spacing w:after="0"/>
              <w:rPr>
                <w:sz w:val="20"/>
                <w:szCs w:val="20"/>
                <w:color w:val="auto"/>
              </w:rPr>
            </w:pPr>
          </w:p>
        </w:tc>
      </w:tr>
      <w:tr>
        <w:trPr>
          <w:trHeight w:val="209"/>
        </w:trPr>
        <w:tc>
          <w:tcPr>
            <w:tcW w:w="782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83,759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86,754</w:t>
            </w:r>
          </w:p>
        </w:tc>
        <w:tc>
          <w:tcPr>
            <w:tcW w:w="10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(H) LEASES</w:t>
      </w:r>
    </w:p>
    <w:p>
      <w:pPr>
        <w:spacing w:after="0" w:line="12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lease certain real estate, buildings, and equipment. Certain of these leases contain escalations of rent over the term of the lease, as well as options for us to extend the term of the lease at the end of the original term. These extensions range from periods of one to 20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which are not recorded on the balance sheet.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Pr>
          <w:p>
            <w:pPr>
              <w:spacing w:after="0"/>
              <w:rPr>
                <w:sz w:val="21"/>
                <w:szCs w:val="21"/>
                <w:color w:val="auto"/>
              </w:rPr>
            </w:pPr>
          </w:p>
        </w:tc>
        <w:tc>
          <w:tcPr>
            <w:tcW w:w="120" w:type="dxa"/>
            <w:vAlign w:val="bottom"/>
            <w:tcBorders>
              <w:bottom w:val="single" w:sz="8" w:color="004483"/>
            </w:tcBorders>
            <w:shd w:val="clear" w:color="auto" w:fill="004483"/>
          </w:tcPr>
          <w:p>
            <w:pPr>
              <w:spacing w:after="0"/>
              <w:rPr>
                <w:sz w:val="21"/>
                <w:szCs w:val="21"/>
                <w:color w:val="auto"/>
              </w:rPr>
            </w:pPr>
          </w:p>
        </w:tc>
        <w:tc>
          <w:tcPr>
            <w:tcW w:w="2840" w:type="dxa"/>
            <w:vAlign w:val="bottom"/>
            <w:tcBorders>
              <w:bottom w:val="single" w:sz="8" w:color="004483"/>
            </w:tcBorders>
            <w:gridSpan w:val="7"/>
            <w:shd w:val="clear" w:color="auto" w:fill="004483"/>
          </w:tcPr>
          <w:p>
            <w:pPr>
              <w:ind w:left="20"/>
              <w:spacing w:after="0"/>
              <w:rPr>
                <w:sz w:val="20"/>
                <w:szCs w:val="20"/>
                <w:color w:val="auto"/>
              </w:rPr>
            </w:pPr>
            <w:r>
              <w:rPr>
                <w:rFonts w:ascii="Arial" w:cs="Arial" w:eastAsia="Arial" w:hAnsi="Arial"/>
                <w:sz w:val="13"/>
                <w:szCs w:val="13"/>
                <w:b w:val="1"/>
                <w:bCs w:val="1"/>
                <w:color w:val="FFFFFF"/>
              </w:rPr>
              <w:t>For the Three Months Ended December 31,</w:t>
            </w:r>
          </w:p>
        </w:tc>
        <w:tc>
          <w:tcPr>
            <w:tcW w:w="120" w:type="dxa"/>
            <w:vAlign w:val="bottom"/>
          </w:tcPr>
          <w:p>
            <w:pPr>
              <w:spacing w:after="0"/>
              <w:rPr>
                <w:sz w:val="21"/>
                <w:szCs w:val="21"/>
                <w:color w:val="auto"/>
              </w:rPr>
            </w:pPr>
          </w:p>
        </w:tc>
        <w:tc>
          <w:tcPr>
            <w:tcW w:w="120" w:type="dxa"/>
            <w:vAlign w:val="bottom"/>
            <w:tcBorders>
              <w:bottom w:val="single" w:sz="8" w:color="004483"/>
            </w:tcBorders>
            <w:shd w:val="clear" w:color="auto" w:fill="004483"/>
          </w:tcPr>
          <w:p>
            <w:pPr>
              <w:spacing w:after="0"/>
              <w:rPr>
                <w:sz w:val="21"/>
                <w:szCs w:val="21"/>
                <w:color w:val="auto"/>
              </w:rPr>
            </w:pPr>
          </w:p>
        </w:tc>
        <w:tc>
          <w:tcPr>
            <w:tcW w:w="2740" w:type="dxa"/>
            <w:vAlign w:val="bottom"/>
            <w:tcBorders>
              <w:bottom w:val="single" w:sz="8" w:color="004483"/>
            </w:tcBorders>
            <w:gridSpan w:val="6"/>
            <w:shd w:val="clear" w:color="auto" w:fill="004483"/>
          </w:tcPr>
          <w:p>
            <w:pPr>
              <w:spacing w:after="0"/>
              <w:rPr>
                <w:sz w:val="20"/>
                <w:szCs w:val="20"/>
                <w:color w:val="auto"/>
              </w:rPr>
            </w:pPr>
            <w:r>
              <w:rPr>
                <w:rFonts w:ascii="Arial" w:cs="Arial" w:eastAsia="Arial" w:hAnsi="Arial"/>
                <w:sz w:val="13"/>
                <w:szCs w:val="13"/>
                <w:b w:val="1"/>
                <w:bCs w:val="1"/>
                <w:color w:val="FFFFFF"/>
              </w:rPr>
              <w:t>For the Nine Months Ended December 31,</w:t>
            </w:r>
          </w:p>
        </w:tc>
      </w:tr>
      <w:tr>
        <w:trPr>
          <w:trHeight w:val="161"/>
        </w:trPr>
        <w:tc>
          <w:tcPr>
            <w:tcW w:w="5300" w:type="dxa"/>
            <w:vAlign w:val="bottom"/>
          </w:tcPr>
          <w:p>
            <w:pPr>
              <w:spacing w:after="0"/>
              <w:rPr>
                <w:sz w:val="14"/>
                <w:szCs w:val="14"/>
                <w:color w:val="auto"/>
              </w:rPr>
            </w:pPr>
          </w:p>
        </w:tc>
        <w:tc>
          <w:tcPr>
            <w:tcW w:w="120" w:type="dxa"/>
            <w:vAlign w:val="bottom"/>
            <w:tcBorders>
              <w:top w:val="single" w:sz="8" w:color="A6A6A6"/>
            </w:tcBorders>
          </w:tcPr>
          <w:p>
            <w:pPr>
              <w:spacing w:after="0"/>
              <w:rPr>
                <w:sz w:val="14"/>
                <w:szCs w:val="14"/>
                <w:color w:val="auto"/>
              </w:rPr>
            </w:pPr>
          </w:p>
        </w:tc>
        <w:tc>
          <w:tcPr>
            <w:tcW w:w="1140" w:type="dxa"/>
            <w:vAlign w:val="bottom"/>
            <w:tcBorders>
              <w:top w:val="single" w:sz="8" w:color="A6A6A6"/>
            </w:tcBorders>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6A6A6"/>
            </w:tcBorders>
          </w:tcPr>
          <w:p>
            <w:pPr>
              <w:spacing w:after="0"/>
              <w:rPr>
                <w:sz w:val="14"/>
                <w:szCs w:val="14"/>
                <w:color w:val="auto"/>
              </w:rPr>
            </w:pPr>
          </w:p>
        </w:tc>
        <w:tc>
          <w:tcPr>
            <w:tcW w:w="1120" w:type="dxa"/>
            <w:vAlign w:val="bottom"/>
            <w:tcBorders>
              <w:top w:val="single" w:sz="8" w:color="A6A6A6"/>
            </w:tcBorders>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77"/>
        </w:trPr>
        <w:tc>
          <w:tcPr>
            <w:tcW w:w="53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680" w:type="dxa"/>
            <w:vAlign w:val="bottom"/>
            <w:tcBorders>
              <w:bottom w:val="single" w:sz="8" w:color="004483"/>
            </w:tcBorders>
          </w:tcPr>
          <w:p>
            <w:pPr>
              <w:spacing w:after="0"/>
              <w:rPr>
                <w:sz w:val="15"/>
                <w:szCs w:val="15"/>
                <w:color w:val="auto"/>
              </w:rPr>
            </w:pPr>
          </w:p>
        </w:tc>
        <w:tc>
          <w:tcPr>
            <w:tcW w:w="2120" w:type="dxa"/>
            <w:vAlign w:val="bottom"/>
            <w:tcBorders>
              <w:bottom w:val="single" w:sz="8" w:color="004483"/>
            </w:tcBorders>
            <w:gridSpan w:val="6"/>
          </w:tcPr>
          <w:p>
            <w:pPr>
              <w:jc w:val="right"/>
              <w:ind w:right="730"/>
              <w:spacing w:after="0"/>
              <w:rPr>
                <w:sz w:val="20"/>
                <w:szCs w:val="20"/>
                <w:color w:val="auto"/>
              </w:rPr>
            </w:pPr>
            <w:r>
              <w:rPr>
                <w:rFonts w:ascii="Arial" w:cs="Arial" w:eastAsia="Arial" w:hAnsi="Arial"/>
                <w:sz w:val="13"/>
                <w:szCs w:val="13"/>
                <w:color w:val="auto"/>
              </w:rPr>
              <w:t>(dollars in thousands)</w:t>
            </w: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40"/>
        </w:trPr>
        <w:tc>
          <w:tcPr>
            <w:tcW w:w="5300" w:type="dxa"/>
            <w:vAlign w:val="bottom"/>
          </w:tcPr>
          <w:p>
            <w:pPr>
              <w:ind w:left="20"/>
              <w:spacing w:after="0"/>
              <w:rPr>
                <w:sz w:val="20"/>
                <w:szCs w:val="20"/>
                <w:color w:val="auto"/>
              </w:rPr>
            </w:pPr>
            <w:r>
              <w:rPr>
                <w:rFonts w:ascii="Arial" w:cs="Arial" w:eastAsia="Arial" w:hAnsi="Arial"/>
                <w:sz w:val="16"/>
                <w:szCs w:val="16"/>
                <w:color w:val="004483"/>
              </w:rPr>
              <w:t>Operating Lease Cost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1,953</w:t>
            </w:r>
          </w:p>
        </w:tc>
        <w:tc>
          <w:tcPr>
            <w:tcW w:w="940" w:type="dxa"/>
            <w:vAlign w:val="bottom"/>
            <w:gridSpan w:val="3"/>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5,351</w:t>
            </w:r>
          </w:p>
        </w:tc>
        <w:tc>
          <w:tcPr>
            <w:tcW w:w="680" w:type="dxa"/>
            <w:vAlign w:val="bottom"/>
            <w:gridSpan w:val="3"/>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4,592</w:t>
            </w:r>
          </w:p>
        </w:tc>
        <w:tc>
          <w:tcPr>
            <w:tcW w:w="100" w:type="dxa"/>
            <w:vAlign w:val="bottom"/>
          </w:tcPr>
          <w:p>
            <w:pPr>
              <w:spacing w:after="0"/>
              <w:rPr>
                <w:sz w:val="20"/>
                <w:szCs w:val="20"/>
                <w:color w:val="auto"/>
              </w:rPr>
            </w:pPr>
          </w:p>
        </w:tc>
      </w:tr>
      <w:tr>
        <w:trPr>
          <w:trHeight w:val="239"/>
        </w:trPr>
        <w:tc>
          <w:tcPr>
            <w:tcW w:w="53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Short-term Lease Cost</w:t>
            </w:r>
          </w:p>
        </w:tc>
        <w:tc>
          <w:tcPr>
            <w:tcW w:w="120" w:type="dxa"/>
            <w:vAlign w:val="bottom"/>
            <w:tcBorders>
              <w:top w:val="single" w:sz="8" w:color="A6A6A6"/>
              <w:bottom w:val="single" w:sz="8" w:color="004483"/>
            </w:tcBorders>
          </w:tcPr>
          <w:p>
            <w:pPr>
              <w:spacing w:after="0"/>
              <w:rPr>
                <w:sz w:val="20"/>
                <w:szCs w:val="20"/>
                <w:color w:val="auto"/>
              </w:rPr>
            </w:pPr>
          </w:p>
        </w:tc>
        <w:tc>
          <w:tcPr>
            <w:tcW w:w="11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680" w:type="dxa"/>
            <w:vAlign w:val="bottom"/>
            <w:tcBorders>
              <w:top w:val="single" w:sz="8" w:color="A6A6A6"/>
              <w:bottom w:val="single" w:sz="8" w:color="004483"/>
            </w:tcBorders>
          </w:tcPr>
          <w:p>
            <w:pPr>
              <w:spacing w:after="0"/>
              <w:rPr>
                <w:sz w:val="20"/>
                <w:szCs w:val="20"/>
                <w:color w:val="auto"/>
              </w:rPr>
            </w:pPr>
          </w:p>
        </w:tc>
        <w:tc>
          <w:tcPr>
            <w:tcW w:w="640" w:type="dxa"/>
            <w:vAlign w:val="bottom"/>
            <w:tcBorders>
              <w:top w:val="single" w:sz="8" w:color="A6A6A6"/>
              <w:bottom w:val="single" w:sz="8" w:color="004483"/>
            </w:tcBorders>
            <w:gridSpan w:val="2"/>
          </w:tcPr>
          <w:p>
            <w:pPr>
              <w:jc w:val="right"/>
              <w:ind w:right="20"/>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20" w:type="dxa"/>
            <w:vAlign w:val="bottom"/>
            <w:tcBorders>
              <w:top w:val="single" w:sz="8" w:color="A6A6A6"/>
              <w:bottom w:val="single" w:sz="8" w:color="004483"/>
            </w:tcBorders>
          </w:tcPr>
          <w:p>
            <w:pPr>
              <w:spacing w:after="0"/>
              <w:rPr>
                <w:sz w:val="20"/>
                <w:szCs w:val="20"/>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460" w:type="dxa"/>
            <w:vAlign w:val="bottom"/>
            <w:tcBorders>
              <w:top w:val="single" w:sz="8" w:color="A6A6A6"/>
              <w:bottom w:val="single" w:sz="8" w:color="004483"/>
            </w:tcBorders>
          </w:tcPr>
          <w:p>
            <w:pPr>
              <w:spacing w:after="0"/>
              <w:rPr>
                <w:sz w:val="20"/>
                <w:szCs w:val="20"/>
                <w:color w:val="auto"/>
              </w:rPr>
            </w:pPr>
          </w:p>
        </w:tc>
        <w:tc>
          <w:tcPr>
            <w:tcW w:w="8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20"/>
                <w:szCs w:val="20"/>
                <w:color w:val="auto"/>
              </w:rPr>
            </w:pPr>
          </w:p>
        </w:tc>
      </w:tr>
      <w:tr>
        <w:trPr>
          <w:trHeight w:val="209"/>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Total Lease Cost</w:t>
            </w: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2,088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004483"/>
            </w:tcBorders>
            <w:gridSpan w:val="2"/>
          </w:tcPr>
          <w:p>
            <w:pPr>
              <w:jc w:val="right"/>
              <w:ind w:right="20"/>
              <w:spacing w:after="0"/>
              <w:rPr>
                <w:sz w:val="20"/>
                <w:szCs w:val="20"/>
                <w:color w:val="auto"/>
              </w:rPr>
            </w:pPr>
            <w:r>
              <w:rPr>
                <w:rFonts w:ascii="Arial" w:cs="Arial" w:eastAsia="Arial" w:hAnsi="Arial"/>
                <w:sz w:val="16"/>
                <w:szCs w:val="16"/>
                <w:b w:val="1"/>
                <w:bCs w:val="1"/>
                <w:color w:val="auto"/>
              </w:rPr>
              <w:t>1,745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5,761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5,636</w:t>
            </w:r>
          </w:p>
        </w:tc>
        <w:tc>
          <w:tcPr>
            <w:tcW w:w="10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7500" w:type="dxa"/>
            <w:vAlign w:val="bottom"/>
            <w:gridSpan w:val="6"/>
          </w:tcPr>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r>
      <w:tr>
        <w:trPr>
          <w:trHeight w:val="243"/>
        </w:trPr>
        <w:tc>
          <w:tcPr>
            <w:tcW w:w="5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shd w:val="clear" w:color="auto" w:fill="004483"/>
          </w:tcPr>
          <w:p>
            <w:pPr>
              <w:spacing w:after="0"/>
              <w:rPr>
                <w:sz w:val="21"/>
                <w:szCs w:val="21"/>
                <w:color w:val="auto"/>
              </w:rPr>
            </w:pPr>
          </w:p>
        </w:tc>
        <w:tc>
          <w:tcPr>
            <w:tcW w:w="120" w:type="dxa"/>
            <w:vAlign w:val="bottom"/>
            <w:shd w:val="clear" w:color="auto" w:fill="004483"/>
          </w:tcPr>
          <w:p>
            <w:pPr>
              <w:spacing w:after="0"/>
              <w:rPr>
                <w:sz w:val="21"/>
                <w:szCs w:val="21"/>
                <w:color w:val="auto"/>
              </w:rPr>
            </w:pPr>
          </w:p>
        </w:tc>
        <w:tc>
          <w:tcPr>
            <w:tcW w:w="120" w:type="dxa"/>
            <w:vAlign w:val="bottom"/>
            <w:shd w:val="clear" w:color="auto" w:fill="004483"/>
          </w:tcPr>
          <w:p>
            <w:pPr>
              <w:spacing w:after="0"/>
              <w:rPr>
                <w:sz w:val="21"/>
                <w:szCs w:val="21"/>
                <w:color w:val="auto"/>
              </w:rPr>
            </w:pPr>
          </w:p>
        </w:tc>
        <w:tc>
          <w:tcPr>
            <w:tcW w:w="120" w:type="dxa"/>
            <w:vAlign w:val="bottom"/>
            <w:shd w:val="clear" w:color="auto" w:fill="004483"/>
          </w:tcPr>
          <w:p>
            <w:pPr>
              <w:spacing w:after="0"/>
              <w:rPr>
                <w:sz w:val="21"/>
                <w:szCs w:val="21"/>
                <w:color w:val="auto"/>
              </w:rPr>
            </w:pPr>
          </w:p>
        </w:tc>
        <w:tc>
          <w:tcPr>
            <w:tcW w:w="1120" w:type="dxa"/>
            <w:vAlign w:val="bottom"/>
            <w:shd w:val="clear" w:color="auto" w:fill="004483"/>
          </w:tcPr>
          <w:p>
            <w:pPr>
              <w:jc w:val="right"/>
              <w:ind w:right="190"/>
              <w:spacing w:after="0"/>
              <w:rPr>
                <w:sz w:val="20"/>
                <w:szCs w:val="20"/>
                <w:color w:val="auto"/>
              </w:rPr>
            </w:pPr>
            <w:r>
              <w:rPr>
                <w:rFonts w:ascii="Arial" w:cs="Arial" w:eastAsia="Arial" w:hAnsi="Arial"/>
                <w:sz w:val="13"/>
                <w:szCs w:val="13"/>
                <w:b w:val="1"/>
                <w:bCs w:val="1"/>
                <w:color w:val="FFFFFF"/>
                <w:w w:val="99"/>
              </w:rPr>
              <w:t>December 31,</w:t>
            </w:r>
          </w:p>
        </w:tc>
        <w:tc>
          <w:tcPr>
            <w:tcW w:w="100" w:type="dxa"/>
            <w:vAlign w:val="bottom"/>
            <w:shd w:val="clear" w:color="auto" w:fill="004483"/>
          </w:tcPr>
          <w:p>
            <w:pPr>
              <w:spacing w:after="0"/>
              <w:rPr>
                <w:sz w:val="21"/>
                <w:szCs w:val="21"/>
                <w:color w:val="auto"/>
              </w:rPr>
            </w:pPr>
          </w:p>
        </w:tc>
        <w:tc>
          <w:tcPr>
            <w:tcW w:w="120" w:type="dxa"/>
            <w:vAlign w:val="bottom"/>
            <w:shd w:val="clear" w:color="auto" w:fill="004483"/>
          </w:tcPr>
          <w:p>
            <w:pPr>
              <w:spacing w:after="0"/>
              <w:rPr>
                <w:sz w:val="21"/>
                <w:szCs w:val="21"/>
                <w:color w:val="auto"/>
              </w:rPr>
            </w:pPr>
          </w:p>
        </w:tc>
        <w:tc>
          <w:tcPr>
            <w:tcW w:w="460" w:type="dxa"/>
            <w:vAlign w:val="bottom"/>
            <w:shd w:val="clear" w:color="auto" w:fill="004483"/>
          </w:tcPr>
          <w:p>
            <w:pPr>
              <w:spacing w:after="0"/>
              <w:rPr>
                <w:sz w:val="21"/>
                <w:szCs w:val="21"/>
                <w:color w:val="auto"/>
              </w:rPr>
            </w:pPr>
          </w:p>
        </w:tc>
        <w:tc>
          <w:tcPr>
            <w:tcW w:w="940" w:type="dxa"/>
            <w:vAlign w:val="bottom"/>
            <w:gridSpan w:val="2"/>
            <w:shd w:val="clear" w:color="auto" w:fill="004483"/>
          </w:tcPr>
          <w:p>
            <w:pPr>
              <w:ind w:left="240"/>
              <w:spacing w:after="0"/>
              <w:rPr>
                <w:sz w:val="20"/>
                <w:szCs w:val="20"/>
                <w:color w:val="auto"/>
              </w:rPr>
            </w:pPr>
            <w:r>
              <w:rPr>
                <w:rFonts w:ascii="Arial" w:cs="Arial" w:eastAsia="Arial" w:hAnsi="Arial"/>
                <w:sz w:val="13"/>
                <w:szCs w:val="13"/>
                <w:b w:val="1"/>
                <w:bCs w:val="1"/>
                <w:color w:val="FFFFFF"/>
              </w:rPr>
              <w:t>March 31,</w:t>
            </w: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9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77"/>
        </w:trPr>
        <w:tc>
          <w:tcPr>
            <w:tcW w:w="53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68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00" w:type="dxa"/>
            <w:vAlign w:val="bottom"/>
            <w:tcBorders>
              <w:bottom w:val="single" w:sz="8" w:color="004483"/>
            </w:tcBorders>
            <w:gridSpan w:val="4"/>
          </w:tcPr>
          <w:p>
            <w:pPr>
              <w:jc w:val="right"/>
              <w:ind w:right="139"/>
              <w:spacing w:after="0"/>
              <w:rPr>
                <w:sz w:val="20"/>
                <w:szCs w:val="20"/>
                <w:color w:val="auto"/>
              </w:rPr>
            </w:pPr>
            <w:r>
              <w:rPr>
                <w:rFonts w:ascii="Arial" w:cs="Arial" w:eastAsia="Arial" w:hAnsi="Arial"/>
                <w:sz w:val="13"/>
                <w:szCs w:val="13"/>
                <w:color w:val="auto"/>
              </w:rPr>
              <w:t>(dollars in thousands)</w:t>
            </w:r>
          </w:p>
        </w:tc>
        <w:tc>
          <w:tcPr>
            <w:tcW w:w="8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80"/>
          </w:cols>
          <w:pgMar w:left="320" w:top="463" w:right="29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Borders>
              <w:top w:val="single" w:sz="8" w:color="A6A6A6"/>
            </w:tcBorders>
          </w:tcPr>
          <w:p>
            <w:pPr>
              <w:ind w:left="120"/>
              <w:spacing w:after="0"/>
              <w:rPr>
                <w:sz w:val="20"/>
                <w:szCs w:val="20"/>
                <w:color w:val="auto"/>
              </w:rPr>
            </w:pPr>
            <w:r>
              <w:rPr>
                <w:rFonts w:ascii="Arial" w:cs="Arial" w:eastAsia="Arial" w:hAnsi="Arial"/>
                <w:sz w:val="16"/>
                <w:szCs w:val="16"/>
                <w:color w:val="004483"/>
              </w:rPr>
              <w:t>Operating Lease Right-of-Use Assets</w:t>
            </w:r>
          </w:p>
        </w:tc>
        <w:tc>
          <w:tcPr>
            <w:tcW w:w="560" w:type="dxa"/>
            <w:vAlign w:val="bottom"/>
            <w:tcBorders>
              <w:top w:val="single" w:sz="8" w:color="A6A6A6"/>
              <w:bottom w:val="single" w:sz="8" w:color="004483"/>
            </w:tcBorders>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20,651</w:t>
            </w:r>
          </w:p>
        </w:tc>
      </w:tr>
      <w:tr>
        <w:trPr>
          <w:trHeight w:val="20"/>
        </w:trPr>
        <w:tc>
          <w:tcPr>
            <w:tcW w:w="782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r>
        <w:trPr>
          <w:trHeight w:val="199"/>
        </w:trPr>
        <w:tc>
          <w:tcPr>
            <w:tcW w:w="782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r>
      <w:tr>
        <w:trPr>
          <w:trHeight w:val="207"/>
        </w:trPr>
        <w:tc>
          <w:tcPr>
            <w:tcW w:w="78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Current Operating Lease Liabilities</w:t>
            </w:r>
          </w:p>
        </w:tc>
        <w:tc>
          <w:tcPr>
            <w:tcW w:w="560" w:type="dxa"/>
            <w:vAlign w:val="bottom"/>
            <w:tcBorders>
              <w:bottom w:val="single" w:sz="8" w:color="A6A6A6"/>
            </w:tcBorders>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6,006</w:t>
            </w:r>
          </w:p>
        </w:tc>
      </w:tr>
      <w:tr>
        <w:trPr>
          <w:trHeight w:val="239"/>
        </w:trPr>
        <w:tc>
          <w:tcPr>
            <w:tcW w:w="78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Noncurrent Operating Lease Liabilities</w:t>
            </w:r>
          </w:p>
        </w:tc>
        <w:tc>
          <w:tcPr>
            <w:tcW w:w="56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25,398</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Total Operating Lease Liabilities</w:t>
            </w:r>
          </w:p>
        </w:tc>
        <w:tc>
          <w:tcPr>
            <w:tcW w:w="560" w:type="dxa"/>
            <w:vAlign w:val="bottom"/>
            <w:tcBorders>
              <w:bottom w:val="single" w:sz="8" w:color="004483"/>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31,404</w:t>
            </w:r>
          </w:p>
        </w:tc>
      </w:tr>
      <w:tr>
        <w:trPr>
          <w:trHeight w:val="20"/>
        </w:trPr>
        <w:tc>
          <w:tcPr>
            <w:tcW w:w="7820" w:type="dxa"/>
            <w:vAlign w:val="bottom"/>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for operating leases are as follows (dollars in thousands):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Fiscal Year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000" w:hanging="1000"/>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23,856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-134620</wp:posOffset>
            </wp:positionV>
            <wp:extent cx="10541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10795</wp:posOffset>
            </wp:positionV>
            <wp:extent cx="105410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54100" cy="26035"/>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173355</wp:posOffset>
            </wp:positionV>
            <wp:extent cx="10541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82" w:lineRule="exact"/>
        <w:rPr>
          <w:sz w:val="20"/>
          <w:szCs w:val="20"/>
          <w:color w:val="auto"/>
        </w:rPr>
      </w:pPr>
    </w:p>
    <w:p>
      <w:pPr>
        <w:ind w:left="1100" w:hanging="1100"/>
        <w:spacing w:after="0"/>
        <w:tabs>
          <w:tab w:leader="none" w:pos="11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7,118</w:t>
      </w:r>
    </w:p>
    <w:p>
      <w:pPr>
        <w:spacing w:after="0" w:line="57"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6"/>
          <w:szCs w:val="16"/>
          <w:color w:val="auto"/>
        </w:rPr>
        <w:t>29,212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-134620</wp:posOffset>
            </wp:positionV>
            <wp:extent cx="10541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10795</wp:posOffset>
            </wp:positionV>
            <wp:extent cx="105410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54100" cy="25400"/>
                    </a:xfrm>
                    <a:prstGeom prst="rect">
                      <a:avLst/>
                    </a:prstGeom>
                    <a:noFill/>
                  </pic:spPr>
                </pic:pic>
              </a:graphicData>
            </a:graphic>
          </wp:anchor>
        </w:drawing>
      </w:r>
    </w:p>
    <w:p>
      <w:pPr>
        <w:spacing w:after="0" w:line="33" w:lineRule="exact"/>
        <w:rPr>
          <w:sz w:val="20"/>
          <w:szCs w:val="20"/>
          <w:color w:val="auto"/>
        </w:rPr>
      </w:pPr>
    </w:p>
    <w:p>
      <w:pPr>
        <w:ind w:left="1000" w:hanging="1000"/>
        <w:spacing w:after="0"/>
        <w:tabs>
          <w:tab w:leader="none" w:pos="10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36,330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9683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40640</wp:posOffset>
            </wp:positionV>
            <wp:extent cx="9683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right"/>
        <w:ind w:right="160"/>
        <w:spacing w:after="0"/>
        <w:rPr>
          <w:sz w:val="20"/>
          <w:szCs w:val="20"/>
          <w:color w:val="auto"/>
        </w:rPr>
      </w:pPr>
      <w:r>
        <w:rPr>
          <w:rFonts w:ascii="Arial" w:cs="Arial" w:eastAsia="Arial" w:hAnsi="Arial"/>
          <w:sz w:val="13"/>
          <w:szCs w:val="13"/>
          <w:b w:val="1"/>
          <w:bCs w:val="1"/>
          <w:color w:val="auto"/>
        </w:rPr>
        <w:t>Amount</w:t>
      </w:r>
    </w:p>
    <w:p>
      <w:pPr>
        <w:spacing w:after="0" w:line="17" w:lineRule="exact"/>
        <w:rPr>
          <w:sz w:val="20"/>
          <w:szCs w:val="20"/>
          <w:color w:val="auto"/>
        </w:rPr>
      </w:pPr>
    </w:p>
    <w:p>
      <w:pPr>
        <w:sectPr>
          <w:pgSz w:w="11900" w:h="16838" w:orient="portrait"/>
          <w:cols w:equalWidth="0" w:num="2">
            <w:col w:w="9360" w:space="260"/>
            <w:col w:w="1660"/>
          </w:cols>
          <w:pgMar w:left="320" w:top="463" w:right="29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91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2023 (remaining three months)</w:t>
            </w:r>
          </w:p>
        </w:tc>
        <w:tc>
          <w:tcPr>
            <w:tcW w:w="780" w:type="dxa"/>
            <w:vAlign w:val="bottom"/>
            <w:tcBorders>
              <w:top w:val="single" w:sz="8" w:color="004483"/>
              <w:bottom w:val="single" w:sz="8" w:color="A6A6A6"/>
            </w:tcBorders>
          </w:tcPr>
          <w:p>
            <w:pPr>
              <w:jc w:val="right"/>
              <w:ind w:right="5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2,043</w:t>
            </w:r>
          </w:p>
        </w:tc>
        <w:tc>
          <w:tcPr>
            <w:tcW w:w="140" w:type="dxa"/>
            <w:vAlign w:val="bottom"/>
          </w:tcPr>
          <w:p>
            <w:pPr>
              <w:spacing w:after="0"/>
              <w:rPr>
                <w:sz w:val="18"/>
                <w:szCs w:val="18"/>
                <w:color w:val="auto"/>
              </w:rPr>
            </w:pPr>
          </w:p>
        </w:tc>
      </w:tr>
      <w:tr>
        <w:trPr>
          <w:trHeight w:val="209"/>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2024</w:t>
            </w:r>
          </w:p>
        </w:tc>
        <w:tc>
          <w:tcPr>
            <w:tcW w:w="78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6,363</w:t>
            </w:r>
          </w:p>
        </w:tc>
        <w:tc>
          <w:tcPr>
            <w:tcW w:w="140" w:type="dxa"/>
            <w:vAlign w:val="bottom"/>
          </w:tcPr>
          <w:p>
            <w:pPr>
              <w:spacing w:after="0"/>
              <w:rPr>
                <w:sz w:val="18"/>
                <w:szCs w:val="18"/>
                <w:color w:val="auto"/>
              </w:rPr>
            </w:pPr>
          </w:p>
        </w:tc>
      </w:tr>
      <w:tr>
        <w:trPr>
          <w:trHeight w:val="210"/>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2025</w:t>
            </w:r>
          </w:p>
        </w:tc>
        <w:tc>
          <w:tcPr>
            <w:tcW w:w="78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5,916</w:t>
            </w:r>
          </w:p>
        </w:tc>
        <w:tc>
          <w:tcPr>
            <w:tcW w:w="140" w:type="dxa"/>
            <w:vAlign w:val="bottom"/>
          </w:tcPr>
          <w:p>
            <w:pPr>
              <w:spacing w:after="0"/>
              <w:rPr>
                <w:sz w:val="18"/>
                <w:szCs w:val="18"/>
                <w:color w:val="auto"/>
              </w:rPr>
            </w:pPr>
          </w:p>
        </w:tc>
      </w:tr>
      <w:tr>
        <w:trPr>
          <w:trHeight w:val="209"/>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2026</w:t>
            </w:r>
          </w:p>
        </w:tc>
        <w:tc>
          <w:tcPr>
            <w:tcW w:w="78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4,279</w:t>
            </w:r>
          </w:p>
        </w:tc>
        <w:tc>
          <w:tcPr>
            <w:tcW w:w="140" w:type="dxa"/>
            <w:vAlign w:val="bottom"/>
          </w:tcPr>
          <w:p>
            <w:pPr>
              <w:spacing w:after="0"/>
              <w:rPr>
                <w:sz w:val="18"/>
                <w:szCs w:val="18"/>
                <w:color w:val="auto"/>
              </w:rPr>
            </w:pPr>
          </w:p>
        </w:tc>
      </w:tr>
      <w:tr>
        <w:trPr>
          <w:trHeight w:val="209"/>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2027</w:t>
            </w:r>
          </w:p>
        </w:tc>
        <w:tc>
          <w:tcPr>
            <w:tcW w:w="78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3,540</w:t>
            </w:r>
          </w:p>
        </w:tc>
        <w:tc>
          <w:tcPr>
            <w:tcW w:w="140" w:type="dxa"/>
            <w:vAlign w:val="bottom"/>
          </w:tcPr>
          <w:p>
            <w:pPr>
              <w:spacing w:after="0"/>
              <w:rPr>
                <w:sz w:val="18"/>
                <w:szCs w:val="18"/>
                <w:color w:val="auto"/>
              </w:rPr>
            </w:pPr>
          </w:p>
        </w:tc>
      </w:tr>
      <w:tr>
        <w:trPr>
          <w:trHeight w:val="240"/>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Thereafter</w:t>
            </w:r>
          </w:p>
        </w:tc>
        <w:tc>
          <w:tcPr>
            <w:tcW w:w="780" w:type="dxa"/>
            <w:vAlign w:val="bottom"/>
            <w:tcBorders>
              <w:bottom w:val="single" w:sz="8" w:color="004483"/>
            </w:tcBorders>
          </w:tcPr>
          <w:p>
            <w:pPr>
              <w:spacing w:after="0"/>
              <w:rPr>
                <w:sz w:val="20"/>
                <w:szCs w:val="20"/>
                <w:color w:val="auto"/>
              </w:rPr>
            </w:pPr>
          </w:p>
        </w:tc>
        <w:tc>
          <w:tcPr>
            <w:tcW w:w="1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16,934</w:t>
            </w:r>
          </w:p>
        </w:tc>
        <w:tc>
          <w:tcPr>
            <w:tcW w:w="140" w:type="dxa"/>
            <w:vAlign w:val="bottom"/>
          </w:tcPr>
          <w:p>
            <w:pPr>
              <w:spacing w:after="0"/>
              <w:rPr>
                <w:sz w:val="20"/>
                <w:szCs w:val="20"/>
                <w:color w:val="auto"/>
              </w:rPr>
            </w:pPr>
          </w:p>
        </w:tc>
      </w:tr>
      <w:tr>
        <w:trPr>
          <w:trHeight w:val="209"/>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Lease Payments</w:t>
            </w:r>
          </w:p>
        </w:tc>
        <w:tc>
          <w:tcPr>
            <w:tcW w:w="780" w:type="dxa"/>
            <w:vAlign w:val="bottom"/>
            <w:tcBorders>
              <w:bottom w:val="single" w:sz="8" w:color="A6A6A6"/>
            </w:tcBorders>
          </w:tcPr>
          <w:p>
            <w:pPr>
              <w:jc w:val="right"/>
              <w:ind w:right="5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39,075</w:t>
            </w:r>
          </w:p>
        </w:tc>
        <w:tc>
          <w:tcPr>
            <w:tcW w:w="140" w:type="dxa"/>
            <w:vAlign w:val="bottom"/>
          </w:tcPr>
          <w:p>
            <w:pPr>
              <w:spacing w:after="0"/>
              <w:rPr>
                <w:sz w:val="18"/>
                <w:szCs w:val="18"/>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6"/>
                <w:szCs w:val="16"/>
                <w:color w:val="004483"/>
              </w:rPr>
              <w:t>Less: Imputed Interest</w:t>
            </w:r>
          </w:p>
        </w:tc>
        <w:tc>
          <w:tcPr>
            <w:tcW w:w="7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(7,671 )</w:t>
            </w:r>
          </w:p>
        </w:tc>
      </w:tr>
      <w:tr>
        <w:trPr>
          <w:trHeight w:val="210"/>
        </w:trPr>
        <w:tc>
          <w:tcPr>
            <w:tcW w:w="918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Present Value of Lease Liabilities</w:t>
            </w:r>
          </w:p>
        </w:tc>
        <w:tc>
          <w:tcPr>
            <w:tcW w:w="780" w:type="dxa"/>
            <w:vAlign w:val="bottom"/>
            <w:tcBorders>
              <w:top w:val="single" w:sz="8" w:color="004483"/>
              <w:bottom w:val="single" w:sz="8" w:color="004483"/>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31,404</w:t>
            </w:r>
          </w:p>
        </w:tc>
        <w:tc>
          <w:tcPr>
            <w:tcW w:w="14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918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spacing w:after="0"/>
              <w:rPr>
                <w:sz w:val="17"/>
                <w:szCs w:val="17"/>
                <w:color w:val="auto"/>
              </w:rPr>
            </w:pPr>
          </w:p>
        </w:tc>
        <w:tc>
          <w:tcPr>
            <w:tcW w:w="118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Remaining Lease Term (in years)</w:t>
            </w:r>
          </w:p>
        </w:tc>
        <w:tc>
          <w:tcPr>
            <w:tcW w:w="78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10.4</w:t>
            </w:r>
          </w:p>
        </w:tc>
        <w:tc>
          <w:tcPr>
            <w:tcW w:w="140" w:type="dxa"/>
            <w:vAlign w:val="bottom"/>
          </w:tcPr>
          <w:p>
            <w:pPr>
              <w:spacing w:after="0"/>
              <w:rPr>
                <w:sz w:val="18"/>
                <w:szCs w:val="18"/>
                <w:color w:val="auto"/>
              </w:rPr>
            </w:pPr>
          </w:p>
        </w:tc>
      </w:tr>
      <w:tr>
        <w:trPr>
          <w:trHeight w:val="210"/>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Discount Rate</w:t>
            </w:r>
          </w:p>
        </w:tc>
        <w:tc>
          <w:tcPr>
            <w:tcW w:w="780" w:type="dxa"/>
            <w:vAlign w:val="bottom"/>
            <w:tcBorders>
              <w:bottom w:val="single" w:sz="8" w:color="A6A6A6"/>
            </w:tcBorders>
          </w:tcPr>
          <w:p>
            <w:pPr>
              <w:spacing w:after="0"/>
              <w:rPr>
                <w:sz w:val="18"/>
                <w:szCs w:val="18"/>
                <w:color w:val="auto"/>
              </w:rPr>
            </w:pPr>
          </w:p>
        </w:tc>
        <w:tc>
          <w:tcPr>
            <w:tcW w:w="1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3.73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4"/>
              </w:rPr>
              <w:t>%</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SHARE-BASED EMPLOYEE COMPENSATION</w:t>
      </w:r>
    </w:p>
    <w:p>
      <w:pPr>
        <w:spacing w:after="0" w:line="12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On August 7, 2013, our stockholders approved the Eagle Materials Inc. Amended and Restated Incentive Plan (the Plan), which increased the shares we are authorized to issue as awards by 3,000,000 (1,500,000 of which may be stock awards). Under the terms of the Plan, we can issue equity awards, including stock options, restricted stock units, restricted stock, and stock appreciation rights, to employees of the Company and members of the Board of Directors. The Compensation Committee of our Board of Directors specifies grant terms for awards under the Plan.</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63" w:right="2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Long-Term Compensation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May 2022, the Compensation Committee of the Board of Directors approved the granting to certain officers and key employees an aggregate of 25,192 performance-vesting stock options that will be earned only if certain performance conditions are satisfied (the Fiscal 2023 Employee Performance Stock Option Award). The performance criteria for the Fiscal 2023 Employee Performance Stock Option Award are based upon the achievement of certain levels of return on equity (as defined in the option agreement), ranging from 10.0% to 20.0%, for the fiscal year ending March 31, 2023. All stock options will be earned if the return on equity is 20.0% or greater, and the percentage of shares earned will be reduced proportionately to approximately 66.7% if the return on equity is 10.0%. If the Company does not achieve a return on equity of at least 10.0%, all granted stock options will be forfeited. Following any such reduction, restrictions on the earned stock options will lapse and the earned options will vest ratably over four years, with the initial fourth vesting promptly following the date on which the return on equity is determined, and the remaining options vesting every March 31 from 2024 through 2026. The stock options have a term of 10 years from the grant date. The Compensation Committee also approved the granting of 20,994 time-vesting stock options to the same officers and key employees, which vest ratably over four years (the Fiscal 2023 Employee Time-Vesting Stock Option Award).</w:t>
      </w:r>
    </w:p>
    <w:p>
      <w:pPr>
        <w:spacing w:after="0" w:line="97"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In August 2022, we granted 3,510 options to members of the Board of Directors (the Fiscal 2023 Board of Directors Stock Option Award). Options granted under the Fiscal 2023 Board of Directors Stock Option Award vest immediately and can be exercised from the grant date until their expiration on the tenth anniversary of the grant date.</w:t>
      </w:r>
    </w:p>
    <w:p>
      <w:pPr>
        <w:spacing w:after="0" w:line="95"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The Fiscal 2023 Employee Performance Stock Option Award, the Fiscal 2023 Employee Time-Vesting Stock Option Award, and the Fiscal 2023 Board of Directors Stock Option Award were valued at their grant date using the Black-Scholes option pricing model. The weighted-average assumptions used in the Black-Scholes model to value the option awards in fiscal 2023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6080" w:type="dxa"/>
            <w:vAlign w:val="bottom"/>
            <w:shd w:val="clear" w:color="auto" w:fill="004483"/>
          </w:tcPr>
          <w:p>
            <w:pPr>
              <w:spacing w:after="0"/>
              <w:rPr>
                <w:sz w:val="3"/>
                <w:szCs w:val="3"/>
                <w:color w:val="auto"/>
              </w:rPr>
            </w:pPr>
          </w:p>
        </w:tc>
        <w:tc>
          <w:tcPr>
            <w:tcW w:w="5060" w:type="dxa"/>
            <w:vAlign w:val="bottom"/>
            <w:shd w:val="clear" w:color="auto" w:fill="004483"/>
          </w:tcPr>
          <w:p>
            <w:pPr>
              <w:spacing w:after="0"/>
              <w:rPr>
                <w:sz w:val="3"/>
                <w:szCs w:val="3"/>
                <w:color w:val="auto"/>
              </w:rPr>
            </w:pPr>
          </w:p>
        </w:tc>
        <w:tc>
          <w:tcPr>
            <w:tcW w:w="140" w:type="dxa"/>
            <w:vAlign w:val="bottom"/>
          </w:tcPr>
          <w:p>
            <w:pPr>
              <w:spacing w:after="0"/>
              <w:rPr>
                <w:sz w:val="3"/>
                <w:szCs w:val="3"/>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004483"/>
              </w:rPr>
              <w:t>Dividend Yield</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20"/>
        </w:trPr>
        <w:tc>
          <w:tcPr>
            <w:tcW w:w="6080" w:type="dxa"/>
            <w:vAlign w:val="bottom"/>
            <w:shd w:val="clear" w:color="auto" w:fill="A6A6A6"/>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color w:val="004483"/>
              </w:rPr>
              <w:t>Expected Volatility</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38.2 %</w:t>
            </w:r>
          </w:p>
        </w:tc>
      </w:tr>
      <w:tr>
        <w:trPr>
          <w:trHeight w:val="20"/>
        </w:trPr>
        <w:tc>
          <w:tcPr>
            <w:tcW w:w="6080" w:type="dxa"/>
            <w:vAlign w:val="bottom"/>
            <w:shd w:val="clear" w:color="auto" w:fill="A6A6A6"/>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color w:val="004483"/>
              </w:rPr>
              <w:t>Risk-Free Interest Rate</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2.9 %</w:t>
            </w:r>
          </w:p>
        </w:tc>
      </w:tr>
      <w:tr>
        <w:trPr>
          <w:trHeight w:val="209"/>
        </w:trPr>
        <w:tc>
          <w:tcPr>
            <w:tcW w:w="60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Expected Life</w:t>
            </w:r>
          </w:p>
        </w:tc>
        <w:tc>
          <w:tcPr>
            <w:tcW w:w="5060" w:type="dxa"/>
            <w:vAlign w:val="bottom"/>
            <w:tcBorders>
              <w:top w:val="single" w:sz="8" w:color="A6A6A6"/>
              <w:bottom w:val="single" w:sz="8" w:color="A6A6A6"/>
            </w:tcBorders>
          </w:tcPr>
          <w:p>
            <w:pPr>
              <w:ind w:left="4380"/>
              <w:spacing w:after="0"/>
              <w:rPr>
                <w:sz w:val="20"/>
                <w:szCs w:val="20"/>
                <w:color w:val="auto"/>
              </w:rPr>
            </w:pPr>
            <w:r>
              <w:rPr>
                <w:rFonts w:ascii="Arial" w:cs="Arial" w:eastAsia="Arial" w:hAnsi="Arial"/>
                <w:sz w:val="16"/>
                <w:szCs w:val="16"/>
                <w:color w:val="auto"/>
              </w:rPr>
              <w:t>6.0 years</w:t>
            </w:r>
          </w:p>
        </w:tc>
        <w:tc>
          <w:tcPr>
            <w:tcW w:w="140" w:type="dxa"/>
            <w:vAlign w:val="bottom"/>
          </w:tcPr>
          <w:p>
            <w:pPr>
              <w:spacing w:after="0"/>
              <w:rPr>
                <w:sz w:val="18"/>
                <w:szCs w:val="18"/>
                <w:color w:val="auto"/>
              </w:rPr>
            </w:pPr>
          </w:p>
        </w:tc>
      </w:tr>
    </w:tbl>
    <w:p>
      <w:pPr>
        <w:spacing w:after="0" w:line="107"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 addition to the stock options grants described above, from time to time we issue stock options to certain employees. Any options issued are valued using the Black-Scholes options pricing model on the grant date and are expensed over the vesting period.</w:t>
      </w:r>
    </w:p>
    <w:p>
      <w:pPr>
        <w:spacing w:after="0" w:line="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Stock option expense for all outstanding stock option awards totaled approximately $0.8 million and $2.7 million for the three and nine months ended December 31, 2022, respectively, and $0.9 million and $2.6 million for the three and nine months ended December 31, 2021, respectively. At December 31, 2022, there was approximately $4.0 million of unrecognized compensation cost related to outstanding stock options, which is expected to be recognized over a weighted-average period of 2.3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-280035</wp:posOffset>
            </wp:positionV>
            <wp:extent cx="6858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-280035</wp:posOffset>
            </wp:positionV>
            <wp:extent cx="6858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-151765</wp:posOffset>
            </wp:positionV>
            <wp:extent cx="6858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603"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represents stock option activity for the nine months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-19050</wp:posOffset>
            </wp:positionV>
            <wp:extent cx="6858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r>
      <w:tr>
        <w:trPr>
          <w:trHeight w:val="135"/>
        </w:trPr>
        <w:tc>
          <w:tcPr>
            <w:tcW w:w="7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r>
      <w:tr>
        <w:trPr>
          <w:trHeight w:val="135"/>
        </w:trPr>
        <w:tc>
          <w:tcPr>
            <w:tcW w:w="7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Number</w:t>
            </w:r>
          </w:p>
        </w:tc>
        <w:tc>
          <w:tcPr>
            <w:tcW w:w="7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Exercise</w:t>
            </w:r>
          </w:p>
        </w:tc>
      </w:tr>
      <w:tr>
        <w:trPr>
          <w:trHeight w:val="191"/>
        </w:trPr>
        <w:tc>
          <w:tcPr>
            <w:tcW w:w="7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7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r>
      <w:tr>
        <w:trPr>
          <w:trHeight w:val="215"/>
        </w:trPr>
        <w:tc>
          <w:tcPr>
            <w:tcW w:w="766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March 31, 2022</w:t>
            </w:r>
          </w:p>
        </w:tc>
        <w:tc>
          <w:tcPr>
            <w:tcW w:w="560" w:type="dxa"/>
            <w:vAlign w:val="bottom"/>
            <w:tcBorders>
              <w:top w:val="single" w:sz="8" w:color="004483"/>
              <w:bottom w:val="single" w:sz="8" w:color="A6A6A6"/>
            </w:tcBorders>
          </w:tcPr>
          <w:p>
            <w:pPr>
              <w:spacing w:after="0"/>
              <w:rPr>
                <w:sz w:val="18"/>
                <w:szCs w:val="18"/>
                <w:color w:val="auto"/>
              </w:rPr>
            </w:pP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456,849</w:t>
            </w:r>
          </w:p>
        </w:tc>
        <w:tc>
          <w:tcPr>
            <w:tcW w:w="100" w:type="dxa"/>
            <w:vAlign w:val="bottom"/>
          </w:tcPr>
          <w:p>
            <w:pPr>
              <w:spacing w:after="0"/>
              <w:rPr>
                <w:sz w:val="18"/>
                <w:szCs w:val="18"/>
                <w:color w:val="auto"/>
              </w:rPr>
            </w:pPr>
          </w:p>
        </w:tc>
        <w:tc>
          <w:tcPr>
            <w:tcW w:w="720" w:type="dxa"/>
            <w:vAlign w:val="bottom"/>
            <w:tcBorders>
              <w:top w:val="single" w:sz="8" w:color="004483"/>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83.81</w:t>
            </w:r>
          </w:p>
        </w:tc>
      </w:tr>
      <w:tr>
        <w:trPr>
          <w:trHeight w:val="207"/>
        </w:trPr>
        <w:tc>
          <w:tcPr>
            <w:tcW w:w="76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Granted</w:t>
            </w:r>
          </w:p>
        </w:tc>
        <w:tc>
          <w:tcPr>
            <w:tcW w:w="56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56,621</w:t>
            </w:r>
          </w:p>
        </w:tc>
        <w:tc>
          <w:tcPr>
            <w:tcW w:w="100" w:type="dxa"/>
            <w:vAlign w:val="bottom"/>
          </w:tcPr>
          <w:p>
            <w:pPr>
              <w:spacing w:after="0"/>
              <w:rPr>
                <w:sz w:val="18"/>
                <w:szCs w:val="18"/>
                <w:color w:val="auto"/>
              </w:rPr>
            </w:pPr>
          </w:p>
        </w:tc>
        <w:tc>
          <w:tcPr>
            <w:tcW w:w="720" w:type="dxa"/>
            <w:vAlign w:val="bottom"/>
            <w:tcBorders>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125.90</w:t>
            </w:r>
          </w:p>
        </w:tc>
      </w:tr>
      <w:tr>
        <w:trPr>
          <w:trHeight w:val="209"/>
        </w:trPr>
        <w:tc>
          <w:tcPr>
            <w:tcW w:w="7660" w:type="dxa"/>
            <w:vAlign w:val="bottom"/>
          </w:tcPr>
          <w:p>
            <w:pPr>
              <w:ind w:left="20"/>
              <w:spacing w:after="0"/>
              <w:rPr>
                <w:sz w:val="20"/>
                <w:szCs w:val="20"/>
                <w:color w:val="auto"/>
              </w:rPr>
            </w:pPr>
            <w:r>
              <w:rPr>
                <w:rFonts w:ascii="Arial" w:cs="Arial" w:eastAsia="Arial" w:hAnsi="Arial"/>
                <w:sz w:val="16"/>
                <w:szCs w:val="16"/>
                <w:color w:val="004483"/>
              </w:rPr>
              <w:t>Exercised</w:t>
            </w:r>
          </w:p>
        </w:tc>
        <w:tc>
          <w:tcPr>
            <w:tcW w:w="5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(19,241 )</w:t>
            </w:r>
          </w:p>
        </w:tc>
        <w:tc>
          <w:tcPr>
            <w:tcW w:w="7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67.74</w:t>
            </w:r>
          </w:p>
        </w:tc>
      </w:tr>
      <w:tr>
        <w:trPr>
          <w:trHeight w:val="20"/>
        </w:trPr>
        <w:tc>
          <w:tcPr>
            <w:tcW w:w="76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r>
      <w:tr>
        <w:trPr>
          <w:trHeight w:val="240"/>
        </w:trPr>
        <w:tc>
          <w:tcPr>
            <w:tcW w:w="7660" w:type="dxa"/>
            <w:vAlign w:val="bottom"/>
          </w:tcPr>
          <w:p>
            <w:pPr>
              <w:ind w:left="20"/>
              <w:spacing w:after="0"/>
              <w:rPr>
                <w:sz w:val="20"/>
                <w:szCs w:val="20"/>
                <w:color w:val="auto"/>
              </w:rPr>
            </w:pPr>
            <w:r>
              <w:rPr>
                <w:rFonts w:ascii="Arial" w:cs="Arial" w:eastAsia="Arial" w:hAnsi="Arial"/>
                <w:sz w:val="16"/>
                <w:szCs w:val="16"/>
                <w:color w:val="004483"/>
              </w:rPr>
              <w:t>Cancelled</w:t>
            </w:r>
          </w:p>
        </w:tc>
        <w:tc>
          <w:tcPr>
            <w:tcW w:w="5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(3,178 )</w:t>
            </w:r>
          </w:p>
        </w:tc>
        <w:tc>
          <w:tcPr>
            <w:tcW w:w="7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109.15</w:t>
            </w:r>
          </w:p>
        </w:tc>
      </w:tr>
      <w:tr>
        <w:trPr>
          <w:trHeight w:val="209"/>
        </w:trPr>
        <w:tc>
          <w:tcPr>
            <w:tcW w:w="766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December 31, 2022</w:t>
            </w:r>
          </w:p>
        </w:tc>
        <w:tc>
          <w:tcPr>
            <w:tcW w:w="560" w:type="dxa"/>
            <w:vAlign w:val="bottom"/>
            <w:tcBorders>
              <w:top w:val="single" w:sz="8" w:color="004483"/>
              <w:bottom w:val="single" w:sz="8" w:color="004483"/>
            </w:tcBorders>
          </w:tcPr>
          <w:p>
            <w:pPr>
              <w:spacing w:after="0"/>
              <w:rPr>
                <w:sz w:val="18"/>
                <w:szCs w:val="18"/>
                <w:color w:val="auto"/>
              </w:rPr>
            </w:pPr>
          </w:p>
        </w:tc>
        <w:tc>
          <w:tcPr>
            <w:tcW w:w="10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491,051</w:t>
            </w:r>
          </w:p>
        </w:tc>
        <w:tc>
          <w:tcPr>
            <w:tcW w:w="100" w:type="dxa"/>
            <w:vAlign w:val="bottom"/>
          </w:tcPr>
          <w:p>
            <w:pPr>
              <w:spacing w:after="0"/>
              <w:rPr>
                <w:sz w:val="18"/>
                <w:szCs w:val="18"/>
                <w:color w:val="auto"/>
              </w:rPr>
            </w:pPr>
          </w:p>
        </w:tc>
        <w:tc>
          <w:tcPr>
            <w:tcW w:w="720" w:type="dxa"/>
            <w:vAlign w:val="bottom"/>
            <w:tcBorders>
              <w:top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89.13</w:t>
            </w:r>
          </w:p>
        </w:tc>
      </w:tr>
      <w:tr>
        <w:trPr>
          <w:trHeight w:val="20"/>
        </w:trPr>
        <w:tc>
          <w:tcPr>
            <w:tcW w:w="766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r>
      <w:tr>
        <w:trPr>
          <w:trHeight w:val="196"/>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Options Exercisable at December 31, 2022</w:t>
            </w:r>
          </w:p>
        </w:tc>
        <w:tc>
          <w:tcPr>
            <w:tcW w:w="560" w:type="dxa"/>
            <w:vAlign w:val="bottom"/>
            <w:tcBorders>
              <w:bottom w:val="single" w:sz="8" w:color="004483"/>
            </w:tcBorders>
          </w:tcPr>
          <w:p>
            <w:pPr>
              <w:spacing w:after="0"/>
              <w:rPr>
                <w:sz w:val="17"/>
                <w:szCs w:val="17"/>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299,948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766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6A6A6"/>
            </w:tcBorders>
          </w:tcPr>
          <w:p>
            <w:pPr>
              <w:spacing w:after="0" w:line="20" w:lineRule="exact"/>
              <w:rPr>
                <w:sz w:val="1"/>
                <w:szCs w:val="1"/>
                <w:color w:val="auto"/>
              </w:rPr>
            </w:pPr>
          </w:p>
        </w:tc>
        <w:tc>
          <w:tcPr>
            <w:tcW w:w="1060" w:type="dxa"/>
            <w:vAlign w:val="bottom"/>
            <w:tcBorders>
              <w:bottom w:val="single" w:sz="8" w:color="A6A6A6"/>
            </w:tcBorders>
          </w:tcPr>
          <w:p>
            <w:pPr>
              <w:spacing w:after="0" w:line="20" w:lineRule="exact"/>
              <w:rPr>
                <w:sz w:val="1"/>
                <w:szCs w:val="1"/>
                <w:color w:val="auto"/>
              </w:rPr>
            </w:pPr>
          </w:p>
        </w:tc>
      </w:tr>
      <w:tr>
        <w:trPr>
          <w:trHeight w:val="166"/>
        </w:trPr>
        <w:tc>
          <w:tcPr>
            <w:tcW w:w="766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Weighted-Average Fair Value of Options Granted</w:t>
            </w: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8"/>
        </w:trPr>
        <w:tc>
          <w:tcPr>
            <w:tcW w:w="76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During the Year</w:t>
            </w:r>
          </w:p>
        </w:tc>
        <w:tc>
          <w:tcPr>
            <w:tcW w:w="560" w:type="dxa"/>
            <w:vAlign w:val="bottom"/>
            <w:tcBorders>
              <w:bottom w:val="single" w:sz="8" w:color="A6A6A6"/>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48.36</w:t>
            </w:r>
          </w:p>
        </w:tc>
        <w:tc>
          <w:tcPr>
            <w:tcW w:w="100" w:type="dxa"/>
            <w:vAlign w:val="bottom"/>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280" w:type="dxa"/>
            <w:vAlign w:val="bottom"/>
            <w:gridSpan w:val="3"/>
            <w:shd w:val="clear" w:color="auto" w:fill="004483"/>
          </w:tcPr>
          <w:p>
            <w:pPr>
              <w:ind w:left="20"/>
              <w:spacing w:after="0"/>
              <w:rPr>
                <w:sz w:val="20"/>
                <w:szCs w:val="20"/>
                <w:color w:val="auto"/>
              </w:rPr>
            </w:pPr>
            <w:r>
              <w:rPr>
                <w:rFonts w:ascii="Arial" w:cs="Arial" w:eastAsia="Arial" w:hAnsi="Arial"/>
                <w:sz w:val="13"/>
                <w:szCs w:val="13"/>
                <w:b w:val="1"/>
                <w:bCs w:val="1"/>
                <w:color w:val="FFFFFF"/>
                <w:w w:val="95"/>
              </w:rPr>
              <w:t>Options Outstanding</w:t>
            </w:r>
          </w:p>
        </w:tc>
        <w:tc>
          <w:tcPr>
            <w:tcW w:w="360" w:type="dxa"/>
            <w:vAlign w:val="bottom"/>
            <w:shd w:val="clear" w:color="auto" w:fill="004483"/>
          </w:tcPr>
          <w:p>
            <w:pPr>
              <w:spacing w:after="0"/>
              <w:rPr>
                <w:sz w:val="14"/>
                <w:szCs w:val="14"/>
                <w:color w:val="auto"/>
              </w:rPr>
            </w:pPr>
          </w:p>
        </w:tc>
        <w:tc>
          <w:tcPr>
            <w:tcW w:w="78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shd w:val="clear" w:color="auto" w:fill="004483"/>
          </w:tcPr>
          <w:p>
            <w:pPr>
              <w:ind w:left="540"/>
              <w:spacing w:after="0"/>
              <w:rPr>
                <w:sz w:val="20"/>
                <w:szCs w:val="20"/>
                <w:color w:val="auto"/>
              </w:rPr>
            </w:pPr>
            <w:r>
              <w:rPr>
                <w:rFonts w:ascii="Arial" w:cs="Arial" w:eastAsia="Arial" w:hAnsi="Arial"/>
                <w:sz w:val="13"/>
                <w:szCs w:val="13"/>
                <w:b w:val="1"/>
                <w:bCs w:val="1"/>
                <w:color w:val="FFFFFF"/>
              </w:rPr>
              <w:t>Options Exercisable</w:t>
            </w:r>
          </w:p>
        </w:tc>
      </w:tr>
      <w:tr>
        <w:trPr>
          <w:trHeight w:val="127"/>
        </w:trPr>
        <w:tc>
          <w:tcPr>
            <w:tcW w:w="5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20"/>
              <w:spacing w:after="0" w:line="127" w:lineRule="exact"/>
              <w:rPr>
                <w:sz w:val="20"/>
                <w:szCs w:val="20"/>
                <w:color w:val="auto"/>
              </w:rPr>
            </w:pPr>
            <w:r>
              <w:rPr>
                <w:rFonts w:ascii="Arial" w:cs="Arial" w:eastAsia="Arial" w:hAnsi="Arial"/>
                <w:sz w:val="13"/>
                <w:szCs w:val="13"/>
                <w:b w:val="1"/>
                <w:bCs w:val="1"/>
                <w:color w:val="auto"/>
              </w:rPr>
              <w:t>Weighted-</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5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3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Weighted-</w:t>
            </w:r>
          </w:p>
        </w:tc>
      </w:tr>
      <w:tr>
        <w:trPr>
          <w:trHeight w:val="135"/>
        </w:trPr>
        <w:tc>
          <w:tcPr>
            <w:tcW w:w="5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Remaining</w:t>
            </w:r>
          </w:p>
        </w:tc>
        <w:tc>
          <w:tcPr>
            <w:tcW w:w="3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r>
      <w:tr>
        <w:trPr>
          <w:trHeight w:val="135"/>
        </w:trPr>
        <w:tc>
          <w:tcPr>
            <w:tcW w:w="5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Contractual</w:t>
            </w:r>
          </w:p>
        </w:tc>
        <w:tc>
          <w:tcPr>
            <w:tcW w:w="3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Exercise</w:t>
            </w:r>
          </w:p>
        </w:tc>
        <w:tc>
          <w:tcPr>
            <w:tcW w:w="1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Exercise</w:t>
            </w:r>
          </w:p>
        </w:tc>
      </w:tr>
      <w:tr>
        <w:trPr>
          <w:trHeight w:val="197"/>
        </w:trPr>
        <w:tc>
          <w:tcPr>
            <w:tcW w:w="5080" w:type="dxa"/>
            <w:vAlign w:val="bottom"/>
            <w:tcBorders>
              <w:bottom w:val="single" w:sz="8" w:color="004483"/>
            </w:tcBorders>
            <w:gridSpan w:val="2"/>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Life (in years)</w:t>
            </w:r>
          </w:p>
        </w:tc>
        <w:tc>
          <w:tcPr>
            <w:tcW w:w="120" w:type="dxa"/>
            <w:vAlign w:val="bottom"/>
          </w:tcPr>
          <w:p>
            <w:pPr>
              <w:spacing w:after="0"/>
              <w:rPr>
                <w:sz w:val="17"/>
                <w:szCs w:val="17"/>
                <w:color w:val="auto"/>
              </w:rPr>
            </w:pPr>
          </w:p>
        </w:tc>
        <w:tc>
          <w:tcPr>
            <w:tcW w:w="360" w:type="dxa"/>
            <w:vAlign w:val="bottom"/>
            <w:tcBorders>
              <w:bottom w:val="single" w:sz="8" w:color="004483"/>
            </w:tcBorders>
          </w:tcPr>
          <w:p>
            <w:pPr>
              <w:spacing w:after="0"/>
              <w:rPr>
                <w:sz w:val="17"/>
                <w:szCs w:val="17"/>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7"/>
                <w:szCs w:val="17"/>
                <w:color w:val="auto"/>
              </w:rPr>
            </w:pPr>
          </w:p>
        </w:tc>
        <w:tc>
          <w:tcPr>
            <w:tcW w:w="120" w:type="dxa"/>
            <w:vAlign w:val="bottom"/>
            <w:tcBorders>
              <w:bottom w:val="single" w:sz="8" w:color="004483"/>
            </w:tcBorders>
          </w:tcPr>
          <w:p>
            <w:pPr>
              <w:spacing w:after="0"/>
              <w:rPr>
                <w:sz w:val="17"/>
                <w:szCs w:val="17"/>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220" w:type="dxa"/>
            <w:vAlign w:val="bottom"/>
          </w:tcPr>
          <w:p>
            <w:pPr>
              <w:spacing w:after="0"/>
              <w:rPr>
                <w:sz w:val="17"/>
                <w:szCs w:val="17"/>
                <w:color w:val="auto"/>
              </w:rPr>
            </w:pPr>
          </w:p>
        </w:tc>
        <w:tc>
          <w:tcPr>
            <w:tcW w:w="280" w:type="dxa"/>
            <w:vAlign w:val="bottom"/>
            <w:tcBorders>
              <w:bottom w:val="single" w:sz="8" w:color="004483"/>
            </w:tcBorders>
          </w:tcPr>
          <w:p>
            <w:pPr>
              <w:spacing w:after="0"/>
              <w:rPr>
                <w:sz w:val="17"/>
                <w:szCs w:val="17"/>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7"/>
                <w:szCs w:val="17"/>
                <w:color w:val="auto"/>
              </w:rPr>
            </w:pPr>
          </w:p>
        </w:tc>
      </w:tr>
      <w:tr>
        <w:trPr>
          <w:trHeight w:val="207"/>
        </w:trPr>
        <w:tc>
          <w:tcPr>
            <w:tcW w:w="5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$59.32</w:t>
            </w:r>
          </w:p>
        </w:tc>
        <w:tc>
          <w:tcPr>
            <w:tcW w:w="45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 $81.28</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170,995</w:t>
            </w:r>
          </w:p>
        </w:tc>
        <w:tc>
          <w:tcPr>
            <w:tcW w:w="120" w:type="dxa"/>
            <w:vAlign w:val="bottom"/>
          </w:tcPr>
          <w:p>
            <w:pPr>
              <w:spacing w:after="0"/>
              <w:rPr>
                <w:sz w:val="17"/>
                <w:szCs w:val="17"/>
                <w:color w:val="auto"/>
              </w:rPr>
            </w:pPr>
          </w:p>
        </w:tc>
        <w:tc>
          <w:tcPr>
            <w:tcW w:w="11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7"/>
                <w:szCs w:val="17"/>
                <w:color w:val="auto"/>
              </w:rPr>
            </w:pPr>
          </w:p>
        </w:tc>
        <w:tc>
          <w:tcPr>
            <w:tcW w:w="3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62.78</w:t>
            </w:r>
          </w:p>
        </w:tc>
        <w:tc>
          <w:tcPr>
            <w:tcW w:w="100" w:type="dxa"/>
            <w:vAlign w:val="bottom"/>
          </w:tcPr>
          <w:p>
            <w:pPr>
              <w:spacing w:after="0"/>
              <w:rPr>
                <w:sz w:val="17"/>
                <w:szCs w:val="17"/>
                <w:color w:val="auto"/>
              </w:rPr>
            </w:pPr>
          </w:p>
        </w:tc>
        <w:tc>
          <w:tcPr>
            <w:tcW w:w="11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84,185</w:t>
            </w:r>
          </w:p>
        </w:tc>
        <w:tc>
          <w:tcPr>
            <w:tcW w:w="220" w:type="dxa"/>
            <w:vAlign w:val="bottom"/>
          </w:tcPr>
          <w:p>
            <w:pPr>
              <w:spacing w:after="0"/>
              <w:rPr>
                <w:sz w:val="17"/>
                <w:szCs w:val="17"/>
                <w:color w:val="auto"/>
              </w:rPr>
            </w:pP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64.80</w:t>
            </w:r>
          </w:p>
        </w:tc>
        <w:tc>
          <w:tcPr>
            <w:tcW w:w="100" w:type="dxa"/>
            <w:vAlign w:val="bottom"/>
          </w:tcPr>
          <w:p>
            <w:pPr>
              <w:spacing w:after="0"/>
              <w:rPr>
                <w:sz w:val="17"/>
                <w:szCs w:val="17"/>
                <w:color w:val="auto"/>
              </w:rPr>
            </w:pPr>
          </w:p>
        </w:tc>
      </w:tr>
      <w:tr>
        <w:trPr>
          <w:trHeight w:val="209"/>
        </w:trPr>
        <w:tc>
          <w:tcPr>
            <w:tcW w:w="5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$87.37</w:t>
            </w:r>
          </w:p>
        </w:tc>
        <w:tc>
          <w:tcPr>
            <w:tcW w:w="45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 $93.03</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151,569</w:t>
            </w:r>
          </w:p>
        </w:tc>
        <w:tc>
          <w:tcPr>
            <w:tcW w:w="120" w:type="dxa"/>
            <w:vAlign w:val="bottom"/>
          </w:tcPr>
          <w:p>
            <w:pPr>
              <w:spacing w:after="0"/>
              <w:rPr>
                <w:sz w:val="18"/>
                <w:szCs w:val="18"/>
                <w:color w:val="auto"/>
              </w:rPr>
            </w:pPr>
          </w:p>
        </w:tc>
        <w:tc>
          <w:tcPr>
            <w:tcW w:w="11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3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91.57</w:t>
            </w:r>
          </w:p>
        </w:tc>
        <w:tc>
          <w:tcPr>
            <w:tcW w:w="100" w:type="dxa"/>
            <w:vAlign w:val="bottom"/>
          </w:tcPr>
          <w:p>
            <w:pPr>
              <w:spacing w:after="0"/>
              <w:rPr>
                <w:sz w:val="18"/>
                <w:szCs w:val="18"/>
                <w:color w:val="auto"/>
              </w:rPr>
            </w:pPr>
          </w:p>
        </w:tc>
        <w:tc>
          <w:tcPr>
            <w:tcW w:w="11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109,241</w:t>
            </w:r>
          </w:p>
        </w:tc>
        <w:tc>
          <w:tcPr>
            <w:tcW w:w="220" w:type="dxa"/>
            <w:vAlign w:val="bottom"/>
          </w:tcPr>
          <w:p>
            <w:pPr>
              <w:spacing w:after="0"/>
              <w:rPr>
                <w:sz w:val="18"/>
                <w:szCs w:val="18"/>
                <w:color w:val="auto"/>
              </w:rPr>
            </w:pP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91.57</w:t>
            </w:r>
          </w:p>
        </w:tc>
        <w:tc>
          <w:tcPr>
            <w:tcW w:w="100" w:type="dxa"/>
            <w:vAlign w:val="bottom"/>
          </w:tcPr>
          <w:p>
            <w:pPr>
              <w:spacing w:after="0"/>
              <w:rPr>
                <w:sz w:val="18"/>
                <w:szCs w:val="18"/>
                <w:color w:val="auto"/>
              </w:rPr>
            </w:pPr>
          </w:p>
        </w:tc>
      </w:tr>
      <w:tr>
        <w:trPr>
          <w:trHeight w:val="240"/>
        </w:trPr>
        <w:tc>
          <w:tcPr>
            <w:tcW w:w="5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$99.37</w:t>
            </w:r>
          </w:p>
        </w:tc>
        <w:tc>
          <w:tcPr>
            <w:tcW w:w="45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 $143.09</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168,487</w:t>
            </w:r>
          </w:p>
        </w:tc>
        <w:tc>
          <w:tcPr>
            <w:tcW w:w="120" w:type="dxa"/>
            <w:vAlign w:val="bottom"/>
          </w:tcPr>
          <w:p>
            <w:pPr>
              <w:spacing w:after="0"/>
              <w:rPr>
                <w:sz w:val="20"/>
                <w:szCs w:val="20"/>
                <w:color w:val="auto"/>
              </w:rPr>
            </w:pPr>
          </w:p>
        </w:tc>
        <w:tc>
          <w:tcPr>
            <w:tcW w:w="11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20"/>
                <w:szCs w:val="20"/>
                <w:color w:val="auto"/>
              </w:rPr>
            </w:pPr>
          </w:p>
        </w:tc>
        <w:tc>
          <w:tcPr>
            <w:tcW w:w="3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113.68</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106,522</w:t>
            </w:r>
          </w:p>
        </w:tc>
        <w:tc>
          <w:tcPr>
            <w:tcW w:w="220" w:type="dxa"/>
            <w:vAlign w:val="bottom"/>
          </w:tcPr>
          <w:p>
            <w:pPr>
              <w:spacing w:after="0"/>
              <w:rPr>
                <w:sz w:val="20"/>
                <w:szCs w:val="20"/>
                <w:color w:val="auto"/>
              </w:rPr>
            </w:pP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106.90</w:t>
            </w:r>
          </w:p>
        </w:tc>
        <w:tc>
          <w:tcPr>
            <w:tcW w:w="100" w:type="dxa"/>
            <w:vAlign w:val="bottom"/>
          </w:tcPr>
          <w:p>
            <w:pPr>
              <w:spacing w:after="0"/>
              <w:rPr>
                <w:sz w:val="20"/>
                <w:szCs w:val="20"/>
                <w:color w:val="auto"/>
              </w:rPr>
            </w:pPr>
          </w:p>
        </w:tc>
      </w:tr>
      <w:tr>
        <w:trPr>
          <w:trHeight w:val="209"/>
        </w:trPr>
        <w:tc>
          <w:tcPr>
            <w:tcW w:w="5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491,051</w:t>
            </w: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6.47</w:t>
            </w:r>
          </w:p>
        </w:tc>
        <w:tc>
          <w:tcPr>
            <w:tcW w:w="120" w:type="dxa"/>
            <w:vAlign w:val="bottom"/>
          </w:tcPr>
          <w:p>
            <w:pPr>
              <w:spacing w:after="0"/>
              <w:rPr>
                <w:sz w:val="18"/>
                <w:szCs w:val="18"/>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89.13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299,948</w:t>
            </w:r>
          </w:p>
        </w:tc>
        <w:tc>
          <w:tcPr>
            <w:tcW w:w="5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89.50</w:t>
            </w:r>
          </w:p>
        </w:tc>
        <w:tc>
          <w:tcPr>
            <w:tcW w:w="100" w:type="dxa"/>
            <w:vAlign w:val="bottom"/>
          </w:tcPr>
          <w:p>
            <w:pPr>
              <w:spacing w:after="0"/>
              <w:rPr>
                <w:sz w:val="18"/>
                <w:szCs w:val="18"/>
                <w:color w:val="auto"/>
              </w:rPr>
            </w:pPr>
          </w:p>
        </w:tc>
      </w:tr>
      <w:tr>
        <w:trPr>
          <w:trHeight w:val="20"/>
        </w:trPr>
        <w:tc>
          <w:tcPr>
            <w:tcW w:w="540" w:type="dxa"/>
            <w:vAlign w:val="bottom"/>
            <w:tcBorders>
              <w:bottom w:val="single" w:sz="8" w:color="A6A6A6"/>
            </w:tcBorders>
          </w:tcPr>
          <w:p>
            <w:pPr>
              <w:spacing w:after="0" w:line="20" w:lineRule="exact"/>
              <w:rPr>
                <w:sz w:val="1"/>
                <w:szCs w:val="1"/>
                <w:color w:val="auto"/>
              </w:rPr>
            </w:pPr>
          </w:p>
        </w:tc>
        <w:tc>
          <w:tcPr>
            <w:tcW w:w="454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80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At December 31, 2022, the aggregate intrinsic value for the outstanding and exercisable options was approximately $21.6 million and $13.0 million, respectively. The total intrinsic value of options exercised during the nine months ended December 31, 2022 was approximately $1.1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-281940</wp:posOffset>
            </wp:positionV>
            <wp:extent cx="6858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-153035</wp:posOffset>
            </wp:positionV>
            <wp:extent cx="6858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May 2022, the Compensation Committee approved the granting to certain officers and key employees an aggregate of 50,783 shares of performance-vesting restricted stock that will be earned only if certain performance conditions are satisfied (the Fiscal 2023 Employee Restricted Stock Performance Award). The performance criteria for the Fiscal 2023 Employee Restricted Stock Performance Award are based upon the achievement of certain levels of return on equity (as defined in the award agreement), ranging from 10.0% to 20.0%, for the fiscal year ending March 31, 2023. All restricted shares will be earned if the return on equity is 20.0% or greater, and the percentage of shares earned will be reduced proportionately to approximately 66.7% if the return on equity is 10.0%. If the Company does not achieve a return on equity of at least 10.0%, all awards will be forfeited. Following any such reduction, restrictions on the earned shares will lapse ratably over four years, with the initial fourth lapsing promptly following the date on which the return on equity is determined, and the remaining restrictions lapsing every March 31 from 2024 through 2026. The Compensation Committee also approved the granting of 42,545 shares of time-vesting restricted stock to the same officers and key employees, which vest ratably over four years (the Fiscal 2023 Employee Restricted Stock Time-Vesting Award). The Fiscal 2023 Employee Restricted Stock Performance Award and the Fiscal 2023 Employee Restricted Stock Time-Vesting Award were valued at the closing price of the stock on the grant date and are being expensed over a four-year period.</w:t>
      </w:r>
    </w:p>
    <w:p>
      <w:pPr>
        <w:spacing w:after="0" w:line="95" w:lineRule="exact"/>
        <w:rPr>
          <w:sz w:val="20"/>
          <w:szCs w:val="20"/>
          <w:color w:val="auto"/>
        </w:rPr>
      </w:pPr>
    </w:p>
    <w:p>
      <w:pPr>
        <w:ind w:right="560"/>
        <w:spacing w:after="0" w:line="261" w:lineRule="auto"/>
        <w:rPr>
          <w:sz w:val="20"/>
          <w:szCs w:val="20"/>
          <w:color w:val="auto"/>
        </w:rPr>
      </w:pPr>
      <w:r>
        <w:rPr>
          <w:rFonts w:ascii="Arial" w:cs="Arial" w:eastAsia="Arial" w:hAnsi="Arial"/>
          <w:sz w:val="17"/>
          <w:szCs w:val="17"/>
          <w:color w:val="auto"/>
        </w:rPr>
        <w:t>In August 2022, we granted 14,482 shares of restricted stock to members of the Board of Directors (the Fiscal 2023 Board of Directors Restricted Stock Award). Restrictions on these shares will lapse six months after the grant date. The Fiscal 2023 Board of Directors Restricted Stock Award was valued at the closing price of the stock on the grant date and is being expensed over a six-month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4" w:name="page15"/>
    <w:bookmarkEnd w:id="14"/>
    <w:p>
      <w:pPr>
        <w:ind w:right="20"/>
        <w:spacing w:after="0" w:line="246" w:lineRule="auto"/>
        <w:rPr>
          <w:sz w:val="20"/>
          <w:szCs w:val="20"/>
          <w:color w:val="auto"/>
        </w:rPr>
      </w:pPr>
      <w:r>
        <w:rPr>
          <w:rFonts w:ascii="Arial" w:cs="Arial" w:eastAsia="Arial" w:hAnsi="Arial"/>
          <w:sz w:val="18"/>
          <w:szCs w:val="18"/>
          <w:color w:val="auto"/>
        </w:rPr>
        <w:t>In addition to the restricted stock grants described above, from time to time we issue restricted stock to certain employees. These awards are valued at the closing price of the stock on the grant date and are expensed over the vesting period.</w:t>
      </w:r>
    </w:p>
    <w:p>
      <w:pPr>
        <w:spacing w:after="0" w:line="8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fair value of restricted stock is based on the stock price on the grant date. The following table summarizes the activity for nonvested restricted shares during the nine months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-27940</wp:posOffset>
            </wp:positionV>
            <wp:extent cx="6858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Arial" w:cs="Arial" w:eastAsia="Arial" w:hAnsi="Arial"/>
                <w:sz w:val="13"/>
                <w:szCs w:val="13"/>
                <w:b w:val="1"/>
                <w:bCs w:val="1"/>
                <w:color w:val="auto"/>
              </w:rPr>
              <w:t>Weighted-Average Grant</w:t>
            </w:r>
          </w:p>
        </w:tc>
      </w:tr>
      <w:tr>
        <w:trPr>
          <w:trHeight w:val="191"/>
        </w:trPr>
        <w:tc>
          <w:tcPr>
            <w:tcW w:w="7660" w:type="dxa"/>
            <w:vAlign w:val="bottom"/>
          </w:tcPr>
          <w:p>
            <w:pPr>
              <w:spacing w:after="0"/>
              <w:rPr>
                <w:sz w:val="16"/>
                <w:szCs w:val="16"/>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Number of Shares</w:t>
            </w:r>
          </w:p>
        </w:tc>
        <w:tc>
          <w:tcPr>
            <w:tcW w:w="5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Date Fair Value</w:t>
            </w:r>
          </w:p>
        </w:tc>
      </w:tr>
      <w:tr>
        <w:trPr>
          <w:trHeight w:val="240"/>
        </w:trPr>
        <w:tc>
          <w:tcPr>
            <w:tcW w:w="766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Nonvested Restricted Stock at March 31, 2022</w:t>
            </w:r>
          </w:p>
        </w:tc>
        <w:tc>
          <w:tcPr>
            <w:tcW w:w="15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258,779</w:t>
            </w:r>
          </w:p>
        </w:tc>
        <w:tc>
          <w:tcPr>
            <w:tcW w:w="100" w:type="dxa"/>
            <w:vAlign w:val="bottom"/>
          </w:tcPr>
          <w:p>
            <w:pPr>
              <w:spacing w:after="0"/>
              <w:rPr>
                <w:sz w:val="20"/>
                <w:szCs w:val="20"/>
                <w:color w:val="auto"/>
              </w:rPr>
            </w:pPr>
          </w:p>
        </w:tc>
        <w:tc>
          <w:tcPr>
            <w:tcW w:w="580" w:type="dxa"/>
            <w:vAlign w:val="bottom"/>
            <w:tcBorders>
              <w:top w:val="single" w:sz="8" w:color="004483"/>
              <w:bottom w:val="single" w:sz="8" w:color="A6A6A6"/>
            </w:tcBorders>
          </w:tcPr>
          <w:p>
            <w:pPr>
              <w:jc w:val="right"/>
              <w:ind w:right="202"/>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85.34</w:t>
            </w:r>
          </w:p>
        </w:tc>
      </w:tr>
      <w:tr>
        <w:trPr>
          <w:trHeight w:val="236"/>
        </w:trPr>
        <w:tc>
          <w:tcPr>
            <w:tcW w:w="76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Granted</w:t>
            </w:r>
          </w:p>
        </w:tc>
        <w:tc>
          <w:tcPr>
            <w:tcW w:w="1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111,230</w:t>
            </w:r>
          </w:p>
        </w:tc>
        <w:tc>
          <w:tcPr>
            <w:tcW w:w="100" w:type="dxa"/>
            <w:vAlign w:val="bottom"/>
          </w:tcPr>
          <w:p>
            <w:pPr>
              <w:spacing w:after="0"/>
              <w:rPr>
                <w:sz w:val="20"/>
                <w:szCs w:val="20"/>
                <w:color w:val="auto"/>
              </w:rPr>
            </w:pPr>
          </w:p>
        </w:tc>
        <w:tc>
          <w:tcPr>
            <w:tcW w:w="580" w:type="dxa"/>
            <w:vAlign w:val="bottom"/>
            <w:tcBorders>
              <w:bottom w:val="single" w:sz="8" w:color="A6A6A6"/>
            </w:tcBorders>
          </w:tcPr>
          <w:p>
            <w:pPr>
              <w:jc w:val="right"/>
              <w:ind w:right="20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126.23</w:t>
            </w:r>
          </w:p>
        </w:tc>
      </w:tr>
      <w:tr>
        <w:trPr>
          <w:trHeight w:val="236"/>
        </w:trPr>
        <w:tc>
          <w:tcPr>
            <w:tcW w:w="7660" w:type="dxa"/>
            <w:vAlign w:val="bottom"/>
          </w:tcPr>
          <w:p>
            <w:pPr>
              <w:ind w:left="20"/>
              <w:spacing w:after="0"/>
              <w:rPr>
                <w:sz w:val="20"/>
                <w:szCs w:val="20"/>
                <w:color w:val="auto"/>
              </w:rPr>
            </w:pPr>
            <w:r>
              <w:rPr>
                <w:rFonts w:ascii="Arial" w:cs="Arial" w:eastAsia="Arial" w:hAnsi="Arial"/>
                <w:sz w:val="16"/>
                <w:szCs w:val="16"/>
                <w:color w:val="004483"/>
              </w:rPr>
              <w:t>Vested</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(55,467 )</w:t>
            </w:r>
          </w:p>
        </w:tc>
        <w:tc>
          <w:tcPr>
            <w:tcW w:w="5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108.98</w:t>
            </w:r>
          </w:p>
        </w:tc>
      </w:tr>
      <w:tr>
        <w:trPr>
          <w:trHeight w:val="20"/>
        </w:trPr>
        <w:tc>
          <w:tcPr>
            <w:tcW w:w="7660" w:type="dxa"/>
            <w:vAlign w:val="bottom"/>
            <w:shd w:val="clear" w:color="auto" w:fill="A6A6A6"/>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r>
      <w:tr>
        <w:trPr>
          <w:trHeight w:val="240"/>
        </w:trPr>
        <w:tc>
          <w:tcPr>
            <w:tcW w:w="7660" w:type="dxa"/>
            <w:vAlign w:val="bottom"/>
          </w:tcPr>
          <w:p>
            <w:pPr>
              <w:ind w:left="20"/>
              <w:spacing w:after="0"/>
              <w:rPr>
                <w:sz w:val="20"/>
                <w:szCs w:val="20"/>
                <w:color w:val="auto"/>
              </w:rPr>
            </w:pPr>
            <w:r>
              <w:rPr>
                <w:rFonts w:ascii="Arial" w:cs="Arial" w:eastAsia="Arial" w:hAnsi="Arial"/>
                <w:sz w:val="16"/>
                <w:szCs w:val="16"/>
                <w:color w:val="004483"/>
              </w:rPr>
              <w:t>Forfeited</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(3,247 )</w:t>
            </w:r>
          </w:p>
        </w:tc>
        <w:tc>
          <w:tcPr>
            <w:tcW w:w="5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124.82</w:t>
            </w:r>
          </w:p>
        </w:tc>
      </w:tr>
      <w:tr>
        <w:trPr>
          <w:trHeight w:val="209"/>
        </w:trPr>
        <w:tc>
          <w:tcPr>
            <w:tcW w:w="766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Nonvested Restricted Stock at December 31, 2022</w:t>
            </w:r>
          </w:p>
        </w:tc>
        <w:tc>
          <w:tcPr>
            <w:tcW w:w="15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311,295</w:t>
            </w:r>
          </w:p>
        </w:tc>
        <w:tc>
          <w:tcPr>
            <w:tcW w:w="100" w:type="dxa"/>
            <w:vAlign w:val="bottom"/>
          </w:tcPr>
          <w:p>
            <w:pPr>
              <w:spacing w:after="0"/>
              <w:rPr>
                <w:sz w:val="18"/>
                <w:szCs w:val="18"/>
                <w:color w:val="auto"/>
              </w:rPr>
            </w:pPr>
          </w:p>
        </w:tc>
        <w:tc>
          <w:tcPr>
            <w:tcW w:w="580" w:type="dxa"/>
            <w:vAlign w:val="bottom"/>
            <w:tcBorders>
              <w:top w:val="single" w:sz="8" w:color="A6A6A6"/>
            </w:tcBorders>
          </w:tcPr>
          <w:p>
            <w:pPr>
              <w:jc w:val="right"/>
              <w:ind w:right="202"/>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98.31</w:t>
            </w: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Expense related to restricted shares was approximately $3.3 million and $11.0 million for the three and nine months ended December 31, 2022, respectively, and $3.4 million and $8.1 million for the three and nine months ended December 31, 2021, respectively. At December 31, 2022, there was approximately $20.6 million of unearned compensation from restricted stock, which will be recognized over a weighted-average period of 2.3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-408940</wp:posOffset>
            </wp:positionV>
            <wp:extent cx="6858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-280035</wp:posOffset>
            </wp:positionV>
            <wp:extent cx="6858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-280035</wp:posOffset>
            </wp:positionV>
            <wp:extent cx="6858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3,260,309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-27940</wp:posOffset>
            </wp:positionV>
            <wp:extent cx="6858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 COMPUTATION OF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900" w:type="dxa"/>
            <w:vAlign w:val="bottom"/>
            <w:gridSpan w:val="5"/>
            <w:shd w:val="clear" w:color="auto" w:fill="004483"/>
          </w:tcPr>
          <w:p>
            <w:pPr>
              <w:jc w:val="right"/>
              <w:ind w:right="220"/>
              <w:spacing w:after="0"/>
              <w:rPr>
                <w:sz w:val="20"/>
                <w:szCs w:val="20"/>
                <w:color w:val="auto"/>
              </w:rPr>
            </w:pPr>
            <w:r>
              <w:rPr>
                <w:rFonts w:ascii="Arial" w:cs="Arial" w:eastAsia="Arial" w:hAnsi="Arial"/>
                <w:sz w:val="13"/>
                <w:szCs w:val="13"/>
                <w:b w:val="1"/>
                <w:bCs w:val="1"/>
                <w:color w:val="FFFFFF"/>
              </w:rPr>
              <w:t>For the Three Months Ended December 31,</w:t>
            </w:r>
          </w:p>
        </w:tc>
        <w:tc>
          <w:tcPr>
            <w:tcW w:w="120" w:type="dxa"/>
            <w:vAlign w:val="bottom"/>
          </w:tcPr>
          <w:p>
            <w:pPr>
              <w:spacing w:after="0"/>
              <w:rPr>
                <w:sz w:val="14"/>
                <w:szCs w:val="14"/>
                <w:color w:val="auto"/>
              </w:rPr>
            </w:pPr>
          </w:p>
        </w:tc>
        <w:tc>
          <w:tcPr>
            <w:tcW w:w="2860" w:type="dxa"/>
            <w:vAlign w:val="bottom"/>
            <w:gridSpan w:val="5"/>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rPr>
              <w:t>For the Nine Months Ended December 31,</w:t>
            </w:r>
          </w:p>
        </w:tc>
        <w:tc>
          <w:tcPr>
            <w:tcW w:w="0" w:type="dxa"/>
            <w:vAlign w:val="bottom"/>
          </w:tcPr>
          <w:p>
            <w:pPr>
              <w:spacing w:after="0"/>
              <w:rPr>
                <w:sz w:val="1"/>
                <w:szCs w:val="1"/>
                <w:color w:val="auto"/>
              </w:rPr>
            </w:pPr>
          </w:p>
        </w:tc>
      </w:tr>
      <w:tr>
        <w:trPr>
          <w:trHeight w:val="183"/>
        </w:trPr>
        <w:tc>
          <w:tcPr>
            <w:tcW w:w="5360" w:type="dxa"/>
            <w:vAlign w:val="bottom"/>
            <w:tcBorders>
              <w:bottom w:val="single" w:sz="8" w:color="004483"/>
            </w:tcBorders>
          </w:tcPr>
          <w:p>
            <w:pPr>
              <w:spacing w:after="0"/>
              <w:rPr>
                <w:sz w:val="15"/>
                <w:szCs w:val="15"/>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5"/>
                <w:szCs w:val="15"/>
                <w:color w:val="auto"/>
              </w:rPr>
            </w:pPr>
          </w:p>
        </w:tc>
        <w:tc>
          <w:tcPr>
            <w:tcW w:w="138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40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Shares of Common Stock Outstanding</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36,336,056</w:t>
            </w:r>
          </w:p>
        </w:tc>
        <w:tc>
          <w:tcPr>
            <w:tcW w:w="140" w:type="dxa"/>
            <w:vAlign w:val="bottom"/>
          </w:tcPr>
          <w:p>
            <w:pPr>
              <w:spacing w:after="0"/>
              <w:rPr>
                <w:sz w:val="18"/>
                <w:szCs w:val="18"/>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40,049,456</w:t>
            </w:r>
          </w:p>
        </w:tc>
        <w:tc>
          <w:tcPr>
            <w:tcW w:w="100" w:type="dxa"/>
            <w:vAlign w:val="bottom"/>
          </w:tcPr>
          <w:p>
            <w:pPr>
              <w:spacing w:after="0"/>
              <w:rPr>
                <w:sz w:val="18"/>
                <w:szCs w:val="18"/>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37,149,927</w:t>
            </w:r>
          </w:p>
        </w:tc>
        <w:tc>
          <w:tcPr>
            <w:tcW w:w="100" w:type="dxa"/>
            <w:vAlign w:val="bottom"/>
          </w:tcPr>
          <w:p>
            <w:pPr>
              <w:spacing w:after="0"/>
              <w:rPr>
                <w:sz w:val="18"/>
                <w:szCs w:val="18"/>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41,096,702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Effect of Dilutive Shares</w:t>
            </w:r>
          </w:p>
        </w:tc>
        <w:tc>
          <w:tcPr>
            <w:tcW w:w="128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Assumed Exercise of Outstanding Dilutive Options</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424,949</w:t>
            </w:r>
          </w:p>
        </w:tc>
        <w:tc>
          <w:tcPr>
            <w:tcW w:w="140" w:type="dxa"/>
            <w:vAlign w:val="bottom"/>
          </w:tcPr>
          <w:p>
            <w:pPr>
              <w:spacing w:after="0"/>
              <w:rPr>
                <w:sz w:val="18"/>
                <w:szCs w:val="18"/>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492,344</w:t>
            </w:r>
          </w:p>
        </w:tc>
        <w:tc>
          <w:tcPr>
            <w:tcW w:w="100" w:type="dxa"/>
            <w:vAlign w:val="bottom"/>
          </w:tcPr>
          <w:p>
            <w:pPr>
              <w:spacing w:after="0"/>
              <w:rPr>
                <w:sz w:val="18"/>
                <w:szCs w:val="18"/>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424,642</w:t>
            </w:r>
          </w:p>
        </w:tc>
        <w:tc>
          <w:tcPr>
            <w:tcW w:w="100" w:type="dxa"/>
            <w:vAlign w:val="bottom"/>
          </w:tcPr>
          <w:p>
            <w:pPr>
              <w:spacing w:after="0"/>
              <w:rPr>
                <w:sz w:val="18"/>
                <w:szCs w:val="18"/>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568,699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360" w:type="dxa"/>
            <w:vAlign w:val="bottom"/>
          </w:tcPr>
          <w:p>
            <w:pPr>
              <w:ind w:left="120"/>
              <w:spacing w:after="0"/>
              <w:rPr>
                <w:sz w:val="20"/>
                <w:szCs w:val="20"/>
                <w:color w:val="auto"/>
              </w:rPr>
            </w:pPr>
            <w:r>
              <w:rPr>
                <w:rFonts w:ascii="Arial" w:cs="Arial" w:eastAsia="Arial" w:hAnsi="Arial"/>
                <w:sz w:val="16"/>
                <w:szCs w:val="16"/>
                <w:color w:val="004483"/>
              </w:rPr>
              <w:t>Less Shares Repurchased from Proceeds of Assumed Exercised</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60" w:type="dxa"/>
            <w:vAlign w:val="bottom"/>
          </w:tcPr>
          <w:p>
            <w:pPr>
              <w:ind w:left="120"/>
              <w:spacing w:after="0"/>
              <w:rPr>
                <w:sz w:val="20"/>
                <w:szCs w:val="20"/>
                <w:color w:val="auto"/>
              </w:rPr>
            </w:pPr>
            <w:r>
              <w:rPr>
                <w:rFonts w:ascii="Arial" w:cs="Arial" w:eastAsia="Arial" w:hAnsi="Arial"/>
                <w:sz w:val="16"/>
                <w:szCs w:val="16"/>
                <w:color w:val="004483"/>
              </w:rPr>
              <w:t>Options</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(294,478 )</w:t>
            </w:r>
          </w:p>
        </w:tc>
        <w:tc>
          <w:tcPr>
            <w:tcW w:w="1480" w:type="dxa"/>
            <w:vAlign w:val="bottom"/>
            <w:gridSpan w:val="3"/>
          </w:tcPr>
          <w:p>
            <w:pPr>
              <w:jc w:val="right"/>
              <w:ind w:right="40"/>
              <w:spacing w:after="0"/>
              <w:rPr>
                <w:sz w:val="20"/>
                <w:szCs w:val="20"/>
                <w:color w:val="auto"/>
              </w:rPr>
            </w:pPr>
            <w:r>
              <w:rPr>
                <w:rFonts w:ascii="Arial" w:cs="Arial" w:eastAsia="Arial" w:hAnsi="Arial"/>
                <w:sz w:val="16"/>
                <w:szCs w:val="16"/>
                <w:color w:val="auto"/>
              </w:rPr>
              <w:t>(296,670 )</w:t>
            </w:r>
          </w:p>
        </w:tc>
        <w:tc>
          <w:tcPr>
            <w:tcW w:w="1480" w:type="dxa"/>
            <w:vAlign w:val="bottom"/>
            <w:gridSpan w:val="3"/>
          </w:tcPr>
          <w:p>
            <w:pPr>
              <w:jc w:val="right"/>
              <w:ind w:right="40"/>
              <w:spacing w:after="0"/>
              <w:rPr>
                <w:sz w:val="20"/>
                <w:szCs w:val="20"/>
                <w:color w:val="auto"/>
              </w:rPr>
            </w:pPr>
            <w:r>
              <w:rPr>
                <w:rFonts w:ascii="Arial" w:cs="Arial" w:eastAsia="Arial" w:hAnsi="Arial"/>
                <w:sz w:val="16"/>
                <w:szCs w:val="16"/>
                <w:color w:val="auto"/>
              </w:rPr>
              <w:t>(305,741 )</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(362,568 )</w:t>
            </w:r>
          </w:p>
        </w:tc>
        <w:tc>
          <w:tcPr>
            <w:tcW w:w="0" w:type="dxa"/>
            <w:vAlign w:val="bottom"/>
          </w:tcPr>
          <w:p>
            <w:pPr>
              <w:spacing w:after="0"/>
              <w:rPr>
                <w:sz w:val="1"/>
                <w:szCs w:val="1"/>
                <w:color w:val="auto"/>
              </w:rPr>
            </w:pPr>
          </w:p>
        </w:tc>
      </w:tr>
      <w:tr>
        <w:trPr>
          <w:trHeight w:val="240"/>
        </w:trPr>
        <w:tc>
          <w:tcPr>
            <w:tcW w:w="536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Restricted Stock Units</w:t>
            </w:r>
          </w:p>
        </w:tc>
        <w:tc>
          <w:tcPr>
            <w:tcW w:w="12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139,455</w:t>
            </w:r>
          </w:p>
        </w:tc>
        <w:tc>
          <w:tcPr>
            <w:tcW w:w="14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2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212,919</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2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126,758</w:t>
            </w:r>
          </w:p>
        </w:tc>
        <w:tc>
          <w:tcPr>
            <w:tcW w:w="100" w:type="dxa"/>
            <w:vAlign w:val="bottom"/>
          </w:tcPr>
          <w:p>
            <w:pPr>
              <w:spacing w:after="0"/>
              <w:rPr>
                <w:sz w:val="20"/>
                <w:szCs w:val="20"/>
                <w:color w:val="auto"/>
              </w:rPr>
            </w:pPr>
          </w:p>
        </w:tc>
        <w:tc>
          <w:tcPr>
            <w:tcW w:w="100" w:type="dxa"/>
            <w:vAlign w:val="bottom"/>
            <w:tcBorders>
              <w:top w:val="single" w:sz="8" w:color="A6A6A6"/>
              <w:bottom w:val="single" w:sz="8" w:color="A6A6A6"/>
            </w:tcBorders>
          </w:tcPr>
          <w:p>
            <w:pPr>
              <w:spacing w:after="0"/>
              <w:rPr>
                <w:sz w:val="20"/>
                <w:szCs w:val="20"/>
                <w:color w:val="auto"/>
              </w:rPr>
            </w:pPr>
          </w:p>
        </w:tc>
        <w:tc>
          <w:tcPr>
            <w:tcW w:w="13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190,506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36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Weighted-Average Common Stock and Dilutive Securities</w:t>
            </w: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36,605,982</w:t>
            </w:r>
          </w:p>
        </w:tc>
        <w:tc>
          <w:tcPr>
            <w:tcW w:w="140" w:type="dxa"/>
            <w:vAlign w:val="bottom"/>
          </w:tcPr>
          <w:p>
            <w:pPr>
              <w:spacing w:after="0"/>
              <w:rPr>
                <w:sz w:val="15"/>
                <w:szCs w:val="15"/>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40,458,049</w:t>
            </w:r>
          </w:p>
        </w:tc>
        <w:tc>
          <w:tcPr>
            <w:tcW w:w="100" w:type="dxa"/>
            <w:vAlign w:val="bottom"/>
          </w:tcPr>
          <w:p>
            <w:pPr>
              <w:spacing w:after="0"/>
              <w:rPr>
                <w:sz w:val="15"/>
                <w:szCs w:val="15"/>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37,395,586</w:t>
            </w:r>
          </w:p>
        </w:tc>
        <w:tc>
          <w:tcPr>
            <w:tcW w:w="100" w:type="dxa"/>
            <w:vAlign w:val="bottom"/>
          </w:tcPr>
          <w:p>
            <w:pPr>
              <w:spacing w:after="0"/>
              <w:rPr>
                <w:sz w:val="15"/>
                <w:szCs w:val="15"/>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41,493,339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Outstanding</w:t>
            </w:r>
          </w:p>
        </w:tc>
        <w:tc>
          <w:tcPr>
            <w:tcW w:w="1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tcBorders>
              <w:bottom w:val="single" w:sz="8" w:color="A6A6A6"/>
            </w:tcBorders>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3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Shares Excluded Due to Anti-dilution Effects</w:t>
            </w:r>
          </w:p>
        </w:tc>
        <w:tc>
          <w:tcPr>
            <w:tcW w:w="1280" w:type="dxa"/>
            <w:vAlign w:val="bottom"/>
          </w:tcPr>
          <w:p>
            <w:pPr>
              <w:jc w:val="right"/>
              <w:spacing w:after="0"/>
              <w:rPr>
                <w:sz w:val="20"/>
                <w:szCs w:val="20"/>
                <w:color w:val="auto"/>
              </w:rPr>
            </w:pPr>
            <w:r>
              <w:rPr>
                <w:rFonts w:ascii="Arial" w:cs="Arial" w:eastAsia="Arial" w:hAnsi="Arial"/>
                <w:sz w:val="16"/>
                <w:szCs w:val="16"/>
                <w:color w:val="auto"/>
              </w:rPr>
              <w:t>66,802</w:t>
            </w:r>
          </w:p>
        </w:tc>
        <w:tc>
          <w:tcPr>
            <w:tcW w:w="1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7,528</w:t>
            </w:r>
          </w:p>
        </w:tc>
        <w:tc>
          <w:tcPr>
            <w:tcW w:w="1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48,736</w:t>
            </w:r>
          </w:p>
        </w:tc>
        <w:tc>
          <w:tcPr>
            <w:tcW w:w="10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4,298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Borders>
              <w:bottom w:val="single" w:sz="8" w:color="A6A6A6"/>
            </w:tcBorders>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3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PENSION AND EMPLOYEE BENEFIT PLANS</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sponsor several single-employer defined benefit plans and defined contribution plans, which together cover substantially all our employees. Benefits paid under the single-employer defined benefit plans covering certain hourly employees were historically based on years of service and the employee’s qualifying compensation over the last few years of employment. These plans have been frozen to new participants and new benefits within the last few years, with the last plan becoming frozen during fiscal 2020. Our defined benefit plans are all fully funded, with plan assets exceeding the benefit obligation at March 31, 2022. Due to the frozen status and current funding of the single-employer pension plans, our expected pension expense for fiscal 2023 is less than $0.1 million.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(L) INCOME TAXES</w:t>
      </w:r>
    </w:p>
    <w:p>
      <w:pPr>
        <w:spacing w:after="0" w:line="12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nine months ended December 31, 2022, was approximately 22%, which was consistent with the effective tax rate of 22% for the nine months ended December 31, 2021. The effective tax rate was higher than the U.S. Statutory rate of 21% mainly due to state income taxes, partially offset by a recognized benefit related to percentage depletion.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1199515</wp:posOffset>
            </wp:positionH>
            <wp:positionV relativeFrom="paragraph">
              <wp:posOffset>-280670</wp:posOffset>
            </wp:positionV>
            <wp:extent cx="6858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-151765</wp:posOffset>
            </wp:positionV>
            <wp:extent cx="6858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LONG-TERM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December 31, 2022 was as follows:</w:t>
      </w:r>
    </w:p>
    <w:tbl>
      <w:tblPr>
        <w:tblLayout w:type="fixed"/>
        <w:tblInd w:w="0" w:type="dxa"/>
        <w:tblCellMar>
          <w:top w:w="0" w:type="dxa"/>
          <w:left w:w="0" w:type="dxa"/>
          <w:bottom w:w="0" w:type="dxa"/>
          <w:right w:w="0" w:type="dxa"/>
        </w:tblCellMar>
      </w:tblPr>
      <w:tr>
        <w:trPr>
          <w:trHeight w:val="169"/>
        </w:trPr>
        <w:tc>
          <w:tcPr>
            <w:tcW w:w="1500" w:type="dxa"/>
            <w:vAlign w:val="bottom"/>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5100" w:type="dxa"/>
            <w:vAlign w:val="bottom"/>
          </w:tcPr>
          <w:p>
            <w:pPr>
              <w:spacing w:after="0"/>
              <w:rPr>
                <w:sz w:val="14"/>
                <w:szCs w:val="14"/>
                <w:color w:val="auto"/>
              </w:rPr>
            </w:pPr>
          </w:p>
        </w:tc>
        <w:tc>
          <w:tcPr>
            <w:tcW w:w="420" w:type="dxa"/>
            <w:vAlign w:val="bottom"/>
            <w:tcBorders>
              <w:top w:val="single" w:sz="8" w:color="004483"/>
            </w:tcBorders>
            <w:shd w:val="clear" w:color="auto" w:fill="004483"/>
          </w:tcPr>
          <w:p>
            <w:pPr>
              <w:spacing w:after="0"/>
              <w:rPr>
                <w:sz w:val="14"/>
                <w:szCs w:val="14"/>
                <w:color w:val="auto"/>
              </w:rPr>
            </w:pPr>
          </w:p>
        </w:tc>
        <w:tc>
          <w:tcPr>
            <w:tcW w:w="1260" w:type="dxa"/>
            <w:vAlign w:val="bottom"/>
            <w:tcBorders>
              <w:top w:val="single" w:sz="8" w:color="004483"/>
            </w:tcBorders>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December 31,</w:t>
            </w:r>
          </w:p>
        </w:tc>
        <w:tc>
          <w:tcPr>
            <w:tcW w:w="200" w:type="dxa"/>
            <w:vAlign w:val="bottom"/>
            <w:tcBorders>
              <w:top w:val="single" w:sz="8" w:color="004483"/>
            </w:tcBorders>
            <w:shd w:val="clear" w:color="auto" w:fill="004483"/>
          </w:tcPr>
          <w:p>
            <w:pPr>
              <w:spacing w:after="0"/>
              <w:rPr>
                <w:sz w:val="14"/>
                <w:szCs w:val="14"/>
                <w:color w:val="auto"/>
              </w:rPr>
            </w:pPr>
          </w:p>
        </w:tc>
        <w:tc>
          <w:tcPr>
            <w:tcW w:w="700" w:type="dxa"/>
            <w:vAlign w:val="bottom"/>
            <w:tcBorders>
              <w:top w:val="single" w:sz="8" w:color="004483"/>
            </w:tcBorders>
            <w:shd w:val="clear" w:color="auto" w:fill="004483"/>
          </w:tcPr>
          <w:p>
            <w:pPr>
              <w:spacing w:after="0"/>
              <w:rPr>
                <w:sz w:val="14"/>
                <w:szCs w:val="14"/>
                <w:color w:val="auto"/>
              </w:rPr>
            </w:pPr>
          </w:p>
        </w:tc>
        <w:tc>
          <w:tcPr>
            <w:tcW w:w="980" w:type="dxa"/>
            <w:vAlign w:val="bottom"/>
            <w:tcBorders>
              <w:top w:val="single" w:sz="8" w:color="004483"/>
            </w:tcBorders>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68"/>
        </w:trPr>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77"/>
        </w:trPr>
        <w:tc>
          <w:tcPr>
            <w:tcW w:w="1500" w:type="dxa"/>
            <w:vAlign w:val="bottom"/>
            <w:tcBorders>
              <w:bottom w:val="single" w:sz="8" w:color="004483"/>
            </w:tcBorders>
          </w:tcPr>
          <w:p>
            <w:pPr>
              <w:spacing w:after="0"/>
              <w:rPr>
                <w:sz w:val="15"/>
                <w:szCs w:val="15"/>
                <w:color w:val="auto"/>
              </w:rPr>
            </w:pPr>
          </w:p>
        </w:tc>
        <w:tc>
          <w:tcPr>
            <w:tcW w:w="1080" w:type="dxa"/>
            <w:vAlign w:val="bottom"/>
            <w:tcBorders>
              <w:bottom w:val="single" w:sz="8" w:color="004483"/>
            </w:tcBorders>
          </w:tcPr>
          <w:p>
            <w:pPr>
              <w:spacing w:after="0"/>
              <w:rPr>
                <w:sz w:val="15"/>
                <w:szCs w:val="15"/>
                <w:color w:val="auto"/>
              </w:rPr>
            </w:pPr>
          </w:p>
        </w:tc>
        <w:tc>
          <w:tcPr>
            <w:tcW w:w="510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2160" w:type="dxa"/>
            <w:vAlign w:val="bottom"/>
            <w:tcBorders>
              <w:bottom w:val="single" w:sz="8" w:color="004483"/>
            </w:tcBorders>
            <w:gridSpan w:val="4"/>
          </w:tcPr>
          <w:p>
            <w:pPr>
              <w:jc w:val="right"/>
              <w:ind w:right="179"/>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680" w:type="dxa"/>
            <w:vAlign w:val="bottom"/>
            <w:tcBorders>
              <w:bottom w:val="single" w:sz="8" w:color="A6A6A6"/>
            </w:tcBorders>
            <w:gridSpan w:val="3"/>
          </w:tcPr>
          <w:p>
            <w:pPr>
              <w:ind w:left="20"/>
              <w:spacing w:after="0"/>
              <w:rPr>
                <w:sz w:val="20"/>
                <w:szCs w:val="20"/>
                <w:color w:val="auto"/>
              </w:rPr>
            </w:pPr>
            <w:r>
              <w:rPr>
                <w:rFonts w:ascii="Arial" w:cs="Arial" w:eastAsia="Arial" w:hAnsi="Arial"/>
                <w:sz w:val="16"/>
                <w:szCs w:val="16"/>
                <w:color w:val="004483"/>
              </w:rPr>
              <w:t>Revolving Credit Facility</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tcPr>
          <w:p>
            <w:pPr>
              <w:spacing w:after="0"/>
              <w:rPr>
                <w:sz w:val="18"/>
                <w:szCs w:val="18"/>
                <w:color w:val="auto"/>
              </w:rPr>
            </w:pPr>
          </w:p>
        </w:tc>
        <w:tc>
          <w:tcPr>
            <w:tcW w:w="900" w:type="dxa"/>
            <w:vAlign w:val="bottom"/>
            <w:tcBorders>
              <w:bottom w:val="single" w:sz="8" w:color="A6A6A6"/>
            </w:tcBorders>
            <w:gridSpan w:val="2"/>
          </w:tcPr>
          <w:p>
            <w:pPr>
              <w:jc w:val="right"/>
              <w:ind w:right="5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r>
      <w:tr>
        <w:trPr>
          <w:trHeight w:val="209"/>
        </w:trPr>
        <w:tc>
          <w:tcPr>
            <w:tcW w:w="7680" w:type="dxa"/>
            <w:vAlign w:val="bottom"/>
            <w:tcBorders>
              <w:bottom w:val="single" w:sz="8" w:color="A6A6A6"/>
            </w:tcBorders>
            <w:gridSpan w:val="3"/>
          </w:tcPr>
          <w:p>
            <w:pPr>
              <w:ind w:left="20"/>
              <w:spacing w:after="0"/>
              <w:rPr>
                <w:sz w:val="20"/>
                <w:szCs w:val="20"/>
                <w:color w:val="auto"/>
              </w:rPr>
            </w:pPr>
            <w:r>
              <w:rPr>
                <w:rFonts w:ascii="Arial" w:cs="Arial" w:eastAsia="Arial" w:hAnsi="Arial"/>
                <w:sz w:val="16"/>
                <w:szCs w:val="16"/>
                <w:color w:val="004483"/>
              </w:rPr>
              <w:t>2.500% Senior Unsecured Notes Due 2031</w:t>
            </w:r>
          </w:p>
        </w:tc>
        <w:tc>
          <w:tcPr>
            <w:tcW w:w="4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8"/>
                <w:szCs w:val="18"/>
                <w:color w:val="auto"/>
              </w:rPr>
            </w:pPr>
          </w:p>
        </w:tc>
      </w:tr>
      <w:tr>
        <w:trPr>
          <w:trHeight w:val="240"/>
        </w:trPr>
        <w:tc>
          <w:tcPr>
            <w:tcW w:w="7680" w:type="dxa"/>
            <w:vAlign w:val="bottom"/>
            <w:gridSpan w:val="3"/>
          </w:tcPr>
          <w:p>
            <w:pPr>
              <w:ind w:left="20"/>
              <w:spacing w:after="0"/>
              <w:rPr>
                <w:sz w:val="20"/>
                <w:szCs w:val="20"/>
                <w:color w:val="auto"/>
              </w:rPr>
            </w:pPr>
            <w:r>
              <w:rPr>
                <w:rFonts w:ascii="Arial" w:cs="Arial" w:eastAsia="Arial" w:hAnsi="Arial"/>
                <w:sz w:val="16"/>
                <w:szCs w:val="16"/>
                <w:color w:val="004483"/>
              </w:rPr>
              <w:t>Term Loan</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195,000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7680" w:type="dxa"/>
            <w:vAlign w:val="bottom"/>
            <w:tcBorders>
              <w:top w:val="single" w:sz="8" w:color="A6A6A6"/>
              <w:bottom w:val="single" w:sz="8" w:color="A6A6A6"/>
            </w:tcBorders>
            <w:gridSpan w:val="3"/>
          </w:tcPr>
          <w:p>
            <w:pPr>
              <w:ind w:left="20"/>
              <w:spacing w:after="0"/>
              <w:rPr>
                <w:sz w:val="20"/>
                <w:szCs w:val="20"/>
                <w:color w:val="auto"/>
              </w:rPr>
            </w:pPr>
            <w:r>
              <w:rPr>
                <w:rFonts w:ascii="Arial" w:cs="Arial" w:eastAsia="Arial" w:hAnsi="Arial"/>
                <w:sz w:val="16"/>
                <w:szCs w:val="16"/>
                <w:b w:val="1"/>
                <w:bCs w:val="1"/>
                <w:color w:val="auto"/>
              </w:rPr>
              <w:t>Total Debt</w:t>
            </w:r>
          </w:p>
        </w:tc>
        <w:tc>
          <w:tcPr>
            <w:tcW w:w="420" w:type="dxa"/>
            <w:vAlign w:val="bottom"/>
            <w:tcBorders>
              <w:top w:val="single" w:sz="8" w:color="004483"/>
              <w:bottom w:val="single" w:sz="8" w:color="A6A6A6"/>
            </w:tcBorders>
          </w:tcPr>
          <w:p>
            <w:pPr>
              <w:spacing w:after="0"/>
              <w:rPr>
                <w:sz w:val="18"/>
                <w:szCs w:val="18"/>
                <w:color w:val="auto"/>
              </w:rPr>
            </w:pP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1,075,000</w:t>
            </w:r>
          </w:p>
        </w:tc>
        <w:tc>
          <w:tcPr>
            <w:tcW w:w="100" w:type="dxa"/>
            <w:vAlign w:val="bottom"/>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004483"/>
              <w:bottom w:val="single" w:sz="8" w:color="A6A6A6"/>
            </w:tcBorders>
          </w:tcPr>
          <w:p>
            <w:pPr>
              <w:spacing w:after="0"/>
              <w:rPr>
                <w:sz w:val="18"/>
                <w:szCs w:val="18"/>
                <w:color w:val="auto"/>
              </w:rPr>
            </w:pPr>
          </w:p>
        </w:tc>
        <w:tc>
          <w:tcPr>
            <w:tcW w:w="8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950,000</w:t>
            </w:r>
          </w:p>
        </w:tc>
        <w:tc>
          <w:tcPr>
            <w:tcW w:w="100" w:type="dxa"/>
            <w:vAlign w:val="bottom"/>
          </w:tcPr>
          <w:p>
            <w:pPr>
              <w:spacing w:after="0"/>
              <w:rPr>
                <w:sz w:val="18"/>
                <w:szCs w:val="18"/>
                <w:color w:val="auto"/>
              </w:rPr>
            </w:pPr>
          </w:p>
        </w:tc>
      </w:tr>
      <w:tr>
        <w:trPr>
          <w:trHeight w:val="207"/>
        </w:trPr>
        <w:tc>
          <w:tcPr>
            <w:tcW w:w="7680" w:type="dxa"/>
            <w:vAlign w:val="bottom"/>
            <w:gridSpan w:val="3"/>
          </w:tcPr>
          <w:p>
            <w:pPr>
              <w:ind w:left="20"/>
              <w:spacing w:after="0"/>
              <w:rPr>
                <w:sz w:val="20"/>
                <w:szCs w:val="20"/>
                <w:color w:val="auto"/>
              </w:rPr>
            </w:pPr>
            <w:r>
              <w:rPr>
                <w:rFonts w:ascii="Arial" w:cs="Arial" w:eastAsia="Arial" w:hAnsi="Arial"/>
                <w:sz w:val="16"/>
                <w:szCs w:val="16"/>
                <w:color w:val="004483"/>
              </w:rPr>
              <w:t>Less: Current Portion of Long-term Debt</w:t>
            </w:r>
          </w:p>
        </w:tc>
        <w:tc>
          <w:tcPr>
            <w:tcW w:w="4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(10,000 )</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1500" w:type="dxa"/>
            <w:vAlign w:val="bottom"/>
            <w:shd w:val="clear" w:color="auto" w:fill="A6A6A6"/>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510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680" w:type="dxa"/>
            <w:vAlign w:val="bottom"/>
            <w:gridSpan w:val="3"/>
          </w:tcPr>
          <w:p>
            <w:pPr>
              <w:ind w:left="20"/>
              <w:spacing w:after="0"/>
              <w:rPr>
                <w:sz w:val="20"/>
                <w:szCs w:val="20"/>
                <w:color w:val="auto"/>
              </w:rPr>
            </w:pPr>
            <w:r>
              <w:rPr>
                <w:rFonts w:ascii="Arial" w:cs="Arial" w:eastAsia="Arial" w:hAnsi="Arial"/>
                <w:sz w:val="16"/>
                <w:szCs w:val="16"/>
                <w:color w:val="004483"/>
              </w:rPr>
              <w:t>Less: Unamortized Discounts and Debt Issuance Costs</w:t>
            </w:r>
          </w:p>
        </w:tc>
        <w:tc>
          <w:tcPr>
            <w:tcW w:w="4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(10,785 )</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(11,735 )</w:t>
            </w:r>
          </w:p>
        </w:tc>
      </w:tr>
      <w:tr>
        <w:trPr>
          <w:trHeight w:val="209"/>
        </w:trPr>
        <w:tc>
          <w:tcPr>
            <w:tcW w:w="7680" w:type="dxa"/>
            <w:vAlign w:val="bottom"/>
            <w:tcBorders>
              <w:top w:val="single" w:sz="8" w:color="A6A6A6"/>
            </w:tcBorders>
            <w:gridSpan w:val="3"/>
          </w:tcPr>
          <w:p>
            <w:pPr>
              <w:ind w:left="20"/>
              <w:spacing w:after="0"/>
              <w:rPr>
                <w:sz w:val="20"/>
                <w:szCs w:val="20"/>
                <w:color w:val="auto"/>
              </w:rPr>
            </w:pPr>
            <w:r>
              <w:rPr>
                <w:rFonts w:ascii="Arial" w:cs="Arial" w:eastAsia="Arial" w:hAnsi="Arial"/>
                <w:sz w:val="16"/>
                <w:szCs w:val="16"/>
                <w:b w:val="1"/>
                <w:bCs w:val="1"/>
                <w:color w:val="auto"/>
              </w:rPr>
              <w:t>Long-term Debt</w:t>
            </w:r>
          </w:p>
        </w:tc>
        <w:tc>
          <w:tcPr>
            <w:tcW w:w="420" w:type="dxa"/>
            <w:vAlign w:val="bottom"/>
            <w:tcBorders>
              <w:top w:val="single" w:sz="8" w:color="004483"/>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1,054,215</w:t>
            </w:r>
          </w:p>
        </w:tc>
        <w:tc>
          <w:tcPr>
            <w:tcW w:w="100" w:type="dxa"/>
            <w:vAlign w:val="bottom"/>
          </w:tcPr>
          <w:p>
            <w:pPr>
              <w:spacing w:after="0"/>
              <w:rPr>
                <w:sz w:val="18"/>
                <w:szCs w:val="18"/>
                <w:color w:val="auto"/>
              </w:rPr>
            </w:pPr>
          </w:p>
        </w:tc>
        <w:tc>
          <w:tcPr>
            <w:tcW w:w="200" w:type="dxa"/>
            <w:vAlign w:val="bottom"/>
            <w:tcBorders>
              <w:top w:val="single" w:sz="8" w:color="A6A6A6"/>
            </w:tcBorders>
          </w:tcPr>
          <w:p>
            <w:pPr>
              <w:spacing w:after="0"/>
              <w:rPr>
                <w:sz w:val="18"/>
                <w:szCs w:val="18"/>
                <w:color w:val="auto"/>
              </w:rPr>
            </w:pPr>
          </w:p>
        </w:tc>
        <w:tc>
          <w:tcPr>
            <w:tcW w:w="700" w:type="dxa"/>
            <w:vAlign w:val="bottom"/>
            <w:tcBorders>
              <w:top w:val="single" w:sz="8" w:color="004483"/>
              <w:bottom w:val="single" w:sz="8" w:color="004483"/>
            </w:tcBorders>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938,265</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Facility</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have an unsecured $750.0 million revolving credit facility that was amended on May 5, 2022 (such facility, as amended, the Revolving Credit Facility). The Revolving Credit Facility includes a separate $200.0 million term loan facility (the Term Loan) and also provides the Company the option to increase the revolving borrowing capacity by up to $375.0 million (for a total revolving borrowing capacity of $1,125.0 million, excluding the Term Loan), provided that the existing lenders, or new lenders, agree to such increase. The Revolving Credit Facility includes a $40.0 million letter of credit facility and a swingline loan sub-facility of $25.0 million, and expires on May 5, 2027.</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2.50:1.00 (collectively, the Financial Covenants).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ind w:right="60"/>
        <w:spacing w:after="0" w:line="248" w:lineRule="auto"/>
        <w:rPr>
          <w:sz w:val="20"/>
          <w:szCs w:val="20"/>
          <w:color w:val="auto"/>
        </w:rPr>
      </w:pPr>
      <w:r>
        <w:rPr>
          <w:rFonts w:ascii="Arial" w:cs="Arial" w:eastAsia="Arial" w:hAnsi="Arial"/>
          <w:sz w:val="17"/>
          <w:szCs w:val="17"/>
          <w:color w:val="auto"/>
        </w:rPr>
        <w:t>At the Company’s option, outstanding loans under the Revolving Credit Facility bear interest, at a variable rate equal to either (i) the adjusted term SOFR rate (secured overnight financing rate), plus 10 bps, plus an agreed spread (ranging from 100 to 162.5 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bps, plus an agreed spread (ranging from 100 to 162.5 basis points, which is established based on the Company's credit rating) or</w:t>
      </w:r>
    </w:p>
    <w:p>
      <w:pPr>
        <w:spacing w:after="0" w:line="3" w:lineRule="exact"/>
        <w:rPr>
          <w:sz w:val="20"/>
          <w:szCs w:val="20"/>
          <w:color w:val="auto"/>
        </w:rPr>
      </w:pPr>
    </w:p>
    <w:p>
      <w:pPr>
        <w:ind w:right="20" w:firstLine="8"/>
        <w:spacing w:after="0" w:line="237" w:lineRule="auto"/>
        <w:tabs>
          <w:tab w:leader="none" w:pos="2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9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There was $130.0 million of outstanding borrowings under the Revolving Credit Facility, plus $6.4 million outstanding letters of credit as of December 31, 2022, leaving us with $613.6 million of available borrowings under the Revolving Credit Facility, net of the outstanding letters of credit. We were in compliance with all Financial Covenants on December 31, 2022; therefore, all $613.6 million is available for future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-151765</wp:posOffset>
            </wp:positionV>
            <wp:extent cx="6858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May 5, 2022, we borrowed the $200.0 million Term Loan under the Revolving Credit Facility, and used these proceeds to, among other things, pay down a portion of the Revolving Credit Facility. The Term Loan requires quarterly principal payments of $2.5 million, with any unpaid amounts due upon maturity on May 5, 2027.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2.500% Senior Unsecured Notes Due 2031</w:t>
      </w:r>
    </w:p>
    <w:p>
      <w:pPr>
        <w:spacing w:after="0" w:line="12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ten-year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of Debt</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connection with the issuance of the 2.500% Senior Unsecured Notes on July 1, 2021, we repaid all outstanding amounts under and terminated our $665.0 million term loan credit agreement (the Term Loan Credit Agreement). The Term Loan Credit Agreement was used to pay a portion of the purchase price for the Kosmos Acquisition and fees and expenses incurred in connection with the Kosmos Acquisition in March 2020. Additionally, on July 19, 2021 (the first business day following the redemption date), we redeemed and paid in full all outstanding amounts due under the $350.0 million aggregate principal amount of 4.500% senior notes (4.500% Senior Unsecured Notes) due August 2026, using proceeds from the 2.500% Senior Unsecured Notes, the Revolving Credit Facility and cash on hand. The 4.500% Senior Unsecured Notes redemption price included all of the outstanding principal and accrued interest through the redemption date of July 17, 2021, as well as an early termination premium of approximately $8.4 million. In connection with the termination and repayment of the Term Loan Facility and the redemption of the 4.500% Senior Unsecured Notes, we expensed approximately $6.1 million of related debt issuance costs in July 2021.</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 SEGMENT INFORMATION</w:t>
      </w:r>
    </w:p>
    <w:p>
      <w:pPr>
        <w:spacing w:after="0" w:line="12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w:t>
      </w:r>
    </w:p>
    <w:p>
      <w:pPr>
        <w:spacing w:after="0" w:line="9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Our operations are conducted in the U.S. and include the mining of limestone for the manufacture,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8" w:name="page19"/>
    <w:bookmarkEnd w:id="18"/>
    <w:p>
      <w:pPr>
        <w:jc w:val="both"/>
        <w:ind w:right="300"/>
        <w:spacing w:after="0" w:line="238" w:lineRule="auto"/>
        <w:rPr>
          <w:sz w:val="20"/>
          <w:szCs w:val="20"/>
          <w:color w:val="auto"/>
        </w:rPr>
      </w:pPr>
      <w:r>
        <w:rPr>
          <w:rFonts w:ascii="Arial" w:cs="Arial" w:eastAsia="Arial" w:hAnsi="Arial"/>
          <w:sz w:val="18"/>
          <w:szCs w:val="18"/>
          <w:color w:val="auto"/>
        </w:rPr>
        <w:t>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9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operate eight cement plants (one of which is operated through a joint venture located in Buda, Texas), one slag grinding facility, and 30 cement distribution terminals. Our cement companies focus on the U.S. heartland and operate as an integrated network selling product primarily in California, Colorado, Illinois, Indiana, Iowa, Kansas, Kentucky, Missouri, Nebraska, Nevada, Ohio, Oklahoma, Tennessee, and Texas. We operate 30 readymix concrete batch plants and five aggregates processing plants in markets that are complementary to our cement network.</w:t>
      </w:r>
    </w:p>
    <w:p>
      <w:pPr>
        <w:spacing w:after="0" w:line="94"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8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9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following table sets forth certain financial information relating to our operations by segment. We do not allocate interest or taxes at the segment level; these costs are disclosed at the consolidated company level.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Borders>
              <w:right w:val="single" w:sz="8" w:color="004483"/>
            </w:tcBorders>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20" w:type="dxa"/>
            <w:vAlign w:val="bottom"/>
            <w:gridSpan w:val="7"/>
            <w:shd w:val="clear" w:color="auto" w:fill="004483"/>
          </w:tcPr>
          <w:p>
            <w:pPr>
              <w:jc w:val="right"/>
              <w:ind w:right="260"/>
              <w:spacing w:after="0"/>
              <w:rPr>
                <w:sz w:val="20"/>
                <w:szCs w:val="20"/>
                <w:color w:val="auto"/>
              </w:rPr>
            </w:pPr>
            <w:r>
              <w:rPr>
                <w:rFonts w:ascii="Arial" w:cs="Arial" w:eastAsia="Arial" w:hAnsi="Arial"/>
                <w:sz w:val="13"/>
                <w:szCs w:val="13"/>
                <w:b w:val="1"/>
                <w:bCs w:val="1"/>
                <w:color w:val="FFFFFF"/>
                <w:w w:val="96"/>
              </w:rPr>
              <w:t>For the Three Months Ended December 31,</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40" w:type="dxa"/>
            <w:vAlign w:val="bottom"/>
            <w:gridSpan w:val="8"/>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Nine Months Ended December 31,</w:t>
            </w: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77"/>
        </w:trPr>
        <w:tc>
          <w:tcPr>
            <w:tcW w:w="53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520" w:type="dxa"/>
            <w:vAlign w:val="bottom"/>
            <w:tcBorders>
              <w:bottom w:val="single" w:sz="8" w:color="004483"/>
            </w:tcBorders>
            <w:gridSpan w:val="8"/>
          </w:tcPr>
          <w:p>
            <w:pPr>
              <w:ind w:left="380"/>
              <w:spacing w:after="0"/>
              <w:rPr>
                <w:sz w:val="20"/>
                <w:szCs w:val="20"/>
                <w:color w:val="auto"/>
              </w:rPr>
            </w:pPr>
            <w:r>
              <w:rPr>
                <w:rFonts w:ascii="Arial" w:cs="Arial" w:eastAsia="Arial" w:hAnsi="Arial"/>
                <w:sz w:val="13"/>
                <w:szCs w:val="13"/>
                <w:color w:val="auto"/>
              </w:rPr>
              <w:t>(dollars in thousands)</w:t>
            </w:r>
          </w:p>
        </w:tc>
        <w:tc>
          <w:tcPr>
            <w:tcW w:w="100" w:type="dxa"/>
            <w:vAlign w:val="bottom"/>
            <w:tcBorders>
              <w:bottom w:val="single" w:sz="8" w:color="004483"/>
            </w:tcBorders>
          </w:tcPr>
          <w:p>
            <w:pPr>
              <w:spacing w:after="0"/>
              <w:rPr>
                <w:sz w:val="15"/>
                <w:szCs w:val="15"/>
                <w:color w:val="auto"/>
              </w:rPr>
            </w:pPr>
          </w:p>
        </w:tc>
        <w:tc>
          <w:tcPr>
            <w:tcW w:w="2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5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256,313</w:t>
            </w:r>
          </w:p>
        </w:tc>
        <w:tc>
          <w:tcPr>
            <w:tcW w:w="140" w:type="dxa"/>
            <w:vAlign w:val="bottom"/>
          </w:tcPr>
          <w:p>
            <w:pPr>
              <w:spacing w:after="0"/>
              <w:rPr>
                <w:sz w:val="18"/>
                <w:szCs w:val="18"/>
                <w:color w:val="auto"/>
              </w:rPr>
            </w:pPr>
          </w:p>
        </w:tc>
        <w:tc>
          <w:tcPr>
            <w:tcW w:w="520" w:type="dxa"/>
            <w:vAlign w:val="bottom"/>
            <w:tcBorders>
              <w:bottom w:val="single" w:sz="8" w:color="A6A6A6"/>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261,155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860,289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6A6A6"/>
            </w:tcBorders>
            <w:gridSpan w:val="3"/>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819,734</w:t>
            </w:r>
          </w:p>
        </w:tc>
        <w:tc>
          <w:tcPr>
            <w:tcW w:w="100" w:type="dxa"/>
            <w:vAlign w:val="bottom"/>
          </w:tcPr>
          <w:p>
            <w:pPr>
              <w:spacing w:after="0"/>
              <w:rPr>
                <w:sz w:val="18"/>
                <w:szCs w:val="18"/>
                <w:color w:val="auto"/>
              </w:rPr>
            </w:pPr>
          </w:p>
        </w:tc>
      </w:tr>
      <w:tr>
        <w:trPr>
          <w:trHeight w:val="209"/>
        </w:trPr>
        <w:tc>
          <w:tcPr>
            <w:tcW w:w="5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55,176</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42,384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186,407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139,888</w:t>
            </w:r>
          </w:p>
        </w:tc>
        <w:tc>
          <w:tcPr>
            <w:tcW w:w="100" w:type="dxa"/>
            <w:vAlign w:val="bottom"/>
          </w:tcPr>
          <w:p>
            <w:pPr>
              <w:spacing w:after="0"/>
              <w:rPr>
                <w:sz w:val="18"/>
                <w:szCs w:val="18"/>
                <w:color w:val="auto"/>
              </w:rPr>
            </w:pPr>
          </w:p>
        </w:tc>
      </w:tr>
      <w:tr>
        <w:trPr>
          <w:trHeight w:val="210"/>
        </w:trPr>
        <w:tc>
          <w:tcPr>
            <w:tcW w:w="5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212,016</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163,584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652,981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502,836</w:t>
            </w:r>
          </w:p>
        </w:tc>
        <w:tc>
          <w:tcPr>
            <w:tcW w:w="100" w:type="dxa"/>
            <w:vAlign w:val="bottom"/>
          </w:tcPr>
          <w:p>
            <w:pPr>
              <w:spacing w:after="0"/>
              <w:rPr>
                <w:sz w:val="18"/>
                <w:szCs w:val="18"/>
                <w:color w:val="auto"/>
              </w:rPr>
            </w:pPr>
          </w:p>
        </w:tc>
      </w:tr>
      <w:tr>
        <w:trPr>
          <w:trHeight w:val="239"/>
        </w:trPr>
        <w:tc>
          <w:tcPr>
            <w:tcW w:w="5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Paperboard</w:t>
            </w:r>
          </w:p>
        </w:tc>
        <w:tc>
          <w:tcPr>
            <w:tcW w:w="1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47,774</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400" w:type="dxa"/>
            <w:vAlign w:val="bottom"/>
            <w:tcBorders>
              <w:bottom w:val="single" w:sz="8" w:color="004483"/>
            </w:tcBorders>
          </w:tcPr>
          <w:p>
            <w:pPr>
              <w:spacing w:after="0"/>
              <w:rPr>
                <w:sz w:val="20"/>
                <w:szCs w:val="20"/>
                <w:color w:val="auto"/>
              </w:rPr>
            </w:pP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49,763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155,520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6A6A6"/>
            </w:tcBorders>
          </w:tcPr>
          <w:p>
            <w:pPr>
              <w:spacing w:after="0"/>
              <w:rPr>
                <w:sz w:val="20"/>
                <w:szCs w:val="20"/>
                <w:color w:val="auto"/>
              </w:rPr>
            </w:pPr>
          </w:p>
        </w:tc>
        <w:tc>
          <w:tcPr>
            <w:tcW w:w="20" w:type="dxa"/>
            <w:vAlign w:val="bottom"/>
            <w:tcBorders>
              <w:bottom w:val="single" w:sz="8" w:color="A6A6A6"/>
            </w:tcBorders>
          </w:tcPr>
          <w:p>
            <w:pPr>
              <w:spacing w:after="0"/>
              <w:rPr>
                <w:sz w:val="20"/>
                <w:szCs w:val="20"/>
                <w:color w:val="auto"/>
              </w:rPr>
            </w:pPr>
          </w:p>
        </w:tc>
        <w:tc>
          <w:tcPr>
            <w:tcW w:w="32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140,828</w:t>
            </w:r>
          </w:p>
        </w:tc>
        <w:tc>
          <w:tcPr>
            <w:tcW w:w="100" w:type="dxa"/>
            <w:vAlign w:val="bottom"/>
          </w:tcPr>
          <w:p>
            <w:pPr>
              <w:spacing w:after="0"/>
              <w:rPr>
                <w:sz w:val="20"/>
                <w:szCs w:val="20"/>
                <w:color w:val="auto"/>
              </w:rPr>
            </w:pPr>
          </w:p>
        </w:tc>
      </w:tr>
      <w:tr>
        <w:trPr>
          <w:trHeight w:val="207"/>
        </w:trPr>
        <w:tc>
          <w:tcPr>
            <w:tcW w:w="530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571,279</w:t>
            </w: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516,886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1,855,197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1,603,286</w:t>
            </w:r>
          </w:p>
        </w:tc>
        <w:tc>
          <w:tcPr>
            <w:tcW w:w="100" w:type="dxa"/>
            <w:vAlign w:val="bottom"/>
          </w:tcPr>
          <w:p>
            <w:pPr>
              <w:spacing w:after="0"/>
              <w:rPr>
                <w:sz w:val="17"/>
                <w:szCs w:val="17"/>
                <w:color w:val="auto"/>
              </w:rPr>
            </w:pPr>
          </w:p>
        </w:tc>
      </w:tr>
      <w:tr>
        <w:trPr>
          <w:trHeight w:val="209"/>
        </w:trPr>
        <w:tc>
          <w:tcPr>
            <w:tcW w:w="5300" w:type="dxa"/>
            <w:vAlign w:val="bottom"/>
          </w:tcPr>
          <w:p>
            <w:pPr>
              <w:ind w:left="200"/>
              <w:spacing w:after="0"/>
              <w:rPr>
                <w:sz w:val="20"/>
                <w:szCs w:val="20"/>
                <w:color w:val="auto"/>
              </w:rPr>
            </w:pPr>
            <w:r>
              <w:rPr>
                <w:rFonts w:ascii="Arial" w:cs="Arial" w:eastAsia="Arial" w:hAnsi="Arial"/>
                <w:sz w:val="16"/>
                <w:szCs w:val="16"/>
                <w:color w:val="004483"/>
              </w:rPr>
              <w:t>Less: Intersegment Revenue</w:t>
            </w: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(32,172 )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(26,539 )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(98,190 )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(77,858 )</w:t>
            </w:r>
          </w:p>
        </w:tc>
      </w:tr>
      <w:tr>
        <w:trPr>
          <w:trHeight w:val="20"/>
        </w:trPr>
        <w:tc>
          <w:tcPr>
            <w:tcW w:w="5300" w:type="dxa"/>
            <w:vAlign w:val="bottom"/>
            <w:tcBorders>
              <w:right w:val="single" w:sz="8" w:color="A6A6A6"/>
            </w:tcBorders>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left w:val="single" w:sz="8" w:color="A6A6A6"/>
            </w:tcBorders>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40" w:type="dxa"/>
            <w:vAlign w:val="bottom"/>
            <w:tcBorders>
              <w:right w:val="single" w:sz="8" w:color="A6A6A6"/>
            </w:tcBorders>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5300" w:type="dxa"/>
            <w:vAlign w:val="bottom"/>
          </w:tcPr>
          <w:p>
            <w:pPr>
              <w:ind w:left="200"/>
              <w:spacing w:after="0"/>
              <w:rPr>
                <w:sz w:val="20"/>
                <w:szCs w:val="20"/>
                <w:color w:val="auto"/>
              </w:rPr>
            </w:pPr>
            <w:r>
              <w:rPr>
                <w:rFonts w:ascii="Arial" w:cs="Arial" w:eastAsia="Arial" w:hAnsi="Arial"/>
                <w:sz w:val="16"/>
                <w:szCs w:val="16"/>
                <w:color w:val="004483"/>
              </w:rPr>
              <w:t>Less: Joint Venture Revenue</w:t>
            </w:r>
          </w:p>
        </w:tc>
        <w:tc>
          <w:tcPr>
            <w:tcW w:w="1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(27,620 )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(27,406 )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(79,065 )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(77,023 )</w:t>
            </w:r>
          </w:p>
        </w:tc>
      </w:tr>
      <w:tr>
        <w:trPr>
          <w:trHeight w:val="209"/>
        </w:trPr>
        <w:tc>
          <w:tcPr>
            <w:tcW w:w="5300" w:type="dxa"/>
            <w:vAlign w:val="bottom"/>
            <w:tcBorders>
              <w:top w:val="single" w:sz="8" w:color="A6A6A6"/>
            </w:tcBorders>
          </w:tcPr>
          <w:p>
            <w:pPr>
              <w:spacing w:after="0"/>
              <w:rPr>
                <w:sz w:val="18"/>
                <w:szCs w:val="18"/>
                <w:color w:val="auto"/>
              </w:rPr>
            </w:pPr>
          </w:p>
        </w:tc>
        <w:tc>
          <w:tcPr>
            <w:tcW w:w="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511,487</w:t>
            </w:r>
          </w:p>
        </w:tc>
        <w:tc>
          <w:tcPr>
            <w:tcW w:w="14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400" w:type="dxa"/>
            <w:vAlign w:val="bottom"/>
            <w:tcBorders>
              <w:top w:val="single" w:sz="8" w:color="004483"/>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462,941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1,677,942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6A6A6"/>
            </w:tcBorders>
          </w:tcPr>
          <w:p>
            <w:pPr>
              <w:spacing w:after="0"/>
              <w:rPr>
                <w:sz w:val="18"/>
                <w:szCs w:val="18"/>
                <w:color w:val="auto"/>
              </w:rPr>
            </w:pPr>
          </w:p>
        </w:tc>
        <w:tc>
          <w:tcPr>
            <w:tcW w:w="20" w:type="dxa"/>
            <w:vAlign w:val="bottom"/>
            <w:tcBorders>
              <w:top w:val="single" w:sz="8" w:color="A6A6A6"/>
            </w:tcBorders>
          </w:tcPr>
          <w:p>
            <w:pPr>
              <w:spacing w:after="0"/>
              <w:rPr>
                <w:sz w:val="18"/>
                <w:szCs w:val="18"/>
                <w:color w:val="auto"/>
              </w:rPr>
            </w:pPr>
          </w:p>
        </w:tc>
        <w:tc>
          <w:tcPr>
            <w:tcW w:w="320" w:type="dxa"/>
            <w:vAlign w:val="bottom"/>
            <w:tcBorders>
              <w:top w:val="single" w:sz="8" w:color="004483"/>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1,448,405</w:t>
            </w:r>
          </w:p>
        </w:tc>
        <w:tc>
          <w:tcPr>
            <w:tcW w:w="10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00" w:type="dxa"/>
            <w:vAlign w:val="bottom"/>
            <w:tcBorders>
              <w:bottom w:val="single" w:sz="8" w:color="004483"/>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400" w:type="dxa"/>
            <w:vAlign w:val="bottom"/>
            <w:gridSpan w:val="4"/>
          </w:tcPr>
          <w:p>
            <w:pPr>
              <w:spacing w:after="0"/>
              <w:rPr>
                <w:sz w:val="24"/>
                <w:szCs w:val="24"/>
                <w:color w:val="auto"/>
              </w:rPr>
            </w:pPr>
          </w:p>
        </w:tc>
      </w:tr>
      <w:tr>
        <w:trPr>
          <w:trHeight w:val="162"/>
        </w:trPr>
        <w:tc>
          <w:tcPr>
            <w:tcW w:w="530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20" w:type="dxa"/>
            <w:vAlign w:val="bottom"/>
            <w:gridSpan w:val="7"/>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Three Months Ended December 31,</w:t>
            </w:r>
          </w:p>
        </w:tc>
        <w:tc>
          <w:tcPr>
            <w:tcW w:w="140" w:type="dxa"/>
            <w:vAlign w:val="bottom"/>
            <w:tcBorders>
              <w:left w:val="single" w:sz="8" w:color="004483"/>
            </w:tcBorders>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40" w:type="dxa"/>
            <w:vAlign w:val="bottom"/>
            <w:gridSpan w:val="8"/>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Nine Months Ended December 31,</w:t>
            </w: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77"/>
        </w:trPr>
        <w:tc>
          <w:tcPr>
            <w:tcW w:w="53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520" w:type="dxa"/>
            <w:vAlign w:val="bottom"/>
            <w:tcBorders>
              <w:bottom w:val="single" w:sz="8" w:color="004483"/>
            </w:tcBorders>
            <w:gridSpan w:val="8"/>
          </w:tcPr>
          <w:p>
            <w:pPr>
              <w:ind w:left="400"/>
              <w:spacing w:after="0"/>
              <w:rPr>
                <w:sz w:val="20"/>
                <w:szCs w:val="20"/>
                <w:color w:val="auto"/>
              </w:rPr>
            </w:pPr>
            <w:r>
              <w:rPr>
                <w:rFonts w:ascii="Arial" w:cs="Arial" w:eastAsia="Arial" w:hAnsi="Arial"/>
                <w:sz w:val="13"/>
                <w:szCs w:val="13"/>
                <w:color w:val="auto"/>
              </w:rPr>
              <w:t>(dollars in thousands)</w:t>
            </w:r>
          </w:p>
        </w:tc>
        <w:tc>
          <w:tcPr>
            <w:tcW w:w="100" w:type="dxa"/>
            <w:vAlign w:val="bottom"/>
            <w:tcBorders>
              <w:bottom w:val="single" w:sz="8" w:color="004483"/>
            </w:tcBorders>
          </w:tcPr>
          <w:p>
            <w:pPr>
              <w:spacing w:after="0"/>
              <w:rPr>
                <w:sz w:val="15"/>
                <w:szCs w:val="15"/>
                <w:color w:val="auto"/>
              </w:rPr>
            </w:pPr>
          </w:p>
        </w:tc>
        <w:tc>
          <w:tcPr>
            <w:tcW w:w="2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5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Intersegment Revenue</w:t>
            </w: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300" w:type="dxa"/>
            <w:vAlign w:val="bottom"/>
          </w:tcPr>
          <w:p>
            <w:pPr>
              <w:ind w:left="200"/>
              <w:spacing w:after="0"/>
              <w:rPr>
                <w:sz w:val="20"/>
                <w:szCs w:val="20"/>
                <w:color w:val="auto"/>
              </w:rPr>
            </w:pPr>
            <w:r>
              <w:rPr>
                <w:rFonts w:ascii="Arial" w:cs="Arial" w:eastAsia="Arial" w:hAnsi="Arial"/>
                <w:sz w:val="16"/>
                <w:szCs w:val="16"/>
                <w:color w:val="004483"/>
              </w:rPr>
              <w:t>Cement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7,719</w:t>
            </w:r>
          </w:p>
        </w:tc>
        <w:tc>
          <w:tcPr>
            <w:tcW w:w="140" w:type="dxa"/>
            <w:vAlign w:val="bottom"/>
          </w:tcPr>
          <w:p>
            <w:pPr>
              <w:spacing w:after="0"/>
              <w:rPr>
                <w:sz w:val="18"/>
                <w:szCs w:val="18"/>
                <w:color w:val="auto"/>
              </w:rPr>
            </w:pP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5,301</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26,371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18,357</w:t>
            </w:r>
          </w:p>
        </w:tc>
        <w:tc>
          <w:tcPr>
            <w:tcW w:w="100" w:type="dxa"/>
            <w:vAlign w:val="bottom"/>
          </w:tcPr>
          <w:p>
            <w:pPr>
              <w:spacing w:after="0"/>
              <w:rPr>
                <w:sz w:val="18"/>
                <w:szCs w:val="18"/>
                <w:color w:val="auto"/>
              </w:rPr>
            </w:pPr>
          </w:p>
        </w:tc>
      </w:tr>
      <w:tr>
        <w:trPr>
          <w:trHeight w:val="239"/>
        </w:trPr>
        <w:tc>
          <w:tcPr>
            <w:tcW w:w="53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Paperboard</w:t>
            </w:r>
          </w:p>
        </w:tc>
        <w:tc>
          <w:tcPr>
            <w:tcW w:w="120" w:type="dxa"/>
            <w:vAlign w:val="bottom"/>
            <w:tcBorders>
              <w:top w:val="single" w:sz="8" w:color="A6A6A6"/>
              <w:bottom w:val="single" w:sz="8" w:color="004483"/>
            </w:tcBorders>
          </w:tcPr>
          <w:p>
            <w:pPr>
              <w:spacing w:after="0"/>
              <w:rPr>
                <w:sz w:val="20"/>
                <w:szCs w:val="20"/>
                <w:color w:val="auto"/>
              </w:rPr>
            </w:pPr>
          </w:p>
        </w:tc>
        <w:tc>
          <w:tcPr>
            <w:tcW w:w="11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24,453</w:t>
            </w:r>
          </w:p>
        </w:tc>
        <w:tc>
          <w:tcPr>
            <w:tcW w:w="14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400" w:type="dxa"/>
            <w:vAlign w:val="bottom"/>
            <w:tcBorders>
              <w:top w:val="single" w:sz="8" w:color="A6A6A6"/>
              <w:bottom w:val="single" w:sz="8" w:color="004483"/>
            </w:tcBorders>
          </w:tcPr>
          <w:p>
            <w:pPr>
              <w:spacing w:after="0"/>
              <w:rPr>
                <w:sz w:val="20"/>
                <w:szCs w:val="20"/>
                <w:color w:val="auto"/>
              </w:rPr>
            </w:pPr>
          </w:p>
        </w:tc>
        <w:tc>
          <w:tcPr>
            <w:tcW w:w="9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21,238</w:t>
            </w:r>
          </w:p>
        </w:tc>
        <w:tc>
          <w:tcPr>
            <w:tcW w:w="20" w:type="dxa"/>
            <w:vAlign w:val="bottom"/>
            <w:tcBorders>
              <w:top w:val="single" w:sz="8" w:color="A6A6A6"/>
              <w:bottom w:val="single" w:sz="8" w:color="004483"/>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20" w:type="dxa"/>
            <w:vAlign w:val="bottom"/>
            <w:tcBorders>
              <w:top w:val="single" w:sz="8" w:color="A6A6A6"/>
              <w:bottom w:val="single" w:sz="8" w:color="004483"/>
            </w:tcBorders>
          </w:tcPr>
          <w:p>
            <w:pPr>
              <w:spacing w:after="0"/>
              <w:rPr>
                <w:sz w:val="20"/>
                <w:szCs w:val="20"/>
                <w:color w:val="auto"/>
              </w:rPr>
            </w:pPr>
          </w:p>
        </w:tc>
        <w:tc>
          <w:tcPr>
            <w:tcW w:w="11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71,819</w:t>
            </w:r>
          </w:p>
        </w:tc>
        <w:tc>
          <w:tcPr>
            <w:tcW w:w="80" w:type="dxa"/>
            <w:vAlign w:val="bottom"/>
          </w:tcPr>
          <w:p>
            <w:pPr>
              <w:spacing w:after="0"/>
              <w:rPr>
                <w:sz w:val="20"/>
                <w:szCs w:val="20"/>
                <w:color w:val="auto"/>
              </w:rPr>
            </w:pPr>
          </w:p>
        </w:tc>
        <w:tc>
          <w:tcPr>
            <w:tcW w:w="20" w:type="dxa"/>
            <w:vAlign w:val="bottom"/>
            <w:tcBorders>
              <w:top w:val="single" w:sz="8" w:color="A6A6A6"/>
              <w:bottom w:val="single" w:sz="8" w:color="A6A6A6"/>
            </w:tcBorders>
          </w:tcPr>
          <w:p>
            <w:pPr>
              <w:spacing w:after="0"/>
              <w:rPr>
                <w:sz w:val="20"/>
                <w:szCs w:val="20"/>
                <w:color w:val="auto"/>
              </w:rPr>
            </w:pPr>
          </w:p>
        </w:tc>
        <w:tc>
          <w:tcPr>
            <w:tcW w:w="100" w:type="dxa"/>
            <w:vAlign w:val="bottom"/>
            <w:tcBorders>
              <w:top w:val="single" w:sz="8" w:color="A6A6A6"/>
              <w:bottom w:val="single" w:sz="8" w:color="A6A6A6"/>
            </w:tcBorders>
          </w:tcPr>
          <w:p>
            <w:pPr>
              <w:spacing w:after="0"/>
              <w:rPr>
                <w:sz w:val="20"/>
                <w:szCs w:val="20"/>
                <w:color w:val="auto"/>
              </w:rPr>
            </w:pPr>
          </w:p>
        </w:tc>
        <w:tc>
          <w:tcPr>
            <w:tcW w:w="20" w:type="dxa"/>
            <w:vAlign w:val="bottom"/>
            <w:tcBorders>
              <w:top w:val="single" w:sz="8" w:color="A6A6A6"/>
              <w:bottom w:val="single" w:sz="8" w:color="004483"/>
            </w:tcBorders>
          </w:tcPr>
          <w:p>
            <w:pPr>
              <w:spacing w:after="0"/>
              <w:rPr>
                <w:sz w:val="20"/>
                <w:szCs w:val="20"/>
                <w:color w:val="auto"/>
              </w:rPr>
            </w:pPr>
          </w:p>
        </w:tc>
        <w:tc>
          <w:tcPr>
            <w:tcW w:w="320" w:type="dxa"/>
            <w:vAlign w:val="bottom"/>
            <w:tcBorders>
              <w:top w:val="single" w:sz="8" w:color="A6A6A6"/>
              <w:bottom w:val="single" w:sz="8" w:color="004483"/>
            </w:tcBorders>
          </w:tcPr>
          <w:p>
            <w:pPr>
              <w:spacing w:after="0"/>
              <w:rPr>
                <w:sz w:val="20"/>
                <w:szCs w:val="20"/>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59,501</w:t>
            </w:r>
          </w:p>
        </w:tc>
        <w:tc>
          <w:tcPr>
            <w:tcW w:w="100" w:type="dxa"/>
            <w:vAlign w:val="bottom"/>
          </w:tcPr>
          <w:p>
            <w:pPr>
              <w:spacing w:after="0"/>
              <w:rPr>
                <w:sz w:val="20"/>
                <w:szCs w:val="20"/>
                <w:color w:val="auto"/>
              </w:rPr>
            </w:pPr>
          </w:p>
        </w:tc>
      </w:tr>
      <w:tr>
        <w:trPr>
          <w:trHeight w:val="209"/>
        </w:trPr>
        <w:tc>
          <w:tcPr>
            <w:tcW w:w="530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32,172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26,539</w:t>
            </w:r>
          </w:p>
        </w:tc>
        <w:tc>
          <w:tcPr>
            <w:tcW w:w="20" w:type="dxa"/>
            <w:vAlign w:val="bottom"/>
            <w:tcBorders>
              <w:bottom w:val="single" w:sz="8" w:color="004483"/>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98,190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004483"/>
            </w:tcBorders>
            <w:gridSpan w:val="2"/>
          </w:tcPr>
          <w:p>
            <w:pPr>
              <w:jc w:val="right"/>
              <w:ind w:right="1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77,858</w:t>
            </w:r>
          </w:p>
        </w:tc>
        <w:tc>
          <w:tcPr>
            <w:tcW w:w="100" w:type="dxa"/>
            <w:vAlign w:val="bottom"/>
          </w:tcPr>
          <w:p>
            <w:pPr>
              <w:spacing w:after="0"/>
              <w:rPr>
                <w:sz w:val="18"/>
                <w:szCs w:val="18"/>
                <w:color w:val="auto"/>
              </w:rPr>
            </w:pPr>
          </w:p>
        </w:tc>
      </w:tr>
      <w:tr>
        <w:trPr>
          <w:trHeight w:val="20"/>
        </w:trPr>
        <w:tc>
          <w:tcPr>
            <w:tcW w:w="53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Cement Sales Volume (M tons)</w:t>
            </w:r>
          </w:p>
        </w:tc>
        <w:tc>
          <w:tcPr>
            <w:tcW w:w="12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90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5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1,527</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1,748</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5,313</w:t>
            </w:r>
          </w:p>
        </w:tc>
        <w:tc>
          <w:tcPr>
            <w:tcW w:w="80" w:type="dxa"/>
            <w:vAlign w:val="bottom"/>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5,583</w:t>
            </w:r>
          </w:p>
        </w:tc>
        <w:tc>
          <w:tcPr>
            <w:tcW w:w="100" w:type="dxa"/>
            <w:vAlign w:val="bottom"/>
          </w:tcPr>
          <w:p>
            <w:pPr>
              <w:spacing w:after="0"/>
              <w:rPr>
                <w:sz w:val="18"/>
                <w:szCs w:val="18"/>
                <w:color w:val="auto"/>
              </w:rPr>
            </w:pPr>
          </w:p>
        </w:tc>
      </w:tr>
      <w:tr>
        <w:trPr>
          <w:trHeight w:val="240"/>
        </w:trPr>
        <w:tc>
          <w:tcPr>
            <w:tcW w:w="5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1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172</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40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gridSpan w:val="2"/>
          </w:tcPr>
          <w:p>
            <w:pPr>
              <w:jc w:val="right"/>
              <w:ind w:right="2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524</w:t>
            </w:r>
          </w:p>
        </w:tc>
        <w:tc>
          <w:tcPr>
            <w:tcW w:w="80" w:type="dxa"/>
            <w:vAlign w:val="bottom"/>
          </w:tcPr>
          <w:p>
            <w:pPr>
              <w:spacing w:after="0"/>
              <w:rPr>
                <w:sz w:val="20"/>
                <w:szCs w:val="20"/>
                <w:color w:val="auto"/>
              </w:rPr>
            </w:pPr>
          </w:p>
        </w:tc>
        <w:tc>
          <w:tcPr>
            <w:tcW w:w="20" w:type="dxa"/>
            <w:vAlign w:val="bottom"/>
            <w:tcBorders>
              <w:bottom w:val="single" w:sz="8" w:color="A6A6A6"/>
            </w:tcBorders>
          </w:tcPr>
          <w:p>
            <w:pPr>
              <w:spacing w:after="0"/>
              <w:rPr>
                <w:sz w:val="20"/>
                <w:szCs w:val="20"/>
                <w:color w:val="auto"/>
              </w:rPr>
            </w:pPr>
          </w:p>
        </w:tc>
        <w:tc>
          <w:tcPr>
            <w:tcW w:w="100" w:type="dxa"/>
            <w:vAlign w:val="bottom"/>
            <w:tcBorders>
              <w:bottom w:val="single" w:sz="8" w:color="A6A6A6"/>
            </w:tcBorders>
          </w:tcPr>
          <w:p>
            <w:pPr>
              <w:spacing w:after="0"/>
              <w:rPr>
                <w:sz w:val="20"/>
                <w:szCs w:val="20"/>
                <w:color w:val="auto"/>
              </w:rPr>
            </w:pPr>
          </w:p>
        </w:tc>
        <w:tc>
          <w:tcPr>
            <w:tcW w:w="20" w:type="dxa"/>
            <w:vAlign w:val="bottom"/>
            <w:tcBorders>
              <w:bottom w:val="single" w:sz="8" w:color="004483"/>
            </w:tcBorders>
          </w:tcPr>
          <w:p>
            <w:pPr>
              <w:spacing w:after="0"/>
              <w:rPr>
                <w:sz w:val="20"/>
                <w:szCs w:val="20"/>
                <w:color w:val="auto"/>
              </w:rPr>
            </w:pPr>
          </w:p>
        </w:tc>
        <w:tc>
          <w:tcPr>
            <w:tcW w:w="32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20"/>
                <w:szCs w:val="20"/>
                <w:color w:val="auto"/>
              </w:rPr>
            </w:pPr>
          </w:p>
        </w:tc>
      </w:tr>
      <w:tr>
        <w:trPr>
          <w:trHeight w:val="209"/>
        </w:trPr>
        <w:tc>
          <w:tcPr>
            <w:tcW w:w="5300" w:type="dxa"/>
            <w:vAlign w:val="bottom"/>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1,699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gridSpan w:val="2"/>
          </w:tcPr>
          <w:p>
            <w:pPr>
              <w:jc w:val="right"/>
              <w:ind w:right="20"/>
              <w:spacing w:after="0"/>
              <w:rPr>
                <w:sz w:val="20"/>
                <w:szCs w:val="20"/>
                <w:color w:val="auto"/>
              </w:rPr>
            </w:pPr>
            <w:r>
              <w:rPr>
                <w:rFonts w:ascii="Arial" w:cs="Arial" w:eastAsia="Arial" w:hAnsi="Arial"/>
                <w:sz w:val="16"/>
                <w:szCs w:val="16"/>
                <w:b w:val="1"/>
                <w:bCs w:val="1"/>
                <w:color w:val="auto"/>
              </w:rPr>
              <w:t>1,963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5,837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004483"/>
            </w:tcBorders>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6,197</w:t>
            </w:r>
          </w:p>
        </w:tc>
        <w:tc>
          <w:tcPr>
            <w:tcW w:w="10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40" w:type="dxa"/>
            <w:vAlign w:val="bottom"/>
            <w:gridSpan w:val="7"/>
            <w:shd w:val="clear" w:color="auto" w:fill="004483"/>
          </w:tcPr>
          <w:p>
            <w:pPr>
              <w:jc w:val="right"/>
              <w:ind w:right="260"/>
              <w:spacing w:after="0"/>
              <w:rPr>
                <w:sz w:val="20"/>
                <w:szCs w:val="20"/>
                <w:color w:val="auto"/>
              </w:rPr>
            </w:pPr>
            <w:r>
              <w:rPr>
                <w:rFonts w:ascii="Arial" w:cs="Arial" w:eastAsia="Arial" w:hAnsi="Arial"/>
                <w:sz w:val="13"/>
                <w:szCs w:val="13"/>
                <w:b w:val="1"/>
                <w:bCs w:val="1"/>
                <w:color w:val="FFFFFF"/>
                <w:w w:val="96"/>
              </w:rPr>
              <w:t>For the Three Months Ended December 31,</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40" w:type="dxa"/>
            <w:vAlign w:val="bottom"/>
            <w:gridSpan w:val="9"/>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Nine Months Ended December 31,</w:t>
            </w:r>
          </w:p>
        </w:tc>
      </w:tr>
      <w:tr>
        <w:trPr>
          <w:trHeight w:val="168"/>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77"/>
        </w:trPr>
        <w:tc>
          <w:tcPr>
            <w:tcW w:w="516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020" w:type="dxa"/>
            <w:vAlign w:val="bottom"/>
            <w:tcBorders>
              <w:bottom w:val="single" w:sz="8" w:color="004483"/>
            </w:tcBorders>
            <w:gridSpan w:val="4"/>
          </w:tcPr>
          <w:p>
            <w:pPr>
              <w:jc w:val="right"/>
              <w:ind w:right="39"/>
              <w:spacing w:after="0"/>
              <w:rPr>
                <w:sz w:val="20"/>
                <w:szCs w:val="20"/>
                <w:color w:val="auto"/>
              </w:rPr>
            </w:pPr>
            <w:r>
              <w:rPr>
                <w:rFonts w:ascii="Arial" w:cs="Arial" w:eastAsia="Arial" w:hAnsi="Arial"/>
                <w:sz w:val="13"/>
                <w:szCs w:val="13"/>
                <w:color w:val="auto"/>
              </w:rPr>
              <w:t>(dollars in thousands)</w:t>
            </w:r>
          </w:p>
        </w:tc>
        <w:tc>
          <w:tcPr>
            <w:tcW w:w="26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80" w:type="dxa"/>
            <w:vAlign w:val="bottom"/>
            <w:tcBorders>
              <w:bottom w:val="single" w:sz="8" w:color="004483"/>
            </w:tcBorders>
            <w:gridSpan w:val="7"/>
          </w:tcPr>
          <w:p>
            <w:pPr>
              <w:jc w:val="right"/>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52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Operating Earnings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72,315</w:t>
            </w:r>
          </w:p>
        </w:tc>
        <w:tc>
          <w:tcPr>
            <w:tcW w:w="140" w:type="dxa"/>
            <w:vAlign w:val="bottom"/>
          </w:tcPr>
          <w:p>
            <w:pPr>
              <w:spacing w:after="0"/>
              <w:rPr>
                <w:sz w:val="18"/>
                <w:szCs w:val="18"/>
                <w:color w:val="auto"/>
              </w:rPr>
            </w:pPr>
          </w:p>
        </w:tc>
        <w:tc>
          <w:tcPr>
            <w:tcW w:w="720" w:type="dxa"/>
            <w:vAlign w:val="bottom"/>
            <w:tcBorders>
              <w:bottom w:val="single" w:sz="8" w:color="A6A6A6"/>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79,836</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233,442</w:t>
            </w:r>
          </w:p>
        </w:tc>
        <w:tc>
          <w:tcPr>
            <w:tcW w:w="100" w:type="dxa"/>
            <w:vAlign w:val="bottom"/>
          </w:tcPr>
          <w:p>
            <w:pPr>
              <w:spacing w:after="0"/>
              <w:rPr>
                <w:sz w:val="18"/>
                <w:szCs w:val="18"/>
                <w:color w:val="auto"/>
              </w:rPr>
            </w:pPr>
          </w:p>
        </w:tc>
        <w:tc>
          <w:tcPr>
            <w:tcW w:w="640" w:type="dxa"/>
            <w:vAlign w:val="bottom"/>
            <w:tcBorders>
              <w:bottom w:val="single" w:sz="8" w:color="A6A6A6"/>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231,133</w:t>
            </w:r>
          </w:p>
        </w:tc>
        <w:tc>
          <w:tcPr>
            <w:tcW w:w="100" w:type="dxa"/>
            <w:vAlign w:val="bottom"/>
          </w:tcPr>
          <w:p>
            <w:pPr>
              <w:spacing w:after="0"/>
              <w:rPr>
                <w:sz w:val="18"/>
                <w:szCs w:val="18"/>
                <w:color w:val="auto"/>
              </w:rPr>
            </w:pPr>
          </w:p>
        </w:tc>
      </w:tr>
      <w:tr>
        <w:trPr>
          <w:trHeight w:val="209"/>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2,692</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4,115</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15,700</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16,998</w:t>
            </w:r>
          </w:p>
        </w:tc>
        <w:tc>
          <w:tcPr>
            <w:tcW w:w="100" w:type="dxa"/>
            <w:vAlign w:val="bottom"/>
          </w:tcPr>
          <w:p>
            <w:pPr>
              <w:spacing w:after="0"/>
              <w:rPr>
                <w:sz w:val="18"/>
                <w:szCs w:val="18"/>
                <w:color w:val="auto"/>
              </w:rPr>
            </w:pPr>
          </w:p>
        </w:tc>
      </w:tr>
      <w:tr>
        <w:trPr>
          <w:trHeight w:val="209"/>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87,335</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60,841</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261,164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190,425</w:t>
            </w:r>
          </w:p>
        </w:tc>
        <w:tc>
          <w:tcPr>
            <w:tcW w:w="100" w:type="dxa"/>
            <w:vAlign w:val="bottom"/>
          </w:tcPr>
          <w:p>
            <w:pPr>
              <w:spacing w:after="0"/>
              <w:rPr>
                <w:sz w:val="18"/>
                <w:szCs w:val="18"/>
                <w:color w:val="auto"/>
              </w:rPr>
            </w:pPr>
          </w:p>
        </w:tc>
      </w:tr>
      <w:tr>
        <w:trPr>
          <w:trHeight w:val="239"/>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Paperboard</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7,805</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60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2,349</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17,200</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2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20"/>
                <w:szCs w:val="20"/>
                <w:color w:val="auto"/>
              </w:rPr>
            </w:pPr>
          </w:p>
        </w:tc>
      </w:tr>
      <w:tr>
        <w:trPr>
          <w:trHeight w:val="207"/>
        </w:trPr>
        <w:tc>
          <w:tcPr>
            <w:tcW w:w="528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Sub-Total</w:t>
            </w: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170,147</w:t>
            </w: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60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147,141</w:t>
            </w:r>
          </w:p>
        </w:tc>
        <w:tc>
          <w:tcPr>
            <w:tcW w:w="12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527,506</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445,223</w:t>
            </w:r>
          </w:p>
        </w:tc>
        <w:tc>
          <w:tcPr>
            <w:tcW w:w="100" w:type="dxa"/>
            <w:vAlign w:val="bottom"/>
          </w:tcPr>
          <w:p>
            <w:pPr>
              <w:spacing w:after="0"/>
              <w:rPr>
                <w:sz w:val="17"/>
                <w:szCs w:val="17"/>
                <w:color w:val="auto"/>
              </w:rPr>
            </w:pPr>
          </w:p>
        </w:tc>
      </w:tr>
      <w:tr>
        <w:trPr>
          <w:trHeight w:val="209"/>
        </w:trPr>
        <w:tc>
          <w:tcPr>
            <w:tcW w:w="5280" w:type="dxa"/>
            <w:vAlign w:val="bottom"/>
            <w:gridSpan w:val="2"/>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(12,497 )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(12,851 )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right"/>
              <w:ind w:right="40"/>
              <w:spacing w:after="0"/>
              <w:rPr>
                <w:sz w:val="20"/>
                <w:szCs w:val="20"/>
                <w:color w:val="auto"/>
              </w:rPr>
            </w:pPr>
            <w:r>
              <w:rPr>
                <w:rFonts w:ascii="Arial" w:cs="Arial" w:eastAsia="Arial" w:hAnsi="Arial"/>
                <w:sz w:val="16"/>
                <w:szCs w:val="16"/>
                <w:color w:val="auto"/>
              </w:rPr>
              <w:t>(37,944 )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(32,986 )</w:t>
            </w:r>
          </w:p>
        </w:tc>
      </w:tr>
      <w:tr>
        <w:trPr>
          <w:trHeight w:val="20"/>
        </w:trPr>
        <w:tc>
          <w:tcPr>
            <w:tcW w:w="516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80" w:type="dxa"/>
            <w:vAlign w:val="bottom"/>
            <w:gridSpan w:val="2"/>
          </w:tcPr>
          <w:p>
            <w:pPr>
              <w:ind w:left="200"/>
              <w:spacing w:after="0"/>
              <w:rPr>
                <w:sz w:val="20"/>
                <w:szCs w:val="20"/>
                <w:color w:val="auto"/>
              </w:rPr>
            </w:pPr>
            <w:r>
              <w:rPr>
                <w:rFonts w:ascii="Arial" w:cs="Arial" w:eastAsia="Arial" w:hAnsi="Arial"/>
                <w:sz w:val="16"/>
                <w:szCs w:val="16"/>
                <w:color w:val="004483"/>
              </w:rPr>
              <w:t>Loss on Early Retirement of Senior Notes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r>
      <w:tr>
        <w:trPr>
          <w:trHeight w:val="239"/>
        </w:trPr>
        <w:tc>
          <w:tcPr>
            <w:tcW w:w="528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Other Nonoperating Income (Loss)</w:t>
            </w:r>
          </w:p>
        </w:tc>
        <w:tc>
          <w:tcPr>
            <w:tcW w:w="120" w:type="dxa"/>
            <w:vAlign w:val="bottom"/>
            <w:tcBorders>
              <w:top w:val="single" w:sz="8" w:color="A6A6A6"/>
              <w:bottom w:val="single" w:sz="8" w:color="004483"/>
            </w:tcBorders>
          </w:tcPr>
          <w:p>
            <w:pPr>
              <w:spacing w:after="0"/>
              <w:rPr>
                <w:sz w:val="20"/>
                <w:szCs w:val="20"/>
                <w:color w:val="auto"/>
              </w:rPr>
            </w:pPr>
          </w:p>
        </w:tc>
        <w:tc>
          <w:tcPr>
            <w:tcW w:w="11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2,210</w:t>
            </w:r>
          </w:p>
        </w:tc>
        <w:tc>
          <w:tcPr>
            <w:tcW w:w="14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600" w:type="dxa"/>
            <w:vAlign w:val="bottom"/>
            <w:tcBorders>
              <w:top w:val="single" w:sz="8" w:color="A6A6A6"/>
              <w:bottom w:val="single" w:sz="8" w:color="004483"/>
            </w:tcBorders>
          </w:tcPr>
          <w:p>
            <w:pPr>
              <w:spacing w:after="0"/>
              <w:rPr>
                <w:sz w:val="20"/>
                <w:szCs w:val="20"/>
                <w:color w:val="auto"/>
              </w:rPr>
            </w:pPr>
          </w:p>
        </w:tc>
        <w:tc>
          <w:tcPr>
            <w:tcW w:w="700" w:type="dxa"/>
            <w:vAlign w:val="bottom"/>
            <w:tcBorders>
              <w:top w:val="single" w:sz="8" w:color="A6A6A6"/>
              <w:bottom w:val="single" w:sz="8" w:color="004483"/>
            </w:tcBorders>
            <w:gridSpan w:val="2"/>
          </w:tcPr>
          <w:p>
            <w:pPr>
              <w:jc w:val="right"/>
              <w:spacing w:after="0"/>
              <w:rPr>
                <w:sz w:val="20"/>
                <w:szCs w:val="20"/>
                <w:color w:val="auto"/>
              </w:rPr>
            </w:pPr>
            <w:r>
              <w:rPr>
                <w:rFonts w:ascii="Arial" w:cs="Arial" w:eastAsia="Arial" w:hAnsi="Arial"/>
                <w:sz w:val="16"/>
                <w:szCs w:val="16"/>
                <w:color w:val="auto"/>
              </w:rPr>
              <w:t>3,207</w:t>
            </w:r>
          </w:p>
        </w:tc>
        <w:tc>
          <w:tcPr>
            <w:tcW w:w="12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20" w:type="dxa"/>
            <w:vAlign w:val="bottom"/>
            <w:tcBorders>
              <w:top w:val="single" w:sz="8" w:color="A6A6A6"/>
              <w:bottom w:val="single" w:sz="8" w:color="004483"/>
            </w:tcBorders>
          </w:tcPr>
          <w:p>
            <w:pPr>
              <w:spacing w:after="0"/>
              <w:rPr>
                <w:sz w:val="20"/>
                <w:szCs w:val="20"/>
                <w:color w:val="auto"/>
              </w:rPr>
            </w:pPr>
          </w:p>
        </w:tc>
        <w:tc>
          <w:tcPr>
            <w:tcW w:w="760" w:type="dxa"/>
            <w:vAlign w:val="bottom"/>
            <w:tcBorders>
              <w:top w:val="single" w:sz="8" w:color="A6A6A6"/>
              <w:bottom w:val="single" w:sz="8" w:color="004483"/>
            </w:tcBorders>
          </w:tcPr>
          <w:p>
            <w:pPr>
              <w:spacing w:after="0"/>
              <w:rPr>
                <w:sz w:val="20"/>
                <w:szCs w:val="20"/>
                <w:color w:val="auto"/>
              </w:rPr>
            </w:pPr>
          </w:p>
        </w:tc>
        <w:tc>
          <w:tcPr>
            <w:tcW w:w="380" w:type="dxa"/>
            <w:vAlign w:val="bottom"/>
            <w:tcBorders>
              <w:top w:val="single" w:sz="8" w:color="A6A6A6"/>
              <w:bottom w:val="single" w:sz="8" w:color="004483"/>
            </w:tcBorders>
            <w:gridSpan w:val="3"/>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520" w:type="dxa"/>
            <w:vAlign w:val="bottom"/>
            <w:tcBorders>
              <w:top w:val="single" w:sz="8" w:color="A6A6A6"/>
              <w:bottom w:val="single" w:sz="8" w:color="004483"/>
            </w:tcBorders>
          </w:tcPr>
          <w:p>
            <w:pPr>
              <w:spacing w:after="0"/>
              <w:rPr>
                <w:sz w:val="20"/>
                <w:szCs w:val="20"/>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5,941</w:t>
            </w:r>
          </w:p>
        </w:tc>
        <w:tc>
          <w:tcPr>
            <w:tcW w:w="100" w:type="dxa"/>
            <w:vAlign w:val="bottom"/>
          </w:tcPr>
          <w:p>
            <w:pPr>
              <w:spacing w:after="0"/>
              <w:rPr>
                <w:sz w:val="20"/>
                <w:szCs w:val="20"/>
                <w:color w:val="auto"/>
              </w:rPr>
            </w:pPr>
          </w:p>
        </w:tc>
      </w:tr>
      <w:tr>
        <w:trPr>
          <w:trHeight w:val="207"/>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Earnings Before Interest and Income Taxes</w:t>
            </w: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159,860</w:t>
            </w: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60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137,497</w:t>
            </w:r>
          </w:p>
        </w:tc>
        <w:tc>
          <w:tcPr>
            <w:tcW w:w="12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490,473</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409,771</w:t>
            </w:r>
          </w:p>
        </w:tc>
        <w:tc>
          <w:tcPr>
            <w:tcW w:w="100" w:type="dxa"/>
            <w:vAlign w:val="bottom"/>
          </w:tcPr>
          <w:p>
            <w:pPr>
              <w:spacing w:after="0"/>
              <w:rPr>
                <w:sz w:val="17"/>
                <w:szCs w:val="17"/>
                <w:color w:val="auto"/>
              </w:rPr>
            </w:pPr>
          </w:p>
        </w:tc>
      </w:tr>
      <w:tr>
        <w:trPr>
          <w:trHeight w:val="239"/>
        </w:trPr>
        <w:tc>
          <w:tcPr>
            <w:tcW w:w="5280" w:type="dxa"/>
            <w:vAlign w:val="bottom"/>
            <w:gridSpan w:val="2"/>
          </w:tcPr>
          <w:p>
            <w:pPr>
              <w:ind w:left="200"/>
              <w:spacing w:after="0"/>
              <w:rPr>
                <w:sz w:val="20"/>
                <w:szCs w:val="20"/>
                <w:color w:val="auto"/>
              </w:rPr>
            </w:pPr>
            <w:r>
              <w:rPr>
                <w:rFonts w:ascii="Arial" w:cs="Arial" w:eastAsia="Arial" w:hAnsi="Arial"/>
                <w:sz w:val="16"/>
                <w:szCs w:val="16"/>
                <w:color w:val="004483"/>
              </w:rPr>
              <w:t>Interest Expense, net</w:t>
            </w:r>
          </w:p>
        </w:tc>
        <w:tc>
          <w:tcPr>
            <w:tcW w:w="1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(8,932 )</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(5,651 )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5"/>
          </w:tcPr>
          <w:p>
            <w:pPr>
              <w:jc w:val="right"/>
              <w:ind w:right="40"/>
              <w:spacing w:after="0"/>
              <w:rPr>
                <w:sz w:val="20"/>
                <w:szCs w:val="20"/>
                <w:color w:val="auto"/>
              </w:rPr>
            </w:pPr>
            <w:r>
              <w:rPr>
                <w:rFonts w:ascii="Arial" w:cs="Arial" w:eastAsia="Arial" w:hAnsi="Arial"/>
                <w:sz w:val="16"/>
                <w:szCs w:val="16"/>
                <w:color w:val="auto"/>
              </w:rPr>
              <w:t>(24,842 )</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(24,891 )</w:t>
            </w:r>
          </w:p>
        </w:tc>
      </w:tr>
      <w:tr>
        <w:trPr>
          <w:trHeight w:val="209"/>
        </w:trPr>
        <w:tc>
          <w:tcPr>
            <w:tcW w:w="5280" w:type="dxa"/>
            <w:vAlign w:val="bottom"/>
            <w:tcBorders>
              <w:top w:val="single" w:sz="8" w:color="A6A6A6"/>
            </w:tcBorders>
            <w:gridSpan w:val="2"/>
          </w:tcPr>
          <w:p>
            <w:pPr>
              <w:ind w:left="200"/>
              <w:spacing w:after="0"/>
              <w:rPr>
                <w:sz w:val="20"/>
                <w:szCs w:val="20"/>
                <w:color w:val="auto"/>
              </w:rPr>
            </w:pPr>
            <w:r>
              <w:rPr>
                <w:rFonts w:ascii="Arial" w:cs="Arial" w:eastAsia="Arial" w:hAnsi="Arial"/>
                <w:sz w:val="16"/>
                <w:szCs w:val="16"/>
                <w:b w:val="1"/>
                <w:bCs w:val="1"/>
                <w:color w:val="auto"/>
              </w:rPr>
              <w:t>Earnings Before Income Taxes</w:t>
            </w:r>
          </w:p>
        </w:tc>
        <w:tc>
          <w:tcPr>
            <w:tcW w:w="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150,928</w:t>
            </w:r>
          </w:p>
        </w:tc>
        <w:tc>
          <w:tcPr>
            <w:tcW w:w="14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600" w:type="dxa"/>
            <w:vAlign w:val="bottom"/>
            <w:tcBorders>
              <w:top w:val="single" w:sz="8" w:color="004483"/>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004483"/>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131,846</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004483"/>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465,631</w:t>
            </w:r>
          </w:p>
        </w:tc>
        <w:tc>
          <w:tcPr>
            <w:tcW w:w="10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520" w:type="dxa"/>
            <w:vAlign w:val="bottom"/>
            <w:tcBorders>
              <w:top w:val="single" w:sz="8" w:color="004483"/>
              <w:bottom w:val="single" w:sz="8" w:color="004483"/>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384,880</w:t>
            </w:r>
          </w:p>
        </w:tc>
        <w:tc>
          <w:tcPr>
            <w:tcW w:w="100" w:type="dxa"/>
            <w:vAlign w:val="bottom"/>
          </w:tcPr>
          <w:p>
            <w:pPr>
              <w:spacing w:after="0"/>
              <w:rPr>
                <w:sz w:val="18"/>
                <w:szCs w:val="18"/>
                <w:color w:val="auto"/>
              </w:rPr>
            </w:pPr>
          </w:p>
        </w:tc>
      </w:tr>
      <w:tr>
        <w:trPr>
          <w:trHeight w:val="20"/>
        </w:trPr>
        <w:tc>
          <w:tcPr>
            <w:tcW w:w="51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52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Cement Operating Earnings</w:t>
            </w:r>
          </w:p>
        </w:tc>
        <w:tc>
          <w:tcPr>
            <w:tcW w:w="120" w:type="dxa"/>
            <w:vAlign w:val="bottom"/>
            <w:tcBorders>
              <w:bottom w:val="single" w:sz="8" w:color="A6A6A6"/>
            </w:tcBorders>
          </w:tcPr>
          <w:p>
            <w:pPr>
              <w:spacing w:after="0"/>
              <w:rPr>
                <w:sz w:val="16"/>
                <w:szCs w:val="16"/>
                <w:color w:val="auto"/>
              </w:rPr>
            </w:pPr>
          </w:p>
        </w:tc>
        <w:tc>
          <w:tcPr>
            <w:tcW w:w="1160" w:type="dxa"/>
            <w:vAlign w:val="bottom"/>
            <w:tcBorders>
              <w:bottom w:val="single" w:sz="8" w:color="A6A6A6"/>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600" w:type="dxa"/>
            <w:vAlign w:val="bottom"/>
            <w:tcBorders>
              <w:bottom w:val="single" w:sz="8" w:color="A6A6A6"/>
            </w:tcBorders>
          </w:tcPr>
          <w:p>
            <w:pPr>
              <w:spacing w:after="0"/>
              <w:rPr>
                <w:sz w:val="16"/>
                <w:szCs w:val="16"/>
                <w:color w:val="auto"/>
              </w:rPr>
            </w:pPr>
          </w:p>
        </w:tc>
        <w:tc>
          <w:tcPr>
            <w:tcW w:w="260" w:type="dxa"/>
            <w:vAlign w:val="bottom"/>
            <w:tcBorders>
              <w:bottom w:val="single" w:sz="8" w:color="A6A6A6"/>
            </w:tcBorders>
          </w:tcPr>
          <w:p>
            <w:pPr>
              <w:spacing w:after="0"/>
              <w:rPr>
                <w:sz w:val="16"/>
                <w:szCs w:val="16"/>
                <w:color w:val="auto"/>
              </w:rPr>
            </w:pPr>
          </w:p>
        </w:tc>
        <w:tc>
          <w:tcPr>
            <w:tcW w:w="44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8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2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Wholly Owned</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60,938</w:t>
            </w:r>
          </w:p>
        </w:tc>
        <w:tc>
          <w:tcPr>
            <w:tcW w:w="140" w:type="dxa"/>
            <w:vAlign w:val="bottom"/>
          </w:tcPr>
          <w:p>
            <w:pPr>
              <w:spacing w:after="0"/>
              <w:rPr>
                <w:sz w:val="18"/>
                <w:szCs w:val="18"/>
                <w:color w:val="auto"/>
              </w:rPr>
            </w:pPr>
          </w:p>
        </w:tc>
        <w:tc>
          <w:tcPr>
            <w:tcW w:w="720" w:type="dxa"/>
            <w:vAlign w:val="bottom"/>
            <w:tcBorders>
              <w:bottom w:val="single" w:sz="8" w:color="A6A6A6"/>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71,281</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209,811</w:t>
            </w:r>
          </w:p>
        </w:tc>
        <w:tc>
          <w:tcPr>
            <w:tcW w:w="100" w:type="dxa"/>
            <w:vAlign w:val="bottom"/>
          </w:tcPr>
          <w:p>
            <w:pPr>
              <w:spacing w:after="0"/>
              <w:rPr>
                <w:sz w:val="18"/>
                <w:szCs w:val="18"/>
                <w:color w:val="auto"/>
              </w:rPr>
            </w:pPr>
          </w:p>
        </w:tc>
        <w:tc>
          <w:tcPr>
            <w:tcW w:w="640" w:type="dxa"/>
            <w:vAlign w:val="bottom"/>
            <w:tcBorders>
              <w:bottom w:val="single" w:sz="8" w:color="A6A6A6"/>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206,348</w:t>
            </w:r>
          </w:p>
        </w:tc>
        <w:tc>
          <w:tcPr>
            <w:tcW w:w="100" w:type="dxa"/>
            <w:vAlign w:val="bottom"/>
          </w:tcPr>
          <w:p>
            <w:pPr>
              <w:spacing w:after="0"/>
              <w:rPr>
                <w:sz w:val="18"/>
                <w:szCs w:val="18"/>
                <w:color w:val="auto"/>
              </w:rPr>
            </w:pPr>
          </w:p>
        </w:tc>
      </w:tr>
      <w:tr>
        <w:trPr>
          <w:trHeight w:val="239"/>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Joint Venture</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11,377</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60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8,555</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23,631</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2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24,785</w:t>
            </w:r>
          </w:p>
        </w:tc>
        <w:tc>
          <w:tcPr>
            <w:tcW w:w="100" w:type="dxa"/>
            <w:vAlign w:val="bottom"/>
          </w:tcPr>
          <w:p>
            <w:pPr>
              <w:spacing w:after="0"/>
              <w:rPr>
                <w:sz w:val="20"/>
                <w:szCs w:val="20"/>
                <w:color w:val="auto"/>
              </w:rPr>
            </w:pPr>
          </w:p>
        </w:tc>
      </w:tr>
      <w:tr>
        <w:trPr>
          <w:trHeight w:val="209"/>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72,315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79,836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233,442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004483"/>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231,133</w:t>
            </w:r>
          </w:p>
        </w:tc>
        <w:tc>
          <w:tcPr>
            <w:tcW w:w="100" w:type="dxa"/>
            <w:vAlign w:val="bottom"/>
          </w:tcPr>
          <w:p>
            <w:pPr>
              <w:spacing w:after="0"/>
              <w:rPr>
                <w:sz w:val="18"/>
                <w:szCs w:val="18"/>
                <w:color w:val="auto"/>
              </w:rPr>
            </w:pPr>
          </w:p>
        </w:tc>
      </w:tr>
      <w:tr>
        <w:trPr>
          <w:trHeight w:val="20"/>
        </w:trPr>
        <w:tc>
          <w:tcPr>
            <w:tcW w:w="51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60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4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7,278</w:t>
            </w:r>
          </w:p>
        </w:tc>
        <w:tc>
          <w:tcPr>
            <w:tcW w:w="140" w:type="dxa"/>
            <w:vAlign w:val="bottom"/>
          </w:tcPr>
          <w:p>
            <w:pPr>
              <w:spacing w:after="0"/>
              <w:rPr>
                <w:sz w:val="18"/>
                <w:szCs w:val="18"/>
                <w:color w:val="auto"/>
              </w:rPr>
            </w:pPr>
          </w:p>
        </w:tc>
        <w:tc>
          <w:tcPr>
            <w:tcW w:w="720" w:type="dxa"/>
            <w:vAlign w:val="bottom"/>
            <w:tcBorders>
              <w:bottom w:val="single" w:sz="8" w:color="A6A6A6"/>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8,256</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21,157</w:t>
            </w:r>
          </w:p>
        </w:tc>
        <w:tc>
          <w:tcPr>
            <w:tcW w:w="100" w:type="dxa"/>
            <w:vAlign w:val="bottom"/>
          </w:tcPr>
          <w:p>
            <w:pPr>
              <w:spacing w:after="0"/>
              <w:rPr>
                <w:sz w:val="18"/>
                <w:szCs w:val="18"/>
                <w:color w:val="auto"/>
              </w:rPr>
            </w:pPr>
          </w:p>
        </w:tc>
        <w:tc>
          <w:tcPr>
            <w:tcW w:w="640" w:type="dxa"/>
            <w:vAlign w:val="bottom"/>
            <w:tcBorders>
              <w:bottom w:val="single" w:sz="8" w:color="A6A6A6"/>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23,199</w:t>
            </w:r>
          </w:p>
        </w:tc>
        <w:tc>
          <w:tcPr>
            <w:tcW w:w="100" w:type="dxa"/>
            <w:vAlign w:val="bottom"/>
          </w:tcPr>
          <w:p>
            <w:pPr>
              <w:spacing w:after="0"/>
              <w:rPr>
                <w:sz w:val="18"/>
                <w:szCs w:val="18"/>
                <w:color w:val="auto"/>
              </w:rPr>
            </w:pPr>
          </w:p>
        </w:tc>
      </w:tr>
      <w:tr>
        <w:trPr>
          <w:trHeight w:val="209"/>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2,128</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2,386</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16,468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3,459</w:t>
            </w:r>
          </w:p>
        </w:tc>
        <w:tc>
          <w:tcPr>
            <w:tcW w:w="100" w:type="dxa"/>
            <w:vAlign w:val="bottom"/>
          </w:tcPr>
          <w:p>
            <w:pPr>
              <w:spacing w:after="0"/>
              <w:rPr>
                <w:sz w:val="18"/>
                <w:szCs w:val="18"/>
                <w:color w:val="auto"/>
              </w:rPr>
            </w:pPr>
          </w:p>
        </w:tc>
      </w:tr>
      <w:tr>
        <w:trPr>
          <w:trHeight w:val="209"/>
        </w:trPr>
        <w:tc>
          <w:tcPr>
            <w:tcW w:w="51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7,307</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16,222</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19,777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24,261</w:t>
            </w:r>
          </w:p>
        </w:tc>
        <w:tc>
          <w:tcPr>
            <w:tcW w:w="100" w:type="dxa"/>
            <w:vAlign w:val="bottom"/>
          </w:tcPr>
          <w:p>
            <w:pPr>
              <w:spacing w:after="0"/>
              <w:rPr>
                <w:sz w:val="18"/>
                <w:szCs w:val="18"/>
                <w:color w:val="auto"/>
              </w:rPr>
            </w:pPr>
          </w:p>
        </w:tc>
      </w:tr>
      <w:tr>
        <w:trPr>
          <w:trHeight w:val="209"/>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Paperboard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463</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2,318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18"/>
                <w:szCs w:val="18"/>
                <w:color w:val="auto"/>
              </w:rPr>
            </w:pPr>
          </w:p>
        </w:tc>
      </w:tr>
      <w:tr>
        <w:trPr>
          <w:trHeight w:val="240"/>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Corporate and Other</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526</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60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953</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2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20"/>
                <w:szCs w:val="20"/>
                <w:color w:val="auto"/>
              </w:rPr>
            </w:pPr>
          </w:p>
        </w:tc>
      </w:tr>
      <w:tr>
        <w:trPr>
          <w:trHeight w:val="209"/>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17,702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28,411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60,951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004483"/>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55,188</w:t>
            </w:r>
          </w:p>
        </w:tc>
        <w:tc>
          <w:tcPr>
            <w:tcW w:w="100" w:type="dxa"/>
            <w:vAlign w:val="bottom"/>
          </w:tcPr>
          <w:p>
            <w:pPr>
              <w:spacing w:after="0"/>
              <w:rPr>
                <w:sz w:val="18"/>
                <w:szCs w:val="18"/>
                <w:color w:val="auto"/>
              </w:rPr>
            </w:pPr>
          </w:p>
        </w:tc>
      </w:tr>
      <w:tr>
        <w:trPr>
          <w:trHeight w:val="20"/>
        </w:trPr>
        <w:tc>
          <w:tcPr>
            <w:tcW w:w="51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Depreciation, Depletion, and Amortization</w:t>
            </w: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60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4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20,582</w:t>
            </w:r>
          </w:p>
        </w:tc>
        <w:tc>
          <w:tcPr>
            <w:tcW w:w="140" w:type="dxa"/>
            <w:vAlign w:val="bottom"/>
          </w:tcPr>
          <w:p>
            <w:pPr>
              <w:spacing w:after="0"/>
              <w:rPr>
                <w:sz w:val="18"/>
                <w:szCs w:val="18"/>
                <w:color w:val="auto"/>
              </w:rPr>
            </w:pPr>
          </w:p>
        </w:tc>
        <w:tc>
          <w:tcPr>
            <w:tcW w:w="720" w:type="dxa"/>
            <w:vAlign w:val="bottom"/>
            <w:tcBorders>
              <w:bottom w:val="single" w:sz="8" w:color="A6A6A6"/>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19,933</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60,893</w:t>
            </w:r>
          </w:p>
        </w:tc>
        <w:tc>
          <w:tcPr>
            <w:tcW w:w="100" w:type="dxa"/>
            <w:vAlign w:val="bottom"/>
          </w:tcPr>
          <w:p>
            <w:pPr>
              <w:spacing w:after="0"/>
              <w:rPr>
                <w:sz w:val="18"/>
                <w:szCs w:val="18"/>
                <w:color w:val="auto"/>
              </w:rPr>
            </w:pPr>
          </w:p>
        </w:tc>
        <w:tc>
          <w:tcPr>
            <w:tcW w:w="640" w:type="dxa"/>
            <w:vAlign w:val="bottom"/>
            <w:tcBorders>
              <w:bottom w:val="single" w:sz="8" w:color="A6A6A6"/>
            </w:tcBorders>
            <w:gridSpan w:val="2"/>
          </w:tcPr>
          <w:p>
            <w:pPr>
              <w:jc w:val="right"/>
              <w:ind w:right="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59,483</w:t>
            </w:r>
          </w:p>
        </w:tc>
        <w:tc>
          <w:tcPr>
            <w:tcW w:w="100" w:type="dxa"/>
            <w:vAlign w:val="bottom"/>
          </w:tcPr>
          <w:p>
            <w:pPr>
              <w:spacing w:after="0"/>
              <w:rPr>
                <w:sz w:val="18"/>
                <w:szCs w:val="18"/>
                <w:color w:val="auto"/>
              </w:rPr>
            </w:pPr>
          </w:p>
        </w:tc>
      </w:tr>
      <w:tr>
        <w:trPr>
          <w:trHeight w:val="209"/>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4,402</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2,294</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12,954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7,342</w:t>
            </w:r>
          </w:p>
        </w:tc>
        <w:tc>
          <w:tcPr>
            <w:tcW w:w="100" w:type="dxa"/>
            <w:vAlign w:val="bottom"/>
          </w:tcPr>
          <w:p>
            <w:pPr>
              <w:spacing w:after="0"/>
              <w:rPr>
                <w:sz w:val="18"/>
                <w:szCs w:val="18"/>
                <w:color w:val="auto"/>
              </w:rPr>
            </w:pPr>
          </w:p>
        </w:tc>
      </w:tr>
      <w:tr>
        <w:trPr>
          <w:trHeight w:val="210"/>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5,387</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5,598</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16,539</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16,478</w:t>
            </w:r>
          </w:p>
        </w:tc>
        <w:tc>
          <w:tcPr>
            <w:tcW w:w="100" w:type="dxa"/>
            <w:vAlign w:val="bottom"/>
          </w:tcPr>
          <w:p>
            <w:pPr>
              <w:spacing w:after="0"/>
              <w:rPr>
                <w:sz w:val="18"/>
                <w:szCs w:val="18"/>
                <w:color w:val="auto"/>
              </w:rPr>
            </w:pPr>
          </w:p>
        </w:tc>
      </w:tr>
      <w:tr>
        <w:trPr>
          <w:trHeight w:val="209"/>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Paperboard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3,738</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3,685</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11,197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11,016</w:t>
            </w:r>
          </w:p>
        </w:tc>
        <w:tc>
          <w:tcPr>
            <w:tcW w:w="100" w:type="dxa"/>
            <w:vAlign w:val="bottom"/>
          </w:tcPr>
          <w:p>
            <w:pPr>
              <w:spacing w:after="0"/>
              <w:rPr>
                <w:sz w:val="18"/>
                <w:szCs w:val="18"/>
                <w:color w:val="auto"/>
              </w:rPr>
            </w:pPr>
          </w:p>
        </w:tc>
      </w:tr>
      <w:tr>
        <w:trPr>
          <w:trHeight w:val="240"/>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Corporate and Other</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706</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60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2,106</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2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2,159</w:t>
            </w:r>
          </w:p>
        </w:tc>
        <w:tc>
          <w:tcPr>
            <w:tcW w:w="100" w:type="dxa"/>
            <w:vAlign w:val="bottom"/>
          </w:tcPr>
          <w:p>
            <w:pPr>
              <w:spacing w:after="0"/>
              <w:rPr>
                <w:sz w:val="20"/>
                <w:szCs w:val="20"/>
                <w:color w:val="auto"/>
              </w:rPr>
            </w:pPr>
          </w:p>
        </w:tc>
      </w:tr>
      <w:tr>
        <w:trPr>
          <w:trHeight w:val="209"/>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34,815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32,194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103,689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004483"/>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96,478</w:t>
            </w:r>
          </w:p>
        </w:tc>
        <w:tc>
          <w:tcPr>
            <w:tcW w:w="100" w:type="dxa"/>
            <w:vAlign w:val="bottom"/>
          </w:tcPr>
          <w:p>
            <w:pPr>
              <w:spacing w:after="0"/>
              <w:rPr>
                <w:sz w:val="18"/>
                <w:szCs w:val="18"/>
                <w:color w:val="auto"/>
              </w:rPr>
            </w:pPr>
          </w:p>
        </w:tc>
      </w:tr>
      <w:tr>
        <w:trPr>
          <w:trHeight w:val="20"/>
        </w:trPr>
        <w:tc>
          <w:tcPr>
            <w:tcW w:w="516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2"/>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880" w:type="dxa"/>
            <w:vAlign w:val="bottom"/>
            <w:gridSpan w:val="2"/>
            <w:shd w:val="clear" w:color="auto" w:fill="004483"/>
          </w:tcPr>
          <w:p>
            <w:pPr>
              <w:jc w:val="right"/>
              <w:spacing w:after="0"/>
              <w:rPr>
                <w:sz w:val="20"/>
                <w:szCs w:val="20"/>
                <w:color w:val="auto"/>
              </w:rPr>
            </w:pPr>
            <w:r>
              <w:rPr>
                <w:rFonts w:ascii="Arial" w:cs="Arial" w:eastAsia="Arial" w:hAnsi="Arial"/>
                <w:sz w:val="13"/>
                <w:szCs w:val="13"/>
                <w:b w:val="1"/>
                <w:bCs w:val="1"/>
                <w:color w:val="FFFFFF"/>
                <w:w w:val="99"/>
              </w:rPr>
              <w:t>December 31,</w:t>
            </w:r>
          </w:p>
        </w:tc>
        <w:tc>
          <w:tcPr>
            <w:tcW w:w="100" w:type="dxa"/>
            <w:vAlign w:val="bottom"/>
            <w:shd w:val="clear" w:color="auto" w:fill="004483"/>
          </w:tcPr>
          <w:p>
            <w:pPr>
              <w:spacing w:after="0"/>
              <w:rPr>
                <w:sz w:val="14"/>
                <w:szCs w:val="14"/>
                <w:color w:val="auto"/>
              </w:rPr>
            </w:pPr>
          </w:p>
        </w:tc>
        <w:tc>
          <w:tcPr>
            <w:tcW w:w="200" w:type="dxa"/>
            <w:vAlign w:val="bottom"/>
            <w:shd w:val="clear" w:color="auto" w:fill="004483"/>
          </w:tcPr>
          <w:p>
            <w:pPr>
              <w:spacing w:after="0"/>
              <w:rPr>
                <w:sz w:val="14"/>
                <w:szCs w:val="14"/>
                <w:color w:val="auto"/>
              </w:rPr>
            </w:pPr>
          </w:p>
        </w:tc>
        <w:tc>
          <w:tcPr>
            <w:tcW w:w="8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520" w:type="dxa"/>
            <w:vAlign w:val="bottom"/>
            <w:shd w:val="clear" w:color="auto" w:fill="004483"/>
          </w:tcPr>
          <w:p>
            <w:pPr>
              <w:spacing w:after="0"/>
              <w:rPr>
                <w:sz w:val="14"/>
                <w:szCs w:val="14"/>
                <w:color w:val="auto"/>
              </w:rPr>
            </w:pPr>
          </w:p>
        </w:tc>
        <w:tc>
          <w:tcPr>
            <w:tcW w:w="8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68"/>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77"/>
        </w:trPr>
        <w:tc>
          <w:tcPr>
            <w:tcW w:w="516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6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60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80" w:type="dxa"/>
            <w:vAlign w:val="bottom"/>
            <w:tcBorders>
              <w:bottom w:val="single" w:sz="8" w:color="004483"/>
            </w:tcBorders>
            <w:gridSpan w:val="7"/>
          </w:tcPr>
          <w:p>
            <w:pPr>
              <w:jc w:val="right"/>
              <w:ind w:right="299"/>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528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280" w:type="dxa"/>
            <w:vAlign w:val="bottom"/>
            <w:gridSpan w:val="2"/>
          </w:tcPr>
          <w:p>
            <w:pPr>
              <w:ind w:left="200"/>
              <w:spacing w:after="0"/>
              <w:rPr>
                <w:sz w:val="20"/>
                <w:szCs w:val="20"/>
                <w:color w:val="auto"/>
              </w:rPr>
            </w:pPr>
            <w:r>
              <w:rPr>
                <w:rFonts w:ascii="Arial" w:cs="Arial" w:eastAsia="Arial" w:hAnsi="Arial"/>
                <w:sz w:val="16"/>
                <w:szCs w:val="16"/>
                <w:color w:val="004483"/>
              </w:rPr>
              <w:t>Cement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1,861,095</w:t>
            </w:r>
          </w:p>
        </w:tc>
        <w:tc>
          <w:tcPr>
            <w:tcW w:w="48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1,860,649</w:t>
            </w:r>
          </w:p>
        </w:tc>
        <w:tc>
          <w:tcPr>
            <w:tcW w:w="100" w:type="dxa"/>
            <w:vAlign w:val="bottom"/>
          </w:tcPr>
          <w:p>
            <w:pPr>
              <w:spacing w:after="0"/>
              <w:rPr>
                <w:sz w:val="18"/>
                <w:szCs w:val="18"/>
                <w:color w:val="auto"/>
              </w:rPr>
            </w:pPr>
          </w:p>
        </w:tc>
      </w:tr>
      <w:tr>
        <w:trPr>
          <w:trHeight w:val="209"/>
        </w:trPr>
        <w:tc>
          <w:tcPr>
            <w:tcW w:w="528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12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44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214,623</w:t>
            </w:r>
          </w:p>
        </w:tc>
        <w:tc>
          <w:tcPr>
            <w:tcW w:w="100" w:type="dxa"/>
            <w:vAlign w:val="bottom"/>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8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2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89,405</w:t>
            </w:r>
          </w:p>
        </w:tc>
        <w:tc>
          <w:tcPr>
            <w:tcW w:w="100" w:type="dxa"/>
            <w:vAlign w:val="bottom"/>
          </w:tcPr>
          <w:p>
            <w:pPr>
              <w:spacing w:after="0"/>
              <w:rPr>
                <w:sz w:val="18"/>
                <w:szCs w:val="18"/>
                <w:color w:val="auto"/>
              </w:rPr>
            </w:pPr>
          </w:p>
        </w:tc>
      </w:tr>
      <w:tr>
        <w:trPr>
          <w:trHeight w:val="210"/>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393,251</w:t>
            </w: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397,486</w:t>
            </w:r>
          </w:p>
        </w:tc>
        <w:tc>
          <w:tcPr>
            <w:tcW w:w="100" w:type="dxa"/>
            <w:vAlign w:val="bottom"/>
          </w:tcPr>
          <w:p>
            <w:pPr>
              <w:spacing w:after="0"/>
              <w:rPr>
                <w:sz w:val="18"/>
                <w:szCs w:val="18"/>
                <w:color w:val="auto"/>
              </w:rPr>
            </w:pPr>
          </w:p>
        </w:tc>
      </w:tr>
      <w:tr>
        <w:trPr>
          <w:trHeight w:val="210"/>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Paperboard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170,035</w:t>
            </w: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180,025</w:t>
            </w:r>
          </w:p>
        </w:tc>
        <w:tc>
          <w:tcPr>
            <w:tcW w:w="100" w:type="dxa"/>
            <w:vAlign w:val="bottom"/>
          </w:tcPr>
          <w:p>
            <w:pPr>
              <w:spacing w:after="0"/>
              <w:rPr>
                <w:sz w:val="18"/>
                <w:szCs w:val="18"/>
                <w:color w:val="auto"/>
              </w:rPr>
            </w:pPr>
          </w:p>
        </w:tc>
      </w:tr>
      <w:tr>
        <w:trPr>
          <w:trHeight w:val="240"/>
        </w:trPr>
        <w:tc>
          <w:tcPr>
            <w:tcW w:w="528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Other, net</w:t>
            </w:r>
          </w:p>
        </w:tc>
        <w:tc>
          <w:tcPr>
            <w:tcW w:w="120" w:type="dxa"/>
            <w:vAlign w:val="bottom"/>
            <w:tcBorders>
              <w:bottom w:val="single" w:sz="8" w:color="A6A6A6"/>
            </w:tcBorders>
          </w:tcPr>
          <w:p>
            <w:pPr>
              <w:spacing w:after="0"/>
              <w:rPr>
                <w:sz w:val="20"/>
                <w:szCs w:val="20"/>
                <w:color w:val="auto"/>
              </w:rPr>
            </w:pPr>
          </w:p>
        </w:tc>
        <w:tc>
          <w:tcPr>
            <w:tcW w:w="1160" w:type="dxa"/>
            <w:vAlign w:val="bottom"/>
            <w:tcBorders>
              <w:bottom w:val="single" w:sz="8" w:color="A6A6A6"/>
            </w:tcBorders>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600" w:type="dxa"/>
            <w:vAlign w:val="bottom"/>
            <w:tcBorders>
              <w:bottom w:val="single" w:sz="8" w:color="A6A6A6"/>
            </w:tcBorders>
          </w:tcPr>
          <w:p>
            <w:pPr>
              <w:spacing w:after="0"/>
              <w:rPr>
                <w:sz w:val="20"/>
                <w:szCs w:val="20"/>
                <w:color w:val="auto"/>
              </w:rPr>
            </w:pPr>
          </w:p>
        </w:tc>
        <w:tc>
          <w:tcPr>
            <w:tcW w:w="260" w:type="dxa"/>
            <w:vAlign w:val="bottom"/>
            <w:tcBorders>
              <w:bottom w:val="single" w:sz="8" w:color="A6A6A6"/>
            </w:tcBorders>
          </w:tcPr>
          <w:p>
            <w:pPr>
              <w:spacing w:after="0"/>
              <w:rPr>
                <w:sz w:val="20"/>
                <w:szCs w:val="20"/>
                <w:color w:val="auto"/>
              </w:rPr>
            </w:pPr>
          </w:p>
        </w:tc>
        <w:tc>
          <w:tcPr>
            <w:tcW w:w="440" w:type="dxa"/>
            <w:vAlign w:val="bottom"/>
            <w:tcBorders>
              <w:bottom w:val="single" w:sz="8" w:color="004483"/>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40" w:type="dxa"/>
            <w:vAlign w:val="bottom"/>
            <w:tcBorders>
              <w:bottom w:val="single" w:sz="8" w:color="004483"/>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91,166</w:t>
            </w:r>
          </w:p>
        </w:tc>
        <w:tc>
          <w:tcPr>
            <w:tcW w:w="10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80" w:type="dxa"/>
            <w:vAlign w:val="bottom"/>
            <w:tcBorders>
              <w:bottom w:val="single" w:sz="8" w:color="004483"/>
            </w:tcBorders>
          </w:tcPr>
          <w:p>
            <w:pPr>
              <w:spacing w:after="0"/>
              <w:rPr>
                <w:sz w:val="20"/>
                <w:szCs w:val="20"/>
                <w:color w:val="auto"/>
              </w:rPr>
            </w:pPr>
          </w:p>
        </w:tc>
        <w:tc>
          <w:tcPr>
            <w:tcW w:w="100" w:type="dxa"/>
            <w:vAlign w:val="bottom"/>
            <w:tcBorders>
              <w:bottom w:val="single" w:sz="8" w:color="004483"/>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52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52,087</w:t>
            </w:r>
          </w:p>
        </w:tc>
        <w:tc>
          <w:tcPr>
            <w:tcW w:w="100" w:type="dxa"/>
            <w:vAlign w:val="bottom"/>
          </w:tcPr>
          <w:p>
            <w:pPr>
              <w:spacing w:after="0"/>
              <w:rPr>
                <w:sz w:val="20"/>
                <w:szCs w:val="20"/>
                <w:color w:val="auto"/>
              </w:rPr>
            </w:pPr>
          </w:p>
        </w:tc>
      </w:tr>
      <w:tr>
        <w:trPr>
          <w:trHeight w:val="209"/>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bottom w:val="single" w:sz="8" w:color="004483"/>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2,730,170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004483"/>
            </w:tcBorders>
            <w:gridSpan w:val="2"/>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bottom w:val="single" w:sz="8" w:color="004483"/>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2,579,652</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spacing w:after="0" w:line="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segment breakdown of Goodwill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420" w:type="dxa"/>
            <w:vAlign w:val="bottom"/>
            <w:shd w:val="clear" w:color="auto" w:fill="004483"/>
          </w:tcPr>
          <w:p>
            <w:pPr>
              <w:spacing w:after="0"/>
              <w:rPr>
                <w:sz w:val="13"/>
                <w:szCs w:val="13"/>
                <w:color w:val="auto"/>
              </w:rPr>
            </w:pPr>
          </w:p>
        </w:tc>
        <w:tc>
          <w:tcPr>
            <w:tcW w:w="116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December 31,</w:t>
            </w:r>
          </w:p>
        </w:tc>
        <w:tc>
          <w:tcPr>
            <w:tcW w:w="100" w:type="dxa"/>
            <w:vAlign w:val="bottom"/>
            <w:shd w:val="clear" w:color="auto" w:fill="004483"/>
          </w:tcPr>
          <w:p>
            <w:pPr>
              <w:spacing w:after="0"/>
              <w:rPr>
                <w:sz w:val="13"/>
                <w:szCs w:val="13"/>
                <w:color w:val="auto"/>
              </w:rPr>
            </w:pPr>
          </w:p>
        </w:tc>
        <w:tc>
          <w:tcPr>
            <w:tcW w:w="200" w:type="dxa"/>
            <w:vAlign w:val="bottom"/>
            <w:shd w:val="clear" w:color="auto" w:fill="004483"/>
          </w:tcPr>
          <w:p>
            <w:pPr>
              <w:spacing w:after="0"/>
              <w:rPr>
                <w:sz w:val="13"/>
                <w:szCs w:val="13"/>
                <w:color w:val="auto"/>
              </w:rPr>
            </w:pPr>
          </w:p>
        </w:tc>
        <w:tc>
          <w:tcPr>
            <w:tcW w:w="700" w:type="dxa"/>
            <w:vAlign w:val="bottom"/>
            <w:shd w:val="clear" w:color="auto" w:fill="004483"/>
          </w:tcPr>
          <w:p>
            <w:pPr>
              <w:spacing w:after="0"/>
              <w:rPr>
                <w:sz w:val="13"/>
                <w:szCs w:val="13"/>
                <w:color w:val="auto"/>
              </w:rPr>
            </w:pPr>
          </w:p>
        </w:tc>
        <w:tc>
          <w:tcPr>
            <w:tcW w:w="980" w:type="dxa"/>
            <w:vAlign w:val="bottom"/>
            <w:gridSpan w:val="2"/>
            <w:shd w:val="clear" w:color="auto" w:fill="004483"/>
          </w:tcPr>
          <w:p>
            <w:pPr>
              <w:ind w:left="280"/>
              <w:spacing w:after="0"/>
              <w:rPr>
                <w:sz w:val="20"/>
                <w:szCs w:val="20"/>
                <w:color w:val="auto"/>
              </w:rPr>
            </w:pPr>
            <w:r>
              <w:rPr>
                <w:rFonts w:ascii="Arial" w:cs="Arial" w:eastAsia="Arial" w:hAnsi="Arial"/>
                <w:sz w:val="13"/>
                <w:szCs w:val="13"/>
                <w:b w:val="1"/>
                <w:bCs w:val="1"/>
                <w:color w:val="FFFFFF"/>
              </w:rPr>
              <w:t>March 31,</w:t>
            </w:r>
          </w:p>
        </w:tc>
      </w:tr>
      <w:tr>
        <w:trPr>
          <w:trHeight w:val="168"/>
        </w:trPr>
        <w:tc>
          <w:tcPr>
            <w:tcW w:w="7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77"/>
        </w:trPr>
        <w:tc>
          <w:tcPr>
            <w:tcW w:w="768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2160" w:type="dxa"/>
            <w:vAlign w:val="bottom"/>
            <w:tcBorders>
              <w:bottom w:val="single" w:sz="8" w:color="004483"/>
            </w:tcBorders>
            <w:gridSpan w:val="4"/>
          </w:tcPr>
          <w:p>
            <w:pPr>
              <w:jc w:val="right"/>
              <w:ind w:right="179"/>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004483"/>
              </w:rPr>
              <w:t>Cement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215,781</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203,342</w:t>
            </w:r>
          </w:p>
        </w:tc>
        <w:tc>
          <w:tcPr>
            <w:tcW w:w="100" w:type="dxa"/>
            <w:vAlign w:val="bottom"/>
          </w:tcPr>
          <w:p>
            <w:pPr>
              <w:spacing w:after="0"/>
              <w:rPr>
                <w:sz w:val="18"/>
                <w:szCs w:val="18"/>
                <w:color w:val="auto"/>
              </w:rPr>
            </w:pPr>
          </w:p>
        </w:tc>
      </w:tr>
      <w:tr>
        <w:trPr>
          <w:trHeight w:val="209"/>
        </w:trPr>
        <w:tc>
          <w:tcPr>
            <w:tcW w:w="76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Concrete and Aggregates</w:t>
            </w:r>
          </w:p>
        </w:tc>
        <w:tc>
          <w:tcPr>
            <w:tcW w:w="42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40,774</w:t>
            </w:r>
          </w:p>
        </w:tc>
        <w:tc>
          <w:tcPr>
            <w:tcW w:w="100" w:type="dxa"/>
            <w:vAlign w:val="bottom"/>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8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1,639</w:t>
            </w:r>
          </w:p>
        </w:tc>
        <w:tc>
          <w:tcPr>
            <w:tcW w:w="100" w:type="dxa"/>
            <w:vAlign w:val="bottom"/>
          </w:tcPr>
          <w:p>
            <w:pPr>
              <w:spacing w:after="0"/>
              <w:rPr>
                <w:sz w:val="18"/>
                <w:szCs w:val="18"/>
                <w:color w:val="auto"/>
              </w:rPr>
            </w:pPr>
          </w:p>
        </w:tc>
      </w:tr>
      <w:tr>
        <w:trPr>
          <w:trHeight w:val="210"/>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4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8"/>
                <w:szCs w:val="18"/>
                <w:color w:val="auto"/>
              </w:rPr>
            </w:pPr>
          </w:p>
        </w:tc>
      </w:tr>
      <w:tr>
        <w:trPr>
          <w:trHeight w:val="239"/>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Paperboard</w:t>
            </w:r>
          </w:p>
        </w:tc>
        <w:tc>
          <w:tcPr>
            <w:tcW w:w="4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Pr>
          <w:p>
            <w:pPr>
              <w:spacing w:after="0"/>
              <w:rPr>
                <w:sz w:val="20"/>
                <w:szCs w:val="20"/>
                <w:color w:val="auto"/>
              </w:rPr>
            </w:pPr>
          </w:p>
        </w:tc>
        <w:tc>
          <w:tcPr>
            <w:tcW w:w="200" w:type="dxa"/>
            <w:vAlign w:val="bottom"/>
            <w:tcBorders>
              <w:bottom w:val="single" w:sz="8" w:color="A6A6A6"/>
            </w:tcBorders>
          </w:tcPr>
          <w:p>
            <w:pPr>
              <w:spacing w:after="0"/>
              <w:rPr>
                <w:sz w:val="20"/>
                <w:szCs w:val="20"/>
                <w:color w:val="auto"/>
              </w:rPr>
            </w:pPr>
          </w:p>
        </w:tc>
        <w:tc>
          <w:tcPr>
            <w:tcW w:w="70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Pr>
          <w:p>
            <w:pPr>
              <w:spacing w:after="0"/>
              <w:rPr>
                <w:sz w:val="20"/>
                <w:szCs w:val="20"/>
                <w:color w:val="auto"/>
              </w:rPr>
            </w:pPr>
          </w:p>
        </w:tc>
      </w:tr>
      <w:tr>
        <w:trPr>
          <w:trHeight w:val="209"/>
        </w:trPr>
        <w:tc>
          <w:tcPr>
            <w:tcW w:w="7680" w:type="dxa"/>
            <w:vAlign w:val="bottom"/>
          </w:tcPr>
          <w:p>
            <w:pPr>
              <w:spacing w:after="0"/>
              <w:rPr>
                <w:sz w:val="18"/>
                <w:szCs w:val="18"/>
                <w:color w:val="auto"/>
              </w:rPr>
            </w:pP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380,711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bottom w:val="single" w:sz="8" w:color="004483"/>
            </w:tcBorders>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329,137</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increases in Goodwill in the Cement and Concrete and Aggregates segments were related to the Terminal Acquisition and ConAgg Acquisition, respectively. The purchase price allocation for the Terminal Acquisition is still in progress, and may affect the recorded balance of Goodwill when completed.</w:t>
      </w:r>
    </w:p>
    <w:p>
      <w:pPr>
        <w:spacing w:after="0" w:line="9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Summarized financial information for the Unconsolidated Joint Venture is set out below. This summarized financial information includes the total amounts for the Joint Venture and not our 50% interest in those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40" w:type="dxa"/>
            <w:vAlign w:val="bottom"/>
            <w:gridSpan w:val="5"/>
            <w:shd w:val="clear" w:color="auto" w:fill="004483"/>
          </w:tcPr>
          <w:p>
            <w:pPr>
              <w:ind w:left="20"/>
              <w:spacing w:after="0"/>
              <w:rPr>
                <w:sz w:val="20"/>
                <w:szCs w:val="20"/>
                <w:color w:val="auto"/>
              </w:rPr>
            </w:pPr>
            <w:r>
              <w:rPr>
                <w:rFonts w:ascii="Arial" w:cs="Arial" w:eastAsia="Arial" w:hAnsi="Arial"/>
                <w:sz w:val="13"/>
                <w:szCs w:val="13"/>
                <w:b w:val="1"/>
                <w:bCs w:val="1"/>
                <w:color w:val="FFFFFF"/>
              </w:rPr>
              <w:t>For the Three Months Ended December 31,</w:t>
            </w:r>
          </w:p>
        </w:tc>
        <w:tc>
          <w:tcPr>
            <w:tcW w:w="12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40" w:type="dxa"/>
            <w:vAlign w:val="bottom"/>
            <w:gridSpan w:val="5"/>
            <w:shd w:val="clear" w:color="auto" w:fill="004483"/>
          </w:tcPr>
          <w:p>
            <w:pPr>
              <w:spacing w:after="0"/>
              <w:rPr>
                <w:sz w:val="20"/>
                <w:szCs w:val="20"/>
                <w:color w:val="auto"/>
              </w:rPr>
            </w:pPr>
            <w:r>
              <w:rPr>
                <w:rFonts w:ascii="Arial" w:cs="Arial" w:eastAsia="Arial" w:hAnsi="Arial"/>
                <w:sz w:val="13"/>
                <w:szCs w:val="13"/>
                <w:b w:val="1"/>
                <w:bCs w:val="1"/>
                <w:color w:val="FFFFFF"/>
              </w:rPr>
              <w:t>For the Nine Months Ended December 31,</w:t>
            </w: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77"/>
        </w:trPr>
        <w:tc>
          <w:tcPr>
            <w:tcW w:w="53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3"/>
          </w:tcPr>
          <w:p>
            <w:pPr>
              <w:jc w:val="right"/>
              <w:ind w:right="79"/>
              <w:spacing w:after="0"/>
              <w:rPr>
                <w:sz w:val="20"/>
                <w:szCs w:val="20"/>
                <w:color w:val="auto"/>
              </w:rPr>
            </w:pPr>
            <w:r>
              <w:rPr>
                <w:rFonts w:ascii="Arial" w:cs="Arial" w:eastAsia="Arial" w:hAnsi="Arial"/>
                <w:sz w:val="13"/>
                <w:szCs w:val="13"/>
                <w:color w:val="auto"/>
              </w:rPr>
              <w:t>(dollars in thousands)</w:t>
            </w:r>
          </w:p>
        </w:tc>
        <w:tc>
          <w:tcPr>
            <w:tcW w:w="660" w:type="dxa"/>
            <w:vAlign w:val="bottom"/>
            <w:tcBorders>
              <w:bottom w:val="single" w:sz="8" w:color="004483"/>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940" w:type="dxa"/>
            <w:vAlign w:val="bottom"/>
            <w:tcBorders>
              <w:bottom w:val="single" w:sz="8" w:color="004483"/>
            </w:tcBorders>
            <w:gridSpan w:val="3"/>
          </w:tcPr>
          <w:p>
            <w:pPr>
              <w:jc w:val="right"/>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5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55,240</w:t>
            </w:r>
          </w:p>
        </w:tc>
        <w:tc>
          <w:tcPr>
            <w:tcW w:w="140" w:type="dxa"/>
            <w:vAlign w:val="bottom"/>
          </w:tcPr>
          <w:p>
            <w:pPr>
              <w:spacing w:after="0"/>
              <w:rPr>
                <w:sz w:val="18"/>
                <w:szCs w:val="18"/>
                <w:color w:val="auto"/>
              </w:rPr>
            </w:pPr>
          </w:p>
        </w:tc>
        <w:tc>
          <w:tcPr>
            <w:tcW w:w="780" w:type="dxa"/>
            <w:vAlign w:val="bottom"/>
            <w:tcBorders>
              <w:bottom w:val="single" w:sz="8" w:color="A6A6A6"/>
            </w:tcBorders>
          </w:tcPr>
          <w:p>
            <w:pPr>
              <w:jc w:val="right"/>
              <w:ind w:right="4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54,812</w:t>
            </w:r>
          </w:p>
        </w:tc>
        <w:tc>
          <w:tcPr>
            <w:tcW w:w="120" w:type="dxa"/>
            <w:vAlign w:val="bottom"/>
          </w:tcPr>
          <w:p>
            <w:pPr>
              <w:spacing w:after="0"/>
              <w:rPr>
                <w:sz w:val="18"/>
                <w:szCs w:val="18"/>
                <w:color w:val="auto"/>
              </w:rPr>
            </w:pPr>
          </w:p>
        </w:tc>
        <w:tc>
          <w:tcPr>
            <w:tcW w:w="24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158,129</w:t>
            </w:r>
          </w:p>
        </w:tc>
        <w:tc>
          <w:tcPr>
            <w:tcW w:w="100" w:type="dxa"/>
            <w:vAlign w:val="bottom"/>
          </w:tcPr>
          <w:p>
            <w:pPr>
              <w:spacing w:after="0"/>
              <w:rPr>
                <w:sz w:val="18"/>
                <w:szCs w:val="18"/>
                <w:color w:val="auto"/>
              </w:rPr>
            </w:pPr>
          </w:p>
        </w:tc>
        <w:tc>
          <w:tcPr>
            <w:tcW w:w="72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154,046</w:t>
            </w:r>
          </w:p>
        </w:tc>
        <w:tc>
          <w:tcPr>
            <w:tcW w:w="100" w:type="dxa"/>
            <w:vAlign w:val="bottom"/>
          </w:tcPr>
          <w:p>
            <w:pPr>
              <w:spacing w:after="0"/>
              <w:rPr>
                <w:sz w:val="18"/>
                <w:szCs w:val="18"/>
                <w:color w:val="auto"/>
              </w:rPr>
            </w:pPr>
          </w:p>
        </w:tc>
      </w:tr>
      <w:tr>
        <w:trPr>
          <w:trHeight w:val="210"/>
        </w:trPr>
        <w:tc>
          <w:tcPr>
            <w:tcW w:w="5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Gross Margin</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24,716</w:t>
            </w:r>
          </w:p>
        </w:tc>
        <w:tc>
          <w:tcPr>
            <w:tcW w:w="140" w:type="dxa"/>
            <w:vAlign w:val="bottom"/>
          </w:tcPr>
          <w:p>
            <w:pPr>
              <w:spacing w:after="0"/>
              <w:rPr>
                <w:sz w:val="18"/>
                <w:szCs w:val="18"/>
                <w:color w:val="auto"/>
              </w:rPr>
            </w:pPr>
          </w:p>
        </w:tc>
        <w:tc>
          <w:tcPr>
            <w:tcW w:w="780" w:type="dxa"/>
            <w:vAlign w:val="bottom"/>
            <w:tcBorders>
              <w:bottom w:val="single" w:sz="8" w:color="A6A6A6"/>
            </w:tcBorders>
          </w:tcPr>
          <w:p>
            <w:pPr>
              <w:jc w:val="right"/>
              <w:ind w:right="4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18,662</w:t>
            </w:r>
          </w:p>
        </w:tc>
        <w:tc>
          <w:tcPr>
            <w:tcW w:w="120" w:type="dxa"/>
            <w:vAlign w:val="bottom"/>
          </w:tcPr>
          <w:p>
            <w:pPr>
              <w:spacing w:after="0"/>
              <w:rPr>
                <w:sz w:val="18"/>
                <w:szCs w:val="18"/>
                <w:color w:val="auto"/>
              </w:rPr>
            </w:pPr>
          </w:p>
        </w:tc>
        <w:tc>
          <w:tcPr>
            <w:tcW w:w="24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52,718</w:t>
            </w:r>
          </w:p>
        </w:tc>
        <w:tc>
          <w:tcPr>
            <w:tcW w:w="100" w:type="dxa"/>
            <w:vAlign w:val="bottom"/>
          </w:tcPr>
          <w:p>
            <w:pPr>
              <w:spacing w:after="0"/>
              <w:rPr>
                <w:sz w:val="18"/>
                <w:szCs w:val="18"/>
                <w:color w:val="auto"/>
              </w:rPr>
            </w:pPr>
          </w:p>
        </w:tc>
        <w:tc>
          <w:tcPr>
            <w:tcW w:w="72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53,271</w:t>
            </w:r>
          </w:p>
        </w:tc>
        <w:tc>
          <w:tcPr>
            <w:tcW w:w="100" w:type="dxa"/>
            <w:vAlign w:val="bottom"/>
          </w:tcPr>
          <w:p>
            <w:pPr>
              <w:spacing w:after="0"/>
              <w:rPr>
                <w:sz w:val="18"/>
                <w:szCs w:val="18"/>
                <w:color w:val="auto"/>
              </w:rPr>
            </w:pPr>
          </w:p>
        </w:tc>
      </w:tr>
      <w:tr>
        <w:trPr>
          <w:trHeight w:val="209"/>
        </w:trPr>
        <w:tc>
          <w:tcPr>
            <w:tcW w:w="5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Earnings Before Income Taxes</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22,754</w:t>
            </w:r>
          </w:p>
        </w:tc>
        <w:tc>
          <w:tcPr>
            <w:tcW w:w="140" w:type="dxa"/>
            <w:vAlign w:val="bottom"/>
          </w:tcPr>
          <w:p>
            <w:pPr>
              <w:spacing w:after="0"/>
              <w:rPr>
                <w:sz w:val="18"/>
                <w:szCs w:val="18"/>
                <w:color w:val="auto"/>
              </w:rPr>
            </w:pPr>
          </w:p>
        </w:tc>
        <w:tc>
          <w:tcPr>
            <w:tcW w:w="780" w:type="dxa"/>
            <w:vAlign w:val="bottom"/>
            <w:tcBorders>
              <w:bottom w:val="single" w:sz="8" w:color="A6A6A6"/>
            </w:tcBorders>
          </w:tcPr>
          <w:p>
            <w:pPr>
              <w:jc w:val="right"/>
              <w:ind w:right="4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17,111</w:t>
            </w:r>
          </w:p>
        </w:tc>
        <w:tc>
          <w:tcPr>
            <w:tcW w:w="120" w:type="dxa"/>
            <w:vAlign w:val="bottom"/>
          </w:tcPr>
          <w:p>
            <w:pPr>
              <w:spacing w:after="0"/>
              <w:rPr>
                <w:sz w:val="18"/>
                <w:szCs w:val="18"/>
                <w:color w:val="auto"/>
              </w:rPr>
            </w:pPr>
          </w:p>
        </w:tc>
        <w:tc>
          <w:tcPr>
            <w:tcW w:w="24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47,262</w:t>
            </w:r>
          </w:p>
        </w:tc>
        <w:tc>
          <w:tcPr>
            <w:tcW w:w="100" w:type="dxa"/>
            <w:vAlign w:val="bottom"/>
          </w:tcPr>
          <w:p>
            <w:pPr>
              <w:spacing w:after="0"/>
              <w:rPr>
                <w:sz w:val="18"/>
                <w:szCs w:val="18"/>
                <w:color w:val="auto"/>
              </w:rPr>
            </w:pPr>
          </w:p>
        </w:tc>
        <w:tc>
          <w:tcPr>
            <w:tcW w:w="72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49,570</w:t>
            </w:r>
          </w:p>
        </w:tc>
        <w:tc>
          <w:tcPr>
            <w:tcW w:w="100" w:type="dxa"/>
            <w:vAlign w:val="bottom"/>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420" w:type="dxa"/>
            <w:vAlign w:val="bottom"/>
            <w:shd w:val="clear" w:color="auto" w:fill="004483"/>
          </w:tcPr>
          <w:p>
            <w:pPr>
              <w:spacing w:after="0"/>
              <w:rPr>
                <w:sz w:val="14"/>
                <w:szCs w:val="14"/>
                <w:color w:val="auto"/>
              </w:rPr>
            </w:pPr>
          </w:p>
        </w:tc>
        <w:tc>
          <w:tcPr>
            <w:tcW w:w="116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December 31,</w:t>
            </w:r>
          </w:p>
        </w:tc>
        <w:tc>
          <w:tcPr>
            <w:tcW w:w="100" w:type="dxa"/>
            <w:vAlign w:val="bottom"/>
            <w:shd w:val="clear" w:color="auto" w:fill="004483"/>
          </w:tcPr>
          <w:p>
            <w:pPr>
              <w:spacing w:after="0"/>
              <w:rPr>
                <w:sz w:val="14"/>
                <w:szCs w:val="14"/>
                <w:color w:val="auto"/>
              </w:rPr>
            </w:pPr>
          </w:p>
        </w:tc>
        <w:tc>
          <w:tcPr>
            <w:tcW w:w="900" w:type="dxa"/>
            <w:vAlign w:val="bottom"/>
            <w:shd w:val="clear" w:color="auto" w:fill="004483"/>
          </w:tcPr>
          <w:p>
            <w:pPr>
              <w:spacing w:after="0"/>
              <w:rPr>
                <w:sz w:val="14"/>
                <w:szCs w:val="14"/>
                <w:color w:val="auto"/>
              </w:rPr>
            </w:pPr>
          </w:p>
        </w:tc>
        <w:tc>
          <w:tcPr>
            <w:tcW w:w="980" w:type="dxa"/>
            <w:vAlign w:val="bottom"/>
            <w:gridSpan w:val="2"/>
            <w:shd w:val="clear" w:color="auto" w:fill="004483"/>
          </w:tcPr>
          <w:p>
            <w:pPr>
              <w:ind w:left="280"/>
              <w:spacing w:after="0"/>
              <w:rPr>
                <w:sz w:val="20"/>
                <w:szCs w:val="20"/>
                <w:color w:val="auto"/>
              </w:rPr>
            </w:pPr>
            <w:r>
              <w:rPr>
                <w:rFonts w:ascii="Arial" w:cs="Arial" w:eastAsia="Arial" w:hAnsi="Arial"/>
                <w:sz w:val="13"/>
                <w:szCs w:val="13"/>
                <w:b w:val="1"/>
                <w:bCs w:val="1"/>
                <w:color w:val="FFFFFF"/>
              </w:rPr>
              <w:t>March 31,</w:t>
            </w:r>
          </w:p>
        </w:tc>
      </w:tr>
      <w:tr>
        <w:trPr>
          <w:trHeight w:val="168"/>
        </w:trPr>
        <w:tc>
          <w:tcPr>
            <w:tcW w:w="7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77"/>
        </w:trPr>
        <w:tc>
          <w:tcPr>
            <w:tcW w:w="768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2160" w:type="dxa"/>
            <w:vAlign w:val="bottom"/>
            <w:tcBorders>
              <w:bottom w:val="single" w:sz="8" w:color="004483"/>
            </w:tcBorders>
            <w:gridSpan w:val="3"/>
          </w:tcPr>
          <w:p>
            <w:pPr>
              <w:jc w:val="right"/>
              <w:ind w:right="179"/>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Assets</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85,736</w:t>
            </w:r>
          </w:p>
        </w:tc>
        <w:tc>
          <w:tcPr>
            <w:tcW w:w="100" w:type="dxa"/>
            <w:vAlign w:val="bottom"/>
          </w:tcPr>
          <w:p>
            <w:pPr>
              <w:spacing w:after="0"/>
              <w:rPr>
                <w:sz w:val="18"/>
                <w:szCs w:val="18"/>
                <w:color w:val="auto"/>
              </w:rPr>
            </w:pPr>
          </w:p>
        </w:tc>
        <w:tc>
          <w:tcPr>
            <w:tcW w:w="900" w:type="dxa"/>
            <w:vAlign w:val="bottom"/>
            <w:tcBorders>
              <w:bottom w:val="single" w:sz="8" w:color="A6A6A6"/>
            </w:tcBorders>
          </w:tcPr>
          <w:p>
            <w:pPr>
              <w:jc w:val="right"/>
              <w:ind w:right="5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69,492</w:t>
            </w:r>
          </w:p>
        </w:tc>
        <w:tc>
          <w:tcPr>
            <w:tcW w:w="100" w:type="dxa"/>
            <w:vAlign w:val="bottom"/>
          </w:tcPr>
          <w:p>
            <w:pPr>
              <w:spacing w:after="0"/>
              <w:rPr>
                <w:sz w:val="18"/>
                <w:szCs w:val="18"/>
                <w:color w:val="auto"/>
              </w:rPr>
            </w:pPr>
          </w:p>
        </w:tc>
      </w:tr>
      <w:tr>
        <w:trPr>
          <w:trHeight w:val="209"/>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Noncurrent Assets</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121,863</w:t>
            </w:r>
          </w:p>
        </w:tc>
        <w:tc>
          <w:tcPr>
            <w:tcW w:w="100" w:type="dxa"/>
            <w:vAlign w:val="bottom"/>
          </w:tcPr>
          <w:p>
            <w:pPr>
              <w:spacing w:after="0"/>
              <w:rPr>
                <w:sz w:val="18"/>
                <w:szCs w:val="18"/>
                <w:color w:val="auto"/>
              </w:rPr>
            </w:pPr>
          </w:p>
        </w:tc>
        <w:tc>
          <w:tcPr>
            <w:tcW w:w="900" w:type="dxa"/>
            <w:vAlign w:val="bottom"/>
            <w:tcBorders>
              <w:bottom w:val="single" w:sz="8" w:color="A6A6A6"/>
            </w:tcBorders>
          </w:tcPr>
          <w:p>
            <w:pPr>
              <w:jc w:val="right"/>
              <w:ind w:right="5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112,926</w:t>
            </w:r>
          </w:p>
        </w:tc>
        <w:tc>
          <w:tcPr>
            <w:tcW w:w="100" w:type="dxa"/>
            <w:vAlign w:val="bottom"/>
          </w:tcPr>
          <w:p>
            <w:pPr>
              <w:spacing w:after="0"/>
              <w:rPr>
                <w:sz w:val="18"/>
                <w:szCs w:val="18"/>
                <w:color w:val="auto"/>
              </w:rPr>
            </w:pPr>
          </w:p>
        </w:tc>
      </w:tr>
      <w:tr>
        <w:trPr>
          <w:trHeight w:val="209"/>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Liabilities</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21,477</w:t>
            </w:r>
          </w:p>
        </w:tc>
        <w:tc>
          <w:tcPr>
            <w:tcW w:w="100" w:type="dxa"/>
            <w:vAlign w:val="bottom"/>
          </w:tcPr>
          <w:p>
            <w:pPr>
              <w:spacing w:after="0"/>
              <w:rPr>
                <w:sz w:val="18"/>
                <w:szCs w:val="18"/>
                <w:color w:val="auto"/>
              </w:rPr>
            </w:pPr>
          </w:p>
        </w:tc>
        <w:tc>
          <w:tcPr>
            <w:tcW w:w="900" w:type="dxa"/>
            <w:vAlign w:val="bottom"/>
            <w:tcBorders>
              <w:bottom w:val="single" w:sz="8" w:color="A6A6A6"/>
            </w:tcBorders>
          </w:tcPr>
          <w:p>
            <w:pPr>
              <w:jc w:val="right"/>
              <w:ind w:right="5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18,276</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 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40" w:type="dxa"/>
            <w:vAlign w:val="bottom"/>
            <w:gridSpan w:val="6"/>
            <w:shd w:val="clear" w:color="auto" w:fill="004483"/>
          </w:tcPr>
          <w:p>
            <w:pPr>
              <w:ind w:left="20"/>
              <w:spacing w:after="0"/>
              <w:rPr>
                <w:sz w:val="20"/>
                <w:szCs w:val="20"/>
                <w:color w:val="auto"/>
              </w:rPr>
            </w:pPr>
            <w:r>
              <w:rPr>
                <w:rFonts w:ascii="Arial" w:cs="Arial" w:eastAsia="Arial" w:hAnsi="Arial"/>
                <w:sz w:val="13"/>
                <w:szCs w:val="13"/>
                <w:b w:val="1"/>
                <w:bCs w:val="1"/>
                <w:color w:val="FFFFFF"/>
              </w:rPr>
              <w:t>For the Three Months Ended December 31,</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40" w:type="dxa"/>
            <w:vAlign w:val="bottom"/>
            <w:gridSpan w:val="6"/>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Nine Months Ended December 31,</w:t>
            </w:r>
          </w:p>
        </w:tc>
      </w:tr>
      <w:tr>
        <w:trPr>
          <w:trHeight w:val="168"/>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77"/>
        </w:trPr>
        <w:tc>
          <w:tcPr>
            <w:tcW w:w="528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100" w:type="dxa"/>
            <w:vAlign w:val="bottom"/>
            <w:tcBorders>
              <w:bottom w:val="single" w:sz="8" w:color="004483"/>
            </w:tcBorders>
            <w:gridSpan w:val="4"/>
          </w:tcPr>
          <w:p>
            <w:pPr>
              <w:jc w:val="right"/>
              <w:ind w:right="119"/>
              <w:spacing w:after="0"/>
              <w:rPr>
                <w:sz w:val="20"/>
                <w:szCs w:val="20"/>
                <w:color w:val="auto"/>
              </w:rPr>
            </w:pPr>
            <w:r>
              <w:rPr>
                <w:rFonts w:ascii="Arial" w:cs="Arial" w:eastAsia="Arial" w:hAnsi="Arial"/>
                <w:sz w:val="13"/>
                <w:szCs w:val="13"/>
                <w:color w:val="auto"/>
              </w:rPr>
              <w:t>(dollars in thousands)</w:t>
            </w:r>
          </w:p>
        </w:tc>
        <w:tc>
          <w:tcPr>
            <w:tcW w:w="620" w:type="dxa"/>
            <w:vAlign w:val="bottom"/>
            <w:tcBorders>
              <w:bottom w:val="single" w:sz="8" w:color="004483"/>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000" w:type="dxa"/>
            <w:vAlign w:val="bottom"/>
            <w:tcBorders>
              <w:bottom w:val="single" w:sz="8" w:color="004483"/>
            </w:tcBorders>
            <w:gridSpan w:val="4"/>
          </w:tcPr>
          <w:p>
            <w:pPr>
              <w:jc w:val="right"/>
              <w:ind w:right="59"/>
              <w:spacing w:after="0"/>
              <w:rPr>
                <w:sz w:val="20"/>
                <w:szCs w:val="20"/>
                <w:color w:val="auto"/>
              </w:rPr>
            </w:pPr>
            <w:r>
              <w:rPr>
                <w:rFonts w:ascii="Arial" w:cs="Arial" w:eastAsia="Arial" w:hAnsi="Arial"/>
                <w:sz w:val="13"/>
                <w:szCs w:val="13"/>
                <w:color w:val="auto"/>
              </w:rPr>
              <w:t>(dollars in thousands)</w:t>
            </w:r>
          </w:p>
        </w:tc>
        <w:tc>
          <w:tcPr>
            <w:tcW w:w="6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004483"/>
              </w:rPr>
              <w:t>Interest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(163 )</w:t>
            </w:r>
          </w:p>
        </w:tc>
        <w:tc>
          <w:tcPr>
            <w:tcW w:w="800" w:type="dxa"/>
            <w:vAlign w:val="bottom"/>
            <w:gridSpan w:val="2"/>
          </w:tcPr>
          <w:p>
            <w:pPr>
              <w:jc w:val="right"/>
              <w:ind w:right="499"/>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(245 )</w:t>
            </w:r>
          </w:p>
        </w:tc>
        <w:tc>
          <w:tcPr>
            <w:tcW w:w="7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(38 )</w:t>
            </w:r>
          </w:p>
        </w:tc>
      </w:tr>
      <w:tr>
        <w:trPr>
          <w:trHeight w:val="209"/>
        </w:trPr>
        <w:tc>
          <w:tcPr>
            <w:tcW w:w="52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Interest Expense</w:t>
            </w:r>
          </w:p>
        </w:tc>
        <w:tc>
          <w:tcPr>
            <w:tcW w:w="12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8,621</w:t>
            </w:r>
          </w:p>
        </w:tc>
        <w:tc>
          <w:tcPr>
            <w:tcW w:w="14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4,959</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1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23,676</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640" w:type="dxa"/>
            <w:vAlign w:val="bottom"/>
            <w:tcBorders>
              <w:top w:val="single" w:sz="8" w:color="A6A6A6"/>
              <w:bottom w:val="single" w:sz="8" w:color="A6A6A6"/>
            </w:tcBorders>
          </w:tcPr>
          <w:p>
            <w:pPr>
              <w:spacing w:after="0"/>
              <w:rPr>
                <w:sz w:val="18"/>
                <w:szCs w:val="18"/>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16,511</w:t>
            </w:r>
          </w:p>
        </w:tc>
        <w:tc>
          <w:tcPr>
            <w:tcW w:w="100" w:type="dxa"/>
            <w:vAlign w:val="bottom"/>
          </w:tcPr>
          <w:p>
            <w:pPr>
              <w:spacing w:after="0"/>
              <w:rPr>
                <w:sz w:val="18"/>
                <w:szCs w:val="18"/>
                <w:color w:val="auto"/>
              </w:rPr>
            </w:pPr>
          </w:p>
        </w:tc>
      </w:tr>
      <w:tr>
        <w:trPr>
          <w:trHeight w:val="240"/>
        </w:trPr>
        <w:tc>
          <w:tcPr>
            <w:tcW w:w="52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Expenses</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680" w:type="dxa"/>
            <w:vAlign w:val="bottom"/>
            <w:tcBorders>
              <w:bottom w:val="single" w:sz="8" w:color="004483"/>
            </w:tcBorders>
          </w:tcPr>
          <w:p>
            <w:pPr>
              <w:spacing w:after="0"/>
              <w:rPr>
                <w:sz w:val="20"/>
                <w:szCs w:val="20"/>
                <w:color w:val="auto"/>
              </w:rPr>
            </w:pPr>
          </w:p>
        </w:tc>
        <w:tc>
          <w:tcPr>
            <w:tcW w:w="6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640" w:type="dxa"/>
            <w:vAlign w:val="bottom"/>
            <w:tcBorders>
              <w:bottom w:val="single" w:sz="8" w:color="004483"/>
            </w:tcBorders>
          </w:tcPr>
          <w:p>
            <w:pPr>
              <w:spacing w:after="0"/>
              <w:rPr>
                <w:sz w:val="20"/>
                <w:szCs w:val="20"/>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8,418</w:t>
            </w:r>
          </w:p>
        </w:tc>
        <w:tc>
          <w:tcPr>
            <w:tcW w:w="100" w:type="dxa"/>
            <w:vAlign w:val="bottom"/>
          </w:tcPr>
          <w:p>
            <w:pPr>
              <w:spacing w:after="0"/>
              <w:rPr>
                <w:sz w:val="20"/>
                <w:szCs w:val="20"/>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8,932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5,651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24,842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004483"/>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24,891</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Interest Income includes interest earned on investments of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(P) COMMITMENTS AND CONTINGENCIES</w:t>
      </w:r>
    </w:p>
    <w:p>
      <w:pPr>
        <w:spacing w:after="0" w:line="12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December 31, 2022, we had contingent liabilities under these outstanding letters of credit of approximately $6.4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-151765</wp:posOffset>
            </wp:positionV>
            <wp:extent cx="6858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and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 with unaffiliated third parties.</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are currently contingently liable for performance under $26.9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No material claims have been made at this time against these financial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 FAIR VALUE OF FINANCIAL INSTRUMENTS</w:t>
      </w:r>
    </w:p>
    <w:p>
      <w:pPr>
        <w:spacing w:after="0" w:line="12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fair value of our long-term debt has been estimated based upon our current incremental borrowing rates for similar types of borrowing arrangements. The fair value of our 2.500% Senior Unsecured Notes at December 31,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-27940</wp:posOffset>
            </wp:positionV>
            <wp:extent cx="6858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64"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Fair Value</w:t>
      </w:r>
    </w:p>
    <w:p>
      <w:pPr>
        <w:spacing w:after="0" w:line="29"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06374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63740" cy="26035"/>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920" w:val="left"/>
          <w:tab w:leader="none" w:pos="10520" w:val="left"/>
        </w:tabs>
        <w:rPr>
          <w:sz w:val="20"/>
          <w:szCs w:val="20"/>
          <w:color w:val="auto"/>
        </w:rPr>
      </w:pPr>
      <w:r>
        <w:rPr>
          <w:rFonts w:ascii="Arial" w:cs="Arial" w:eastAsia="Arial" w:hAnsi="Arial"/>
          <w:sz w:val="16"/>
          <w:szCs w:val="16"/>
          <w:color w:val="004483"/>
        </w:rPr>
        <w:t>2.500% Senior Unsecured Notes Due 2031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588,348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637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2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estimated fair value of our long-term debt was based on quoted prices of similar debt instruments with similar terms that are publicly traded (level 1 input). The carrying values of Cash and Cash Equivalents, Accounts Receivable, Notes Receivable, Accounts Payable, and Accrued Liabilities approximate their fair values at December 31, 2022, due to the short-term maturities of these assets and liabilities. The fair value of our Revolving Credit Facility and Term Loan also approximates the carrying value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-151765</wp:posOffset>
            </wp:positionV>
            <wp:extent cx="6858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-22860</wp:posOffset>
            </wp:positionV>
            <wp:extent cx="6858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2" w:name="page23"/>
    <w:bookmarkEnd w:id="22"/>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are a leading manufacturer of heavy construction materials and light building materials in the United States. Our primary products, Portland Cement and Gypsum Wallboard,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and nine months ended December 31, 2022 and 2021, are presented on a consolidated basis and by these business segments – Cement, Concrete and Aggregates, Gypsum Wallboard, and Recycled Paperboard.</w:t>
      </w:r>
    </w:p>
    <w:p>
      <w:pPr>
        <w:spacing w:after="0" w:line="9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9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On April 22, 2022, we completed the ConAgg Acquisition. The purchase price of the ConAgg Acquisition was approximately $120.2 million.</w:t>
      </w:r>
    </w:p>
    <w:p>
      <w:pPr>
        <w:spacing w:after="0"/>
        <w:rPr>
          <w:sz w:val="20"/>
          <w:szCs w:val="20"/>
          <w:color w:val="auto"/>
        </w:rPr>
      </w:pPr>
      <w:r>
        <w:rPr>
          <w:rFonts w:ascii="Arial" w:cs="Arial" w:eastAsia="Arial" w:hAnsi="Arial"/>
          <w:sz w:val="18"/>
          <w:szCs w:val="18"/>
          <w:color w:val="auto"/>
        </w:rPr>
        <w:t>The ConAgg Acquisition is included in our Heavy Materials sector, in the Concrete and Aggregates business segment.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September 16, 2022, we acquired a cement distribution terminal located in Nashville, Tennessee (the Terminal Acquisition). The purchase price of the Terminal Acquisition was approximately $39.5 million. The Terminal Acquisition is included in our Heavy Materials sector, in the Cement business segment.</w:t>
      </w:r>
    </w:p>
    <w:p>
      <w:pPr>
        <w:spacing w:after="0" w:line="95"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See Footnote (C) in the Unaudited Consolidated Financial Statements for more information regarding the ConAgg Acquisition and the Terminal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During the first nine months of fiscal 2023, our end markets generally remained resilient despite external challenges, such as transportation disruptions, supply chain constraints, and increasing interest rates and inflation. Construction activity in most of our regional markets continued to outpace the national average, and demand in our largest business lines remained strong during the three months ended December 31, 2022, notwithstanding difficult weather conditions which affected our Cement sales volumes.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Demand Outlook</w:t>
      </w:r>
    </w:p>
    <w:p>
      <w:pPr>
        <w:spacing w:after="0" w:line="12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The principal end -use market of cement is public infrastructure (i.e. roads, bridges, and highways). Our Cement business remains in a near sold-out position. We expect demand for cement to remain strong given the recovery in private non-residential construction; increased federal funding from the </w:t>
      </w:r>
      <w:r>
        <w:rPr>
          <w:rFonts w:ascii="Arial" w:cs="Arial" w:eastAsia="Arial" w:hAnsi="Arial"/>
          <w:sz w:val="18"/>
          <w:szCs w:val="18"/>
          <w:i w:val="1"/>
          <w:iCs w:val="1"/>
          <w:color w:val="auto"/>
        </w:rPr>
        <w:t>Infrastructure Investment and Jobs Act</w:t>
      </w:r>
      <w:r>
        <w:rPr>
          <w:rFonts w:ascii="Arial" w:cs="Arial" w:eastAsia="Arial" w:hAnsi="Arial"/>
          <w:sz w:val="18"/>
          <w:szCs w:val="18"/>
          <w:color w:val="auto"/>
        </w:rPr>
        <w:t xml:space="preserve"> for infrastructure construction and repair projects during the latter half of this fiscal year and into calendar 2023; and continued high state budget allocations for additional infrastructure projects. Despite underlying demand growth, our ability to achieve further Cement sales volume growth from our existing facilities is limited, because our integrated cement sales network is operating at high utilization levels.</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principal end use for gypsum wallboard is residential housing, consisting of new construction (both single-family and multi-family homes) as well as repair and remodel. Gypsum Wallboard shipments and orders currently remain steady, and we expect home construction backlogs to support demand in the near term. We recognize tighter U.S. fiscal policy, which has resulted in higher mortgage rates, will likely have some adverse impact on residential construction activity in the future; however, the magnitude and duration remains unclear at this time. Our Recycled Paperboard business sells paper primarily into the gypsum wallboard market, and demand for our paper generally follows the demand for gypsum wallboard.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Outlook</w:t>
      </w:r>
    </w:p>
    <w:p>
      <w:pPr>
        <w:spacing w:after="0" w:line="12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believe we are well-positioned to manage our cost structure and meet our customers’ needs during the remainder of the fiscal year, despite rising inflation and increased transportation costs. Our substantial raw material reserves for our Cement, Aggregates, and Gypsum Wallboard businesses, and their proximity to our respective manufacturing facilities, support our low-cost producer position across all our business segments.</w:t>
      </w:r>
    </w:p>
    <w:p>
      <w:pPr>
        <w:spacing w:after="0" w:line="97"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Energy and freight costs increased in all our businesses during fiscal 2022, as well as the first nine months of fiscal 2023. While natural gas costs have recently declined and freight costs have stabilized, we expect solid fuel and electricity costs, which are the primary energy costs in manufacturing cement, to increase in fiscal 2024.</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primary raw material used to produce paperboard is OCC. Prices for OCC significantly increased during the prior year, but have recently declined. Our current customer contracts for gypsum liner include price adjustments that partially compensate for changes in raw material fiber prices. However, because these price adjustments are not realized until future quarters, material costs in our Gypsum Wallboard segment are likely to be lower in the period that these price adjustments are realized.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2022, COMPARED WITH THREE MONTHS ENDED DECEMBER 31,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shd w:val="clear" w:color="auto" w:fill="004483"/>
          </w:tcPr>
          <w:p>
            <w:pPr>
              <w:spacing w:after="0"/>
              <w:rPr>
                <w:sz w:val="14"/>
                <w:szCs w:val="14"/>
                <w:color w:val="auto"/>
              </w:rPr>
            </w:pPr>
          </w:p>
        </w:tc>
        <w:tc>
          <w:tcPr>
            <w:tcW w:w="3240" w:type="dxa"/>
            <w:vAlign w:val="bottom"/>
            <w:gridSpan w:val="6"/>
            <w:shd w:val="clear" w:color="auto" w:fill="004483"/>
          </w:tcPr>
          <w:p>
            <w:pPr>
              <w:jc w:val="right"/>
              <w:ind w:right="520"/>
              <w:spacing w:after="0"/>
              <w:rPr>
                <w:sz w:val="20"/>
                <w:szCs w:val="20"/>
                <w:color w:val="auto"/>
              </w:rPr>
            </w:pPr>
            <w:r>
              <w:rPr>
                <w:rFonts w:ascii="Arial" w:cs="Arial" w:eastAsia="Arial" w:hAnsi="Arial"/>
                <w:sz w:val="13"/>
                <w:szCs w:val="13"/>
                <w:b w:val="1"/>
                <w:bCs w:val="1"/>
                <w:color w:val="FFFFFF"/>
              </w:rPr>
              <w:t>For the Three Months Ended December 31,</w:t>
            </w: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8"/>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20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3140" w:type="dxa"/>
            <w:vAlign w:val="bottom"/>
            <w:tcBorders>
              <w:bottom w:val="single" w:sz="8" w:color="004483"/>
            </w:tcBorders>
            <w:gridSpan w:val="5"/>
          </w:tcPr>
          <w:p>
            <w:pPr>
              <w:jc w:val="right"/>
              <w:ind w:right="521"/>
              <w:spacing w:after="0"/>
              <w:rPr>
                <w:sz w:val="20"/>
                <w:szCs w:val="20"/>
                <w:color w:val="auto"/>
              </w:rPr>
            </w:pPr>
            <w:r>
              <w:rPr>
                <w:rFonts w:ascii="Arial" w:cs="Arial" w:eastAsia="Arial" w:hAnsi="Arial"/>
                <w:sz w:val="13"/>
                <w:szCs w:val="13"/>
                <w:color w:val="auto"/>
              </w:rPr>
              <w:t>(dollars in thousands, except per share)</w:t>
            </w:r>
          </w:p>
        </w:tc>
        <w:tc>
          <w:tcPr>
            <w:tcW w:w="100" w:type="dxa"/>
            <w:vAlign w:val="bottom"/>
          </w:tcPr>
          <w:p>
            <w:pPr>
              <w:spacing w:after="0"/>
              <w:rPr>
                <w:sz w:val="15"/>
                <w:szCs w:val="15"/>
                <w:color w:val="auto"/>
              </w:rPr>
            </w:pPr>
          </w:p>
        </w:tc>
        <w:tc>
          <w:tcPr>
            <w:tcW w:w="1280" w:type="dxa"/>
            <w:vAlign w:val="bottom"/>
            <w:tcBorders>
              <w:bottom w:val="single" w:sz="8" w:color="004483"/>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60" w:type="dxa"/>
            <w:vAlign w:val="bottom"/>
            <w:gridSpan w:val="2"/>
          </w:tcPr>
          <w:p>
            <w:pPr>
              <w:ind w:left="20"/>
              <w:spacing w:after="0"/>
              <w:rPr>
                <w:sz w:val="20"/>
                <w:szCs w:val="20"/>
                <w:color w:val="auto"/>
              </w:rPr>
            </w:pPr>
            <w:r>
              <w:rPr>
                <w:rFonts w:ascii="Arial" w:cs="Arial" w:eastAsia="Arial" w:hAnsi="Arial"/>
                <w:sz w:val="16"/>
                <w:szCs w:val="16"/>
                <w:color w:val="004483"/>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511,487</w:t>
            </w:r>
          </w:p>
        </w:tc>
        <w:tc>
          <w:tcPr>
            <w:tcW w:w="120" w:type="dxa"/>
            <w:vAlign w:val="bottom"/>
          </w:tcPr>
          <w:p>
            <w:pPr>
              <w:spacing w:after="0"/>
              <w:rPr>
                <w:sz w:val="18"/>
                <w:szCs w:val="18"/>
                <w:color w:val="auto"/>
              </w:rPr>
            </w:pPr>
          </w:p>
        </w:tc>
        <w:tc>
          <w:tcPr>
            <w:tcW w:w="66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462,941</w:t>
            </w: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360" w:type="dxa"/>
            <w:vAlign w:val="bottom"/>
            <w:gridSpan w:val="2"/>
          </w:tcPr>
          <w:p>
            <w:pPr>
              <w:ind w:left="20"/>
              <w:spacing w:after="0"/>
              <w:rPr>
                <w:sz w:val="20"/>
                <w:szCs w:val="20"/>
                <w:color w:val="auto"/>
              </w:rPr>
            </w:pPr>
            <w:r>
              <w:rPr>
                <w:rFonts w:ascii="Arial" w:cs="Arial" w:eastAsia="Arial" w:hAnsi="Arial"/>
                <w:sz w:val="16"/>
                <w:szCs w:val="16"/>
                <w:color w:val="004483"/>
              </w:rPr>
              <w:t>Cost of Goods Sold</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(352,717 )</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(324,355 )</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13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tcBorders>
              <w:top w:val="single" w:sz="8" w:color="004483"/>
            </w:tcBorders>
            <w:shd w:val="clear" w:color="auto" w:fill="004483"/>
          </w:tcPr>
          <w:p>
            <w:pPr>
              <w:spacing w:after="0" w:line="20" w:lineRule="exact"/>
              <w:rPr>
                <w:sz w:val="1"/>
                <w:szCs w:val="1"/>
                <w:color w:val="auto"/>
              </w:rPr>
            </w:pPr>
          </w:p>
        </w:tc>
        <w:tc>
          <w:tcPr>
            <w:tcW w:w="10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60" w:type="dxa"/>
            <w:vAlign w:val="bottom"/>
            <w:gridSpan w:val="2"/>
          </w:tcPr>
          <w:p>
            <w:pPr>
              <w:ind w:left="20"/>
              <w:spacing w:after="0"/>
              <w:rPr>
                <w:sz w:val="20"/>
                <w:szCs w:val="20"/>
                <w:color w:val="auto"/>
              </w:rPr>
            </w:pPr>
            <w:r>
              <w:rPr>
                <w:rFonts w:ascii="Arial" w:cs="Arial" w:eastAsia="Arial" w:hAnsi="Arial"/>
                <w:sz w:val="16"/>
                <w:szCs w:val="16"/>
                <w:color w:val="004483"/>
              </w:rPr>
              <w:t>Gross Profit</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158,770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138,586</w:t>
            </w:r>
          </w:p>
        </w:tc>
        <w:tc>
          <w:tcPr>
            <w:tcW w:w="1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8,555</w:t>
            </w: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tcPr>
          <w:p>
            <w:pPr>
              <w:ind w:left="20"/>
              <w:spacing w:after="0"/>
              <w:rPr>
                <w:sz w:val="20"/>
                <w:szCs w:val="20"/>
                <w:color w:val="auto"/>
              </w:rPr>
            </w:pPr>
            <w:r>
              <w:rPr>
                <w:rFonts w:ascii="Arial" w:cs="Arial" w:eastAsia="Arial" w:hAnsi="Arial"/>
                <w:sz w:val="16"/>
                <w:szCs w:val="16"/>
                <w:color w:val="004483"/>
              </w:rPr>
              <w:t>Corporate General and Administrative Expense</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(12,497 )</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(12,851 )</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tcPr>
          <w:p>
            <w:pPr>
              <w:ind w:left="20"/>
              <w:spacing w:after="0"/>
              <w:rPr>
                <w:sz w:val="20"/>
                <w:szCs w:val="20"/>
                <w:color w:val="auto"/>
              </w:rPr>
            </w:pPr>
            <w:r>
              <w:rPr>
                <w:rFonts w:ascii="Arial" w:cs="Arial" w:eastAsia="Arial" w:hAnsi="Arial"/>
                <w:sz w:val="16"/>
                <w:szCs w:val="16"/>
                <w:color w:val="004483"/>
              </w:rPr>
              <w:t>Other Nonoperating Income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3,207</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360" w:type="dxa"/>
            <w:vAlign w:val="bottom"/>
            <w:gridSpan w:val="2"/>
          </w:tcPr>
          <w:p>
            <w:pPr>
              <w:ind w:left="20"/>
              <w:spacing w:after="0"/>
              <w:rPr>
                <w:sz w:val="20"/>
                <w:szCs w:val="20"/>
                <w:color w:val="auto"/>
              </w:rPr>
            </w:pPr>
            <w:r>
              <w:rPr>
                <w:rFonts w:ascii="Arial" w:cs="Arial" w:eastAsia="Arial" w:hAnsi="Arial"/>
                <w:sz w:val="16"/>
                <w:szCs w:val="16"/>
                <w:color w:val="004483"/>
              </w:rPr>
              <w:t>Interest Expense, net</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(8,932 )</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(5,651 )</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13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tcBorders>
              <w:top w:val="single" w:sz="8" w:color="004483"/>
            </w:tcBorders>
            <w:shd w:val="clear" w:color="auto" w:fill="004483"/>
          </w:tcPr>
          <w:p>
            <w:pPr>
              <w:spacing w:after="0" w:line="20" w:lineRule="exact"/>
              <w:rPr>
                <w:sz w:val="1"/>
                <w:szCs w:val="1"/>
                <w:color w:val="auto"/>
              </w:rPr>
            </w:pPr>
          </w:p>
        </w:tc>
        <w:tc>
          <w:tcPr>
            <w:tcW w:w="10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60" w:type="dxa"/>
            <w:vAlign w:val="bottom"/>
            <w:gridSpan w:val="2"/>
          </w:tcPr>
          <w:p>
            <w:pPr>
              <w:ind w:left="20"/>
              <w:spacing w:after="0"/>
              <w:rPr>
                <w:sz w:val="20"/>
                <w:szCs w:val="20"/>
                <w:color w:val="auto"/>
              </w:rPr>
            </w:pPr>
            <w:r>
              <w:rPr>
                <w:rFonts w:ascii="Arial" w:cs="Arial" w:eastAsia="Arial" w:hAnsi="Arial"/>
                <w:sz w:val="16"/>
                <w:szCs w:val="16"/>
                <w:color w:val="004483"/>
              </w:rPr>
              <w:t>Earnings Before Income Taxes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150,928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131,846</w:t>
            </w:r>
          </w:p>
        </w:tc>
        <w:tc>
          <w:tcPr>
            <w:tcW w:w="1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3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200" w:type="dxa"/>
            <w:vAlign w:val="bottom"/>
          </w:tcPr>
          <w:p>
            <w:pPr>
              <w:ind w:left="20"/>
              <w:spacing w:after="0"/>
              <w:rPr>
                <w:sz w:val="20"/>
                <w:szCs w:val="20"/>
                <w:color w:val="auto"/>
              </w:rPr>
            </w:pPr>
            <w:r>
              <w:rPr>
                <w:rFonts w:ascii="Arial" w:cs="Arial" w:eastAsia="Arial" w:hAnsi="Arial"/>
                <w:sz w:val="16"/>
                <w:szCs w:val="16"/>
                <w:color w:val="004483"/>
              </w:rPr>
              <w:t>Income Tax Expense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(33,744 )</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(29,367 )</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
        </w:trPr>
        <w:tc>
          <w:tcPr>
            <w:tcW w:w="6200" w:type="dxa"/>
            <w:vAlign w:val="bottom"/>
            <w:shd w:val="clear" w:color="auto" w:fill="A6A6A6"/>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13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00" w:type="dxa"/>
            <w:vAlign w:val="bottom"/>
            <w:tcBorders>
              <w:top w:val="single" w:sz="8" w:color="004483"/>
            </w:tcBorders>
            <w:shd w:val="clear" w:color="auto" w:fill="004483"/>
          </w:tcPr>
          <w:p>
            <w:pPr>
              <w:spacing w:after="0" w:line="20" w:lineRule="exact"/>
              <w:rPr>
                <w:sz w:val="1"/>
                <w:szCs w:val="1"/>
                <w:color w:val="auto"/>
              </w:rPr>
            </w:pPr>
          </w:p>
        </w:tc>
        <w:tc>
          <w:tcPr>
            <w:tcW w:w="10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vMerge w:val="continue"/>
          </w:tcPr>
          <w:p>
            <w:pPr>
              <w:spacing w:after="0"/>
              <w:rPr>
                <w:sz w:val="18"/>
                <w:szCs w:val="18"/>
                <w:color w:val="auto"/>
              </w:rPr>
            </w:pP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117,184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102,479</w:t>
            </w:r>
          </w:p>
        </w:tc>
        <w:tc>
          <w:tcPr>
            <w:tcW w:w="1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14 %</w:t>
            </w:r>
          </w:p>
        </w:tc>
        <w:tc>
          <w:tcPr>
            <w:tcW w:w="0" w:type="dxa"/>
            <w:vAlign w:val="bottom"/>
          </w:tcPr>
          <w:p>
            <w:pPr>
              <w:spacing w:after="0"/>
              <w:rPr>
                <w:sz w:val="1"/>
                <w:szCs w:val="1"/>
                <w:color w:val="auto"/>
              </w:rPr>
            </w:pP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2.53</w:t>
            </w:r>
          </w:p>
        </w:tc>
        <w:tc>
          <w:tcPr>
            <w:tcW w:w="1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26 %</w:t>
            </w:r>
          </w:p>
        </w:tc>
        <w:tc>
          <w:tcPr>
            <w:tcW w:w="0" w:type="dxa"/>
            <w:vAlign w:val="bottom"/>
          </w:tcPr>
          <w:p>
            <w:pPr>
              <w:spacing w:after="0"/>
              <w:rPr>
                <w:sz w:val="1"/>
                <w:szCs w:val="1"/>
                <w:color w:val="auto"/>
              </w:rPr>
            </w:pP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6"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Revenue increased by $48.6 million, or 10%, to $511.5 million for the three months ended December 31, 2022. The ConAgg Acquisition contributed $9.8 million of Revenue during the three months ended December 31, 2022. Excluding the ConAgg Acquisition, Revenue improved by $38.8 million, or 8%, largely because of higher gross sales prices of approximately $65.1 million, partially offset by lower Sales Volume of $26.3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Cost of Goods Sold increased by $28.3 million, or 9%, to $352.7 million for the three months ended December 31, 2022. The ConAgg Acquisition contributed $10.1 million of Cost of Goods Sold during the three months ended December 31, 2022. Excluding the ConAgg Acquisition, Cost of Goods Sold increased by $18.2 million, or 6%. The increase was due to higher operating costs of $38.0 million, partially offset by lower Sales Volume of $19.8 million. Higher operating costs were primarily related to our Cement and Gypsum Wallboard segments, which are discussed further in the segment analysis.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Gross Profit increased 15% to $158.8 million during the three months ended December 31, 2022. The improvement was primarily related to higher gross sales prices, partially offset by lower Sale Volume and higher operating costs. The gross margin increased to 31%, with higher gross sales prices being partially offset by an increase in operating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26"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Equity in Earnings of our Unconsolidated Joint Venture increased $2.8 million, or 33%, for the three months ended December 31, 2022. The increase was primarily due to higher to gross sales prices, which contributed $5.7 million to earnings. This was partially offset by lower Sales Volume and increased operating costs, which adversely affected earnings by approximately $ 1.7 million and $1.2 million, respectively. The increase in operating costs was primarily related to higher maintenance costs, which reduced operating earnings by $1.0 million.</w:t>
      </w: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9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CORPORATE GENERAL AND ADMINISTRATIVE EXPENSE</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Corporate General and Administrative Expense declined by approximately $0.4 million, or 3%, for the three months ended December 31, 2022. The decrease was primarily due to lower insurance costs of approximately $0.6 million, partially offset by higher salary and incentive compensation expenses of $0.3 million. The increase in salary and incentive compensation was due to higher earnings in the third quarter of fiscal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2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6"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Interest Expense, net increased by approximately $3.2 million, or 58%, during the three months ended December 31, 2022. The increase was primarily due to $3.6 million of interest expense in the current-year quarter related to higher interest rates and average balance outstanding under our Revolving Credit Facility. This was partially offset by higher interest income of $0.2 million. See Footnote (M) to the Unaudited Consolidated Financial Statements for more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26"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Earnings Before Income Taxes increased to $150.9 million during the three months ended December 31, 2022, primarily because of higher Gross Profit and Equity in Earnings of Unconsolidated Joint Venture. The increase was partially offset by higher Interest Expense, net and lower Other Nonoperating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Income Tax Expense was $ 33.7 million for the three months ended December 31, 2022, compared with $29.4 million for the three months ended December 31, 2021. The effective tax rate remained flat at 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14% to $117.2 million for the three months ended December 31, 2022, as shown in the table above.</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3" w:right="39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DECEMBER 31, 2022, COMPARED WITH NINE MONTHS ENDED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shd w:val="clear" w:color="auto" w:fill="004483"/>
          </w:tcPr>
          <w:p>
            <w:pPr>
              <w:spacing w:after="0"/>
              <w:rPr>
                <w:sz w:val="13"/>
                <w:szCs w:val="13"/>
                <w:color w:val="auto"/>
              </w:rPr>
            </w:pPr>
          </w:p>
        </w:tc>
        <w:tc>
          <w:tcPr>
            <w:tcW w:w="3160" w:type="dxa"/>
            <w:vAlign w:val="bottom"/>
            <w:gridSpan w:val="6"/>
            <w:shd w:val="clear" w:color="auto" w:fill="004483"/>
          </w:tcPr>
          <w:p>
            <w:pPr>
              <w:jc w:val="right"/>
              <w:ind w:right="520"/>
              <w:spacing w:after="0"/>
              <w:rPr>
                <w:sz w:val="20"/>
                <w:szCs w:val="20"/>
                <w:color w:val="auto"/>
              </w:rPr>
            </w:pPr>
            <w:r>
              <w:rPr>
                <w:rFonts w:ascii="Arial" w:cs="Arial" w:eastAsia="Arial" w:hAnsi="Arial"/>
                <w:sz w:val="13"/>
                <w:szCs w:val="13"/>
                <w:b w:val="1"/>
                <w:bCs w:val="1"/>
                <w:color w:val="FFFFFF"/>
              </w:rPr>
              <w:t>For the Nine Months Ended December 31,</w:t>
            </w:r>
          </w:p>
        </w:tc>
        <w:tc>
          <w:tcPr>
            <w:tcW w:w="16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8"/>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06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3060" w:type="dxa"/>
            <w:vAlign w:val="bottom"/>
            <w:tcBorders>
              <w:bottom w:val="single" w:sz="8" w:color="004483"/>
            </w:tcBorders>
            <w:gridSpan w:val="5"/>
          </w:tcPr>
          <w:p>
            <w:pPr>
              <w:jc w:val="right"/>
              <w:ind w:right="480"/>
              <w:spacing w:after="0"/>
              <w:rPr>
                <w:sz w:val="20"/>
                <w:szCs w:val="20"/>
                <w:color w:val="auto"/>
              </w:rPr>
            </w:pPr>
            <w:r>
              <w:rPr>
                <w:rFonts w:ascii="Arial" w:cs="Arial" w:eastAsia="Arial" w:hAnsi="Arial"/>
                <w:sz w:val="13"/>
                <w:szCs w:val="13"/>
                <w:color w:val="auto"/>
              </w:rPr>
              <w:t>(dollars in thousands, except per share)</w:t>
            </w:r>
          </w:p>
        </w:tc>
        <w:tc>
          <w:tcPr>
            <w:tcW w:w="100" w:type="dxa"/>
            <w:vAlign w:val="bottom"/>
          </w:tcPr>
          <w:p>
            <w:pPr>
              <w:spacing w:after="0"/>
              <w:rPr>
                <w:sz w:val="15"/>
                <w:szCs w:val="15"/>
                <w:color w:val="auto"/>
              </w:rPr>
            </w:pPr>
          </w:p>
        </w:tc>
        <w:tc>
          <w:tcPr>
            <w:tcW w:w="1480" w:type="dxa"/>
            <w:vAlign w:val="bottom"/>
            <w:tcBorders>
              <w:bottom w:val="single" w:sz="8" w:color="004483"/>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240" w:type="dxa"/>
            <w:vAlign w:val="bottom"/>
            <w:gridSpan w:val="2"/>
          </w:tcPr>
          <w:p>
            <w:pPr>
              <w:ind w:left="20"/>
              <w:spacing w:after="0"/>
              <w:rPr>
                <w:sz w:val="20"/>
                <w:szCs w:val="20"/>
                <w:color w:val="auto"/>
              </w:rPr>
            </w:pPr>
            <w:r>
              <w:rPr>
                <w:rFonts w:ascii="Arial" w:cs="Arial" w:eastAsia="Arial" w:hAnsi="Arial"/>
                <w:sz w:val="16"/>
                <w:szCs w:val="16"/>
                <w:color w:val="004483"/>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1,677,942</w:t>
            </w:r>
          </w:p>
        </w:tc>
        <w:tc>
          <w:tcPr>
            <w:tcW w:w="120" w:type="dxa"/>
            <w:vAlign w:val="bottom"/>
          </w:tcPr>
          <w:p>
            <w:pPr>
              <w:spacing w:after="0"/>
              <w:rPr>
                <w:sz w:val="18"/>
                <w:szCs w:val="18"/>
                <w:color w:val="auto"/>
              </w:rPr>
            </w:pPr>
          </w:p>
        </w:tc>
        <w:tc>
          <w:tcPr>
            <w:tcW w:w="58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1,448,405</w:t>
            </w:r>
          </w:p>
        </w:tc>
        <w:tc>
          <w:tcPr>
            <w:tcW w:w="1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
        </w:trPr>
        <w:tc>
          <w:tcPr>
            <w:tcW w:w="606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240" w:type="dxa"/>
            <w:vAlign w:val="bottom"/>
            <w:gridSpan w:val="2"/>
          </w:tcPr>
          <w:p>
            <w:pPr>
              <w:ind w:left="20"/>
              <w:spacing w:after="0"/>
              <w:rPr>
                <w:sz w:val="20"/>
                <w:szCs w:val="20"/>
                <w:color w:val="auto"/>
              </w:rPr>
            </w:pPr>
            <w:r>
              <w:rPr>
                <w:rFonts w:ascii="Arial" w:cs="Arial" w:eastAsia="Arial" w:hAnsi="Arial"/>
                <w:sz w:val="16"/>
                <w:szCs w:val="16"/>
                <w:color w:val="004483"/>
              </w:rPr>
              <w:t>Cost of Goods Sold</w:t>
            </w:r>
          </w:p>
        </w:tc>
        <w:tc>
          <w:tcPr>
            <w:tcW w:w="2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(1,174,067 )</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(1,027,967 )</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606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12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20" w:type="dxa"/>
            <w:vAlign w:val="bottom"/>
            <w:tcBorders>
              <w:top w:val="single" w:sz="8" w:color="004483"/>
            </w:tcBorders>
            <w:shd w:val="clear" w:color="auto" w:fill="004483"/>
          </w:tcPr>
          <w:p>
            <w:pPr>
              <w:spacing w:after="0" w:line="20" w:lineRule="exact"/>
              <w:rPr>
                <w:sz w:val="1"/>
                <w:szCs w:val="1"/>
                <w:color w:val="auto"/>
              </w:rPr>
            </w:pPr>
          </w:p>
        </w:tc>
        <w:tc>
          <w:tcPr>
            <w:tcW w:w="110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40" w:type="dxa"/>
            <w:vAlign w:val="bottom"/>
            <w:gridSpan w:val="2"/>
          </w:tcPr>
          <w:p>
            <w:pPr>
              <w:ind w:left="20"/>
              <w:spacing w:after="0"/>
              <w:rPr>
                <w:sz w:val="20"/>
                <w:szCs w:val="20"/>
                <w:color w:val="auto"/>
              </w:rPr>
            </w:pPr>
            <w:r>
              <w:rPr>
                <w:rFonts w:ascii="Arial" w:cs="Arial" w:eastAsia="Arial" w:hAnsi="Arial"/>
                <w:sz w:val="16"/>
                <w:szCs w:val="16"/>
                <w:color w:val="004483"/>
              </w:rPr>
              <w:t>Gross Profit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503,875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420,438</w:t>
            </w:r>
          </w:p>
        </w:tc>
        <w:tc>
          <w:tcPr>
            <w:tcW w:w="10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
        </w:trPr>
        <w:tc>
          <w:tcPr>
            <w:tcW w:w="606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gridSpan w:val="2"/>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24,785</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606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tcPr>
          <w:p>
            <w:pPr>
              <w:ind w:left="20"/>
              <w:spacing w:after="0"/>
              <w:rPr>
                <w:sz w:val="20"/>
                <w:szCs w:val="20"/>
                <w:color w:val="auto"/>
              </w:rPr>
            </w:pPr>
            <w:r>
              <w:rPr>
                <w:rFonts w:ascii="Arial" w:cs="Arial" w:eastAsia="Arial" w:hAnsi="Arial"/>
                <w:sz w:val="16"/>
                <w:szCs w:val="16"/>
                <w:color w:val="004483"/>
              </w:rPr>
              <w:t>Corporate General and Administrative Expense</w:t>
            </w: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(37,944 )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(32,986 )</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
        </w:trPr>
        <w:tc>
          <w:tcPr>
            <w:tcW w:w="606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gridSpan w:val="2"/>
          </w:tcPr>
          <w:p>
            <w:pPr>
              <w:ind w:left="20"/>
              <w:spacing w:after="0"/>
              <w:rPr>
                <w:sz w:val="20"/>
                <w:szCs w:val="20"/>
                <w:color w:val="auto"/>
              </w:rPr>
            </w:pPr>
            <w:r>
              <w:rPr>
                <w:rFonts w:ascii="Arial" w:cs="Arial" w:eastAsia="Arial" w:hAnsi="Arial"/>
                <w:sz w:val="16"/>
                <w:szCs w:val="16"/>
                <w:color w:val="004483"/>
              </w:rPr>
              <w:t>Loss on Early Retirement of Senior Notes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606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gridSpan w:val="2"/>
          </w:tcPr>
          <w:p>
            <w:pPr>
              <w:ind w:left="20"/>
              <w:spacing w:after="0"/>
              <w:rPr>
                <w:sz w:val="20"/>
                <w:szCs w:val="20"/>
                <w:color w:val="auto"/>
              </w:rPr>
            </w:pPr>
            <w:r>
              <w:rPr>
                <w:rFonts w:ascii="Arial" w:cs="Arial" w:eastAsia="Arial" w:hAnsi="Arial"/>
                <w:sz w:val="16"/>
                <w:szCs w:val="16"/>
                <w:color w:val="004483"/>
              </w:rPr>
              <w:t>Other Nonoperating Income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5,941</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0"/>
        </w:trPr>
        <w:tc>
          <w:tcPr>
            <w:tcW w:w="606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240" w:type="dxa"/>
            <w:vAlign w:val="bottom"/>
            <w:gridSpan w:val="2"/>
          </w:tcPr>
          <w:p>
            <w:pPr>
              <w:ind w:left="20"/>
              <w:spacing w:after="0"/>
              <w:rPr>
                <w:sz w:val="20"/>
                <w:szCs w:val="20"/>
                <w:color w:val="auto"/>
              </w:rPr>
            </w:pPr>
            <w:r>
              <w:rPr>
                <w:rFonts w:ascii="Arial" w:cs="Arial" w:eastAsia="Arial" w:hAnsi="Arial"/>
                <w:sz w:val="16"/>
                <w:szCs w:val="16"/>
                <w:color w:val="004483"/>
              </w:rPr>
              <w:t>Interest Expense, net</w:t>
            </w:r>
          </w:p>
        </w:tc>
        <w:tc>
          <w:tcPr>
            <w:tcW w:w="2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(24,842 )</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(24,891 )</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20"/>
        </w:trPr>
        <w:tc>
          <w:tcPr>
            <w:tcW w:w="606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12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20" w:type="dxa"/>
            <w:vAlign w:val="bottom"/>
            <w:tcBorders>
              <w:top w:val="single" w:sz="8" w:color="004483"/>
            </w:tcBorders>
            <w:shd w:val="clear" w:color="auto" w:fill="004483"/>
          </w:tcPr>
          <w:p>
            <w:pPr>
              <w:spacing w:after="0" w:line="20" w:lineRule="exact"/>
              <w:rPr>
                <w:sz w:val="1"/>
                <w:szCs w:val="1"/>
                <w:color w:val="auto"/>
              </w:rPr>
            </w:pPr>
          </w:p>
        </w:tc>
        <w:tc>
          <w:tcPr>
            <w:tcW w:w="110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40" w:type="dxa"/>
            <w:vAlign w:val="bottom"/>
            <w:gridSpan w:val="2"/>
          </w:tcPr>
          <w:p>
            <w:pPr>
              <w:ind w:left="20"/>
              <w:spacing w:after="0"/>
              <w:rPr>
                <w:sz w:val="20"/>
                <w:szCs w:val="20"/>
                <w:color w:val="auto"/>
              </w:rPr>
            </w:pPr>
            <w:r>
              <w:rPr>
                <w:rFonts w:ascii="Arial" w:cs="Arial" w:eastAsia="Arial" w:hAnsi="Arial"/>
                <w:sz w:val="16"/>
                <w:szCs w:val="16"/>
                <w:color w:val="004483"/>
              </w:rPr>
              <w:t>Earnings Before Income Taxes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465,631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384,880</w:t>
            </w:r>
          </w:p>
        </w:tc>
        <w:tc>
          <w:tcPr>
            <w:tcW w:w="10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
        </w:trPr>
        <w:tc>
          <w:tcPr>
            <w:tcW w:w="606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60" w:type="dxa"/>
            <w:vAlign w:val="bottom"/>
          </w:tcPr>
          <w:p>
            <w:pPr>
              <w:ind w:left="20"/>
              <w:spacing w:after="0"/>
              <w:rPr>
                <w:sz w:val="20"/>
                <w:szCs w:val="20"/>
                <w:color w:val="auto"/>
              </w:rPr>
            </w:pPr>
            <w:r>
              <w:rPr>
                <w:rFonts w:ascii="Arial" w:cs="Arial" w:eastAsia="Arial" w:hAnsi="Arial"/>
                <w:sz w:val="16"/>
                <w:szCs w:val="16"/>
                <w:color w:val="004483"/>
              </w:rPr>
              <w:t>Income Tax Expense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(104,447 )</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(84,949 )</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0"/>
        </w:trPr>
        <w:tc>
          <w:tcPr>
            <w:tcW w:w="6060" w:type="dxa"/>
            <w:vAlign w:val="bottom"/>
            <w:shd w:val="clear" w:color="auto" w:fill="A6A6A6"/>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12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20" w:type="dxa"/>
            <w:vAlign w:val="bottom"/>
            <w:tcBorders>
              <w:top w:val="single" w:sz="8" w:color="004483"/>
            </w:tcBorders>
            <w:shd w:val="clear" w:color="auto" w:fill="004483"/>
          </w:tcPr>
          <w:p>
            <w:pPr>
              <w:spacing w:after="0" w:line="20" w:lineRule="exact"/>
              <w:rPr>
                <w:sz w:val="1"/>
                <w:szCs w:val="1"/>
                <w:color w:val="auto"/>
              </w:rPr>
            </w:pPr>
          </w:p>
        </w:tc>
        <w:tc>
          <w:tcPr>
            <w:tcW w:w="110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180" w:type="dxa"/>
            <w:vAlign w:val="bottom"/>
            <w:vMerge w:val="continue"/>
          </w:tcPr>
          <w:p>
            <w:pPr>
              <w:spacing w:after="0"/>
              <w:rPr>
                <w:sz w:val="18"/>
                <w:szCs w:val="18"/>
                <w:color w:val="auto"/>
              </w:rPr>
            </w:pP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361,184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299,931</w:t>
            </w:r>
          </w:p>
        </w:tc>
        <w:tc>
          <w:tcPr>
            <w:tcW w:w="1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20 %</w:t>
            </w:r>
          </w:p>
        </w:tc>
        <w:tc>
          <w:tcPr>
            <w:tcW w:w="0" w:type="dxa"/>
            <w:vAlign w:val="bottom"/>
          </w:tcPr>
          <w:p>
            <w:pPr>
              <w:spacing w:after="0"/>
              <w:rPr>
                <w:sz w:val="1"/>
                <w:szCs w:val="1"/>
                <w:color w:val="auto"/>
              </w:rPr>
            </w:pPr>
          </w:p>
        </w:tc>
      </w:tr>
      <w:tr>
        <w:trPr>
          <w:trHeight w:val="20"/>
        </w:trPr>
        <w:tc>
          <w:tcPr>
            <w:tcW w:w="60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7.23</w:t>
            </w:r>
          </w:p>
        </w:tc>
        <w:tc>
          <w:tcPr>
            <w:tcW w:w="10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34 %</w:t>
            </w:r>
          </w:p>
        </w:tc>
        <w:tc>
          <w:tcPr>
            <w:tcW w:w="0" w:type="dxa"/>
            <w:vAlign w:val="bottom"/>
          </w:tcPr>
          <w:p>
            <w:pPr>
              <w:spacing w:after="0"/>
              <w:rPr>
                <w:sz w:val="1"/>
                <w:szCs w:val="1"/>
                <w:color w:val="auto"/>
              </w:rPr>
            </w:pPr>
          </w:p>
        </w:tc>
      </w:tr>
      <w:tr>
        <w:trPr>
          <w:trHeight w:val="20"/>
        </w:trPr>
        <w:tc>
          <w:tcPr>
            <w:tcW w:w="606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6"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Revenue increased by $229.5 million, or 16%, to $1,677.9 million for the nine months ended December 31, 2022. The ConAgg Acquisition contributed $34.7 million of Revenue during the nine months ended December 31, 2022. Excluding the ConAgg Acquisition, Revenue improved by $194.8 million, or 13%, largely because of higher gross sales prices, which positively affected Revenue by $211.4 million. The increase was partially offset by lower Sales Volume, which negatively affected Revenue by $16.6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26"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Cost of Goods Sold increased by $146.1 million, or 14%, to $1,174.1 million for the nine months ended December 31, 2022. The ConAgg Acquisition contributed $33.4 million of Cost of Goods Sold during the nine months ended December 31, 2022. Excluding the ConAgg Acquisition, Cost of Goods Sold increased by $112.7 million, or 11%. The increase was due to higher operating costs of $128.9 million, partially offset by lower Sales Volume of $16.2 million. Higher operating costs were primarily related to our Cement and Gypsum Wallboard segments, which are discussed further in the segment analysis.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Gross Profit increased 20% to $503.9 million during the nine months ended December 31, 2022. The improvement was primarily related to higher gross sales prices and Sales Volume, partially offset by increased operating costs. The gross margin increased to 30%, with higher gross sales prices being partially offset by an increase in operating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2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Equity in Earnings of our Unconsolidated Joint Venture declined $ 1.2 million, or 5%, for the nine months ended December 31, 2022. The decrease was primarily due to lower Sales Volume and increased operating costs, which adversely affected earnings by approximately $ 3.7 million and $10.4 million, respectively. This was partially offset by higher gross sales prices, which contributed $12.9 million to earnings. The increase in operating costs was related to higher maintenance, energy, and purchased cement costs, which reduced operating earnings by $1.0 million, $0.4 million, and $5.5 million, respectively. Additionally, extended equipment downtime in the fiscal second quarter reduced cement production, which increased operating costs by $2.3 million.</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9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CORPORATE GENERAL AND ADMINISTRATIVE EXPENSE</w:t>
      </w:r>
    </w:p>
    <w:p>
      <w:pPr>
        <w:spacing w:after="0" w:line="12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Corporate General and Administrative Expense increased by approximately $4.9 million, or 15%, for the nine months ended December 31, 2022. The increase was primarily due to higher incentive compensation, information and technology upgrades, and legal and professional expenses of $3.0 million, $ 0.9 million, and $0.4 million, respectively. The increase in incentive compensation was mostly due to executive retirements during the first quarter of fiscal 2023, while the increase in legal and professional expenses was primarily related to the Terminal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RETIREMENT OF SENIOR NOTES</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July 2021, the Company redeemed and retired its 4.500% Senior Unsecured Notes due in 2026 prior to the maturity date. As a result of the early retirement, the Company paid a premium of $8.4 million. See Footnote (M) to the Unaudited Consolidated Financial Statements 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2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Interest Expense, net was relatively flat during the nine months ended December 31, 2022. Interest Expense related to our Revolving Credit Facility increased $9.3 million, due to increased borrowings and higher interest rates. This was offset by prior year interest expense related to loan amortization costs of $7.0 million, which included the write off of approximately $ 6.1 million of debt issue costs related to our 4.500% Unsecured Senior Notes due in 2026 and the Term Loan Credit Agreement, and $2.2 million of interest expense related to our Term Loan, which was repaid in July 2021. See Footnote (M) to the Unaudited Consolidated Financial Statements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26"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Earnings Before Income Taxes increased to $465.6 million during the nine months ended December 31, 2022, primarily because of higher Gross Profit. This was partially offset by higher Corporate General and Administrative Expense and lower Equity in Earnings of Unconsolidated Joint Venture and Other Nonoperating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6"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Income Tax Expense was $ 104.4 million for the nine months ended December 31, 2022, compared with $84.9 million for the nine months ended December 31, 2021. The effective tax rate remained consistent with the prior-year period at 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20% to $361.2 million for the nine months ended December 31, 2022, as shown in the table above.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28" w:name="page29"/>
    <w:bookmarkEnd w:id="28"/>
    <w:p>
      <w:pPr>
        <w:ind w:right="940"/>
        <w:spacing w:after="0" w:line="271" w:lineRule="auto"/>
        <w:rPr>
          <w:sz w:val="20"/>
          <w:szCs w:val="20"/>
          <w:color w:val="auto"/>
        </w:rPr>
      </w:pPr>
      <w:r>
        <w:rPr>
          <w:rFonts w:ascii="Arial" w:cs="Arial" w:eastAsia="Arial" w:hAnsi="Arial"/>
          <w:sz w:val="18"/>
          <w:szCs w:val="18"/>
          <w:b w:val="1"/>
          <w:bCs w:val="1"/>
          <w:color w:val="auto"/>
        </w:rPr>
        <w:t>THREE AND NINE MONTHS ENDED DECEMBER 31, 2022 vs. THREE AND NINE MONTHS ENDED DECEMBER 31, 2021 BY SEGMENT</w:t>
      </w:r>
    </w:p>
    <w:p>
      <w:pPr>
        <w:spacing w:after="0" w:line="6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following presents results within our two business sectors for the three and nine months ended December 31, 2022, and 2021. Revenue and operating results are organized by sector and discussed by individual business segment within each respective business sector.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24"/>
          <w:szCs w:val="24"/>
          <w:b w:val="1"/>
          <w:bCs w:val="1"/>
          <w:color w:val="auto"/>
          <w:vertAlign w:val="superscript"/>
        </w:rPr>
        <w:t>(1)</w:t>
      </w:r>
    </w:p>
    <w:tbl>
      <w:tblPr>
        <w:tblLayout w:type="fixed"/>
        <w:tblInd w:w="4240" w:type="dxa"/>
        <w:tblCellMar>
          <w:top w:w="0" w:type="dxa"/>
          <w:left w:w="0" w:type="dxa"/>
          <w:bottom w:w="0" w:type="dxa"/>
          <w:right w:w="0" w:type="dxa"/>
        </w:tblCellMar>
      </w:tblPr>
      <w:tr>
        <w:trPr>
          <w:trHeight w:val="127"/>
        </w:trPr>
        <w:tc>
          <w:tcPr>
            <w:tcW w:w="2360" w:type="dxa"/>
            <w:vAlign w:val="bottom"/>
            <w:gridSpan w:val="3"/>
            <w:shd w:val="clear" w:color="auto" w:fill="004483"/>
          </w:tcPr>
          <w:p>
            <w:pPr>
              <w:ind w:left="260"/>
              <w:spacing w:after="0" w:line="127" w:lineRule="exact"/>
              <w:rPr>
                <w:sz w:val="20"/>
                <w:szCs w:val="20"/>
                <w:color w:val="auto"/>
              </w:rPr>
            </w:pPr>
            <w:r>
              <w:rPr>
                <w:rFonts w:ascii="Arial" w:cs="Arial" w:eastAsia="Arial" w:hAnsi="Arial"/>
                <w:sz w:val="13"/>
                <w:szCs w:val="13"/>
                <w:b w:val="1"/>
                <w:bCs w:val="1"/>
                <w:color w:val="FFFFFF"/>
              </w:rPr>
              <w:t>For the Three Months Ended</w:t>
            </w:r>
          </w:p>
        </w:tc>
        <w:tc>
          <w:tcPr>
            <w:tcW w:w="1200" w:type="dxa"/>
            <w:vAlign w:val="bottom"/>
          </w:tcPr>
          <w:p>
            <w:pPr>
              <w:spacing w:after="0"/>
              <w:rPr>
                <w:sz w:val="11"/>
                <w:szCs w:val="11"/>
                <w:color w:val="auto"/>
              </w:rPr>
            </w:pPr>
          </w:p>
        </w:tc>
        <w:tc>
          <w:tcPr>
            <w:tcW w:w="2260" w:type="dxa"/>
            <w:vAlign w:val="bottom"/>
            <w:gridSpan w:val="3"/>
            <w:shd w:val="clear" w:color="auto" w:fill="004483"/>
          </w:tcPr>
          <w:p>
            <w:pPr>
              <w:jc w:val="center"/>
              <w:ind w:right="140"/>
              <w:spacing w:after="0" w:line="127" w:lineRule="exact"/>
              <w:rPr>
                <w:sz w:val="20"/>
                <w:szCs w:val="20"/>
                <w:color w:val="auto"/>
              </w:rPr>
            </w:pPr>
            <w:r>
              <w:rPr>
                <w:rFonts w:ascii="Arial" w:cs="Arial" w:eastAsia="Arial" w:hAnsi="Arial"/>
                <w:sz w:val="13"/>
                <w:szCs w:val="13"/>
                <w:b w:val="1"/>
                <w:bCs w:val="1"/>
                <w:color w:val="FFFFFF"/>
                <w:w w:val="97"/>
              </w:rPr>
              <w:t>For the Nine Months Ended</w:t>
            </w:r>
          </w:p>
        </w:tc>
        <w:tc>
          <w:tcPr>
            <w:tcW w:w="920" w:type="dxa"/>
            <w:vAlign w:val="bottom"/>
          </w:tcPr>
          <w:p>
            <w:pPr>
              <w:spacing w:after="0"/>
              <w:rPr>
                <w:sz w:val="11"/>
                <w:szCs w:val="11"/>
                <w:color w:val="auto"/>
              </w:rPr>
            </w:pPr>
          </w:p>
        </w:tc>
      </w:tr>
      <w:tr>
        <w:trPr>
          <w:trHeight w:val="168"/>
        </w:trPr>
        <w:tc>
          <w:tcPr>
            <w:tcW w:w="1740" w:type="dxa"/>
            <w:vAlign w:val="bottom"/>
            <w:tcBorders>
              <w:bottom w:val="single" w:sz="8" w:color="auto"/>
            </w:tcBorders>
            <w:shd w:val="clear" w:color="auto" w:fill="004483"/>
          </w:tcPr>
          <w:p>
            <w:pPr>
              <w:ind w:left="720"/>
              <w:spacing w:after="0"/>
              <w:rPr>
                <w:sz w:val="20"/>
                <w:szCs w:val="20"/>
                <w:color w:val="auto"/>
              </w:rPr>
            </w:pPr>
            <w:r>
              <w:rPr>
                <w:rFonts w:ascii="Arial" w:cs="Arial" w:eastAsia="Arial" w:hAnsi="Arial"/>
                <w:sz w:val="13"/>
                <w:szCs w:val="13"/>
                <w:b w:val="1"/>
                <w:bCs w:val="1"/>
                <w:color w:val="FFFFFF"/>
              </w:rPr>
              <w:t>December 31,</w:t>
            </w:r>
          </w:p>
        </w:tc>
        <w:tc>
          <w:tcPr>
            <w:tcW w:w="50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004483"/>
            </w:tcBorders>
            <w:shd w:val="clear" w:color="auto" w:fill="004483"/>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Borders>
              <w:bottom w:val="single" w:sz="8" w:color="auto"/>
            </w:tcBorders>
            <w:shd w:val="clear" w:color="auto" w:fill="004483"/>
          </w:tcPr>
          <w:p>
            <w:pPr>
              <w:jc w:val="center"/>
              <w:ind w:left="397"/>
              <w:spacing w:after="0"/>
              <w:rPr>
                <w:sz w:val="20"/>
                <w:szCs w:val="20"/>
                <w:color w:val="auto"/>
              </w:rPr>
            </w:pPr>
            <w:r>
              <w:rPr>
                <w:rFonts w:ascii="Arial" w:cs="Arial" w:eastAsia="Arial" w:hAnsi="Arial"/>
                <w:sz w:val="13"/>
                <w:szCs w:val="13"/>
                <w:b w:val="1"/>
                <w:bCs w:val="1"/>
                <w:color w:val="FFFFFF"/>
                <w:w w:val="96"/>
              </w:rPr>
              <w:t>December 31,</w:t>
            </w:r>
          </w:p>
        </w:tc>
        <w:tc>
          <w:tcPr>
            <w:tcW w:w="48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920" w:type="dxa"/>
            <w:vAlign w:val="bottom"/>
          </w:tcPr>
          <w:p>
            <w:pPr>
              <w:spacing w:after="0"/>
              <w:rPr>
                <w:sz w:val="14"/>
                <w:szCs w:val="14"/>
                <w:color w:val="auto"/>
              </w:rPr>
            </w:pPr>
          </w:p>
        </w:tc>
      </w:tr>
      <w:tr>
        <w:trPr>
          <w:trHeight w:val="123"/>
        </w:trPr>
        <w:tc>
          <w:tcPr>
            <w:tcW w:w="1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ind w:right="97"/>
              <w:spacing w:after="0" w:line="123" w:lineRule="exact"/>
              <w:rPr>
                <w:sz w:val="20"/>
                <w:szCs w:val="20"/>
                <w:color w:val="auto"/>
              </w:rPr>
            </w:pPr>
            <w:r>
              <w:rPr>
                <w:rFonts w:ascii="Arial" w:cs="Arial" w:eastAsia="Arial" w:hAnsi="Arial"/>
                <w:sz w:val="13"/>
                <w:szCs w:val="13"/>
                <w:b w:val="1"/>
                <w:bCs w:val="1"/>
                <w:color w:val="auto"/>
                <w:w w:val="96"/>
              </w:rPr>
              <w:t>Percentage</w:t>
            </w:r>
          </w:p>
        </w:tc>
        <w:tc>
          <w:tcPr>
            <w:tcW w:w="1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177"/>
              <w:spacing w:after="0" w:line="123" w:lineRule="exact"/>
              <w:rPr>
                <w:sz w:val="20"/>
                <w:szCs w:val="20"/>
                <w:color w:val="auto"/>
              </w:rPr>
            </w:pPr>
            <w:r>
              <w:rPr>
                <w:rFonts w:ascii="Arial" w:cs="Arial" w:eastAsia="Arial" w:hAnsi="Arial"/>
                <w:sz w:val="13"/>
                <w:szCs w:val="13"/>
                <w:b w:val="1"/>
                <w:bCs w:val="1"/>
                <w:color w:val="auto"/>
                <w:w w:val="96"/>
              </w:rPr>
              <w:t>Percentage</w:t>
            </w:r>
          </w:p>
        </w:tc>
      </w:tr>
      <w:tr>
        <w:trPr>
          <w:trHeight w:val="168"/>
        </w:trPr>
        <w:tc>
          <w:tcPr>
            <w:tcW w:w="1740" w:type="dxa"/>
            <w:vAlign w:val="bottom"/>
          </w:tcPr>
          <w:p>
            <w:pPr>
              <w:ind w:left="720"/>
              <w:spacing w:after="0"/>
              <w:rPr>
                <w:sz w:val="20"/>
                <w:szCs w:val="20"/>
                <w:color w:val="auto"/>
              </w:rPr>
            </w:pPr>
            <w:r>
              <w:rPr>
                <w:rFonts w:ascii="Arial" w:cs="Arial" w:eastAsia="Arial" w:hAnsi="Arial"/>
                <w:sz w:val="13"/>
                <w:szCs w:val="13"/>
                <w:b w:val="1"/>
                <w:bCs w:val="1"/>
                <w:color w:val="auto"/>
              </w:rPr>
              <w:t>2022</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20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Change</w:t>
            </w:r>
          </w:p>
        </w:tc>
        <w:tc>
          <w:tcPr>
            <w:tcW w:w="1680" w:type="dxa"/>
            <w:vAlign w:val="bottom"/>
          </w:tcPr>
          <w:p>
            <w:pPr>
              <w:jc w:val="right"/>
              <w:ind w:right="657"/>
              <w:spacing w:after="0"/>
              <w:rPr>
                <w:sz w:val="20"/>
                <w:szCs w:val="20"/>
                <w:color w:val="auto"/>
              </w:rPr>
            </w:pPr>
            <w:r>
              <w:rPr>
                <w:rFonts w:ascii="Arial" w:cs="Arial" w:eastAsia="Arial" w:hAnsi="Arial"/>
                <w:sz w:val="13"/>
                <w:szCs w:val="13"/>
                <w:b w:val="1"/>
                <w:bCs w:val="1"/>
                <w:color w:val="auto"/>
              </w:rPr>
              <w:t>2022</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920" w:type="dxa"/>
            <w:vAlign w:val="bottom"/>
          </w:tcPr>
          <w:p>
            <w:pPr>
              <w:jc w:val="center"/>
              <w:ind w:left="197"/>
              <w:spacing w:after="0"/>
              <w:rPr>
                <w:sz w:val="20"/>
                <w:szCs w:val="20"/>
                <w:color w:val="auto"/>
              </w:rPr>
            </w:pPr>
            <w:r>
              <w:rPr>
                <w:rFonts w:ascii="Arial" w:cs="Arial" w:eastAsia="Arial" w:hAnsi="Arial"/>
                <w:sz w:val="13"/>
                <w:szCs w:val="13"/>
                <w:b w:val="1"/>
                <w:bCs w:val="1"/>
                <w:color w:val="auto"/>
                <w:w w:val="96"/>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-194945</wp:posOffset>
            </wp:positionV>
            <wp:extent cx="68580" cy="21685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216852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-194945</wp:posOffset>
            </wp:positionV>
            <wp:extent cx="68580" cy="21685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2168525"/>
                    </a:xfrm>
                    <a:prstGeom prst="rect">
                      <a:avLst/>
                    </a:prstGeom>
                    <a:noFill/>
                  </pic:spPr>
                </pic:pic>
              </a:graphicData>
            </a:graphic>
          </wp:anchor>
        </w:drawing>
      </w:r>
    </w:p>
    <w:p>
      <w:pPr>
        <w:sectPr>
          <w:pgSz w:w="11900" w:h="16838" w:orient="portrait"/>
          <w:cols w:equalWidth="0" w:num="1">
            <w:col w:w="11340"/>
          </w:cols>
          <w:pgMar w:left="320" w:top="603" w:right="239" w:bottom="1440" w:gutter="0" w:footer="0" w:header="0"/>
        </w:sectPr>
      </w:pPr>
    </w:p>
    <w:p>
      <w:pPr>
        <w:spacing w:after="0" w:line="7" w:lineRule="exact"/>
        <w:rPr>
          <w:sz w:val="20"/>
          <w:szCs w:val="20"/>
          <w:color w:val="auto"/>
        </w:rPr>
      </w:pPr>
    </w:p>
    <w:p>
      <w:pPr>
        <w:jc w:val="center"/>
        <w:ind w:left="3380"/>
        <w:spacing w:after="0"/>
        <w:rPr>
          <w:sz w:val="20"/>
          <w:szCs w:val="20"/>
          <w:color w:val="auto"/>
        </w:rPr>
      </w:pPr>
      <w:r>
        <w:rPr>
          <w:rFonts w:ascii="Arial" w:cs="Arial" w:eastAsia="Arial" w:hAnsi="Arial"/>
          <w:sz w:val="12"/>
          <w:szCs w:val="12"/>
          <w:color w:val="auto"/>
        </w:rPr>
        <w:t>(in thousands, except per ton</w:t>
      </w:r>
    </w:p>
    <w:p>
      <w:pPr>
        <w:jc w:val="center"/>
        <w:ind w:left="342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br w:type="column"/>
      </w:r>
    </w:p>
    <w:p>
      <w:pPr>
        <w:jc w:val="center"/>
        <w:ind w:right="1660"/>
        <w:spacing w:after="0"/>
        <w:rPr>
          <w:sz w:val="20"/>
          <w:szCs w:val="20"/>
          <w:color w:val="auto"/>
        </w:rPr>
      </w:pPr>
      <w:r>
        <w:rPr>
          <w:rFonts w:ascii="Arial" w:cs="Arial" w:eastAsia="Arial" w:hAnsi="Arial"/>
          <w:sz w:val="12"/>
          <w:szCs w:val="12"/>
          <w:color w:val="auto"/>
        </w:rPr>
        <w:t>(in thousands, except per ton</w:t>
      </w:r>
    </w:p>
    <w:p>
      <w:pPr>
        <w:jc w:val="center"/>
        <w:ind w:right="1620"/>
        <w:spacing w:after="0"/>
        <w:rPr>
          <w:sz w:val="20"/>
          <w:szCs w:val="20"/>
          <w:color w:val="auto"/>
        </w:rPr>
      </w:pPr>
      <w:r>
        <w:rPr>
          <w:rFonts w:ascii="Arial" w:cs="Arial" w:eastAsia="Arial" w:hAnsi="Arial"/>
          <w:sz w:val="13"/>
          <w:szCs w:val="13"/>
          <w:color w:val="auto"/>
        </w:rPr>
        <w:t>information)</w:t>
      </w:r>
    </w:p>
    <w:p>
      <w:pPr>
        <w:spacing w:after="0" w:line="2" w:lineRule="exact"/>
        <w:rPr>
          <w:sz w:val="20"/>
          <w:szCs w:val="20"/>
          <w:color w:val="auto"/>
        </w:rPr>
      </w:pPr>
    </w:p>
    <w:p>
      <w:pPr>
        <w:sectPr>
          <w:pgSz w:w="11900" w:h="16838" w:orient="portrait"/>
          <w:cols w:equalWidth="0" w:num="2">
            <w:col w:w="7320" w:space="720"/>
            <w:col w:w="3300"/>
          </w:cols>
          <w:pgMar w:left="320" w:top="603" w:right="2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4240" w:type="dxa"/>
            <w:vAlign w:val="bottom"/>
            <w:tcBorders>
              <w:top w:val="single" w:sz="8" w:color="17385E"/>
            </w:tcBorders>
          </w:tcPr>
          <w:p>
            <w:pPr>
              <w:ind w:left="20"/>
              <w:spacing w:after="0"/>
              <w:rPr>
                <w:sz w:val="20"/>
                <w:szCs w:val="20"/>
                <w:color w:val="auto"/>
              </w:rPr>
            </w:pPr>
            <w:r>
              <w:rPr>
                <w:rFonts w:ascii="Arial" w:cs="Arial" w:eastAsia="Arial" w:hAnsi="Arial"/>
                <w:sz w:val="16"/>
                <w:szCs w:val="16"/>
                <w:color w:val="004483"/>
              </w:rPr>
              <w:t>Gross Revenue, including Intersegment and Joint</w:t>
            </w:r>
          </w:p>
        </w:tc>
        <w:tc>
          <w:tcPr>
            <w:tcW w:w="260" w:type="dxa"/>
            <w:vAlign w:val="bottom"/>
            <w:tcBorders>
              <w:top w:val="single" w:sz="8" w:color="17385E"/>
            </w:tcBorders>
          </w:tcPr>
          <w:p>
            <w:pPr>
              <w:spacing w:after="0"/>
              <w:rPr>
                <w:sz w:val="19"/>
                <w:szCs w:val="19"/>
                <w:color w:val="auto"/>
              </w:rPr>
            </w:pPr>
          </w:p>
        </w:tc>
        <w:tc>
          <w:tcPr>
            <w:tcW w:w="760" w:type="dxa"/>
            <w:vAlign w:val="bottom"/>
            <w:tcBorders>
              <w:top w:val="single" w:sz="8" w:color="17385E"/>
            </w:tcBorders>
          </w:tcPr>
          <w:p>
            <w:pPr>
              <w:spacing w:after="0"/>
              <w:rPr>
                <w:sz w:val="19"/>
                <w:szCs w:val="19"/>
                <w:color w:val="auto"/>
              </w:rPr>
            </w:pPr>
          </w:p>
        </w:tc>
        <w:tc>
          <w:tcPr>
            <w:tcW w:w="120" w:type="dxa"/>
            <w:vAlign w:val="bottom"/>
            <w:tcBorders>
              <w:top w:val="single" w:sz="8" w:color="17385E"/>
            </w:tcBorders>
          </w:tcPr>
          <w:p>
            <w:pPr>
              <w:spacing w:after="0"/>
              <w:rPr>
                <w:sz w:val="19"/>
                <w:szCs w:val="19"/>
                <w:color w:val="auto"/>
              </w:rPr>
            </w:pPr>
          </w:p>
        </w:tc>
        <w:tc>
          <w:tcPr>
            <w:tcW w:w="120" w:type="dxa"/>
            <w:vAlign w:val="bottom"/>
            <w:tcBorders>
              <w:top w:val="single" w:sz="8" w:color="17385E"/>
            </w:tcBorders>
          </w:tcPr>
          <w:p>
            <w:pPr>
              <w:spacing w:after="0"/>
              <w:rPr>
                <w:sz w:val="19"/>
                <w:szCs w:val="19"/>
                <w:color w:val="auto"/>
              </w:rPr>
            </w:pPr>
          </w:p>
        </w:tc>
        <w:tc>
          <w:tcPr>
            <w:tcW w:w="240" w:type="dxa"/>
            <w:vAlign w:val="bottom"/>
            <w:tcBorders>
              <w:top w:val="single" w:sz="8" w:color="17385E"/>
            </w:tcBorders>
          </w:tcPr>
          <w:p>
            <w:pPr>
              <w:spacing w:after="0"/>
              <w:rPr>
                <w:sz w:val="19"/>
                <w:szCs w:val="19"/>
                <w:color w:val="auto"/>
              </w:rPr>
            </w:pPr>
          </w:p>
        </w:tc>
        <w:tc>
          <w:tcPr>
            <w:tcW w:w="740" w:type="dxa"/>
            <w:vAlign w:val="bottom"/>
            <w:tcBorders>
              <w:top w:val="single" w:sz="8" w:color="17385E"/>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17385E"/>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17385E"/>
            </w:tcBorders>
          </w:tcPr>
          <w:p>
            <w:pPr>
              <w:spacing w:after="0"/>
              <w:rPr>
                <w:sz w:val="19"/>
                <w:szCs w:val="19"/>
                <w:color w:val="auto"/>
              </w:rPr>
            </w:pPr>
          </w:p>
        </w:tc>
        <w:tc>
          <w:tcPr>
            <w:tcW w:w="240" w:type="dxa"/>
            <w:vAlign w:val="bottom"/>
            <w:tcBorders>
              <w:top w:val="single" w:sz="8" w:color="17385E"/>
            </w:tcBorders>
          </w:tcPr>
          <w:p>
            <w:pPr>
              <w:spacing w:after="0"/>
              <w:rPr>
                <w:sz w:val="19"/>
                <w:szCs w:val="19"/>
                <w:color w:val="auto"/>
              </w:rPr>
            </w:pPr>
          </w:p>
        </w:tc>
        <w:tc>
          <w:tcPr>
            <w:tcW w:w="740" w:type="dxa"/>
            <w:vAlign w:val="bottom"/>
            <w:tcBorders>
              <w:top w:val="single" w:sz="8" w:color="17385E"/>
            </w:tcBorders>
          </w:tcPr>
          <w:p>
            <w:pPr>
              <w:spacing w:after="0"/>
              <w:rPr>
                <w:sz w:val="19"/>
                <w:szCs w:val="19"/>
                <w:color w:val="auto"/>
              </w:rPr>
            </w:pPr>
          </w:p>
        </w:tc>
        <w:tc>
          <w:tcPr>
            <w:tcW w:w="120" w:type="dxa"/>
            <w:vAlign w:val="bottom"/>
            <w:tcBorders>
              <w:top w:val="single" w:sz="8" w:color="17385E"/>
            </w:tcBorders>
          </w:tcPr>
          <w:p>
            <w:pPr>
              <w:spacing w:after="0"/>
              <w:rPr>
                <w:sz w:val="19"/>
                <w:szCs w:val="19"/>
                <w:color w:val="auto"/>
              </w:rPr>
            </w:pPr>
          </w:p>
        </w:tc>
        <w:tc>
          <w:tcPr>
            <w:tcW w:w="100" w:type="dxa"/>
            <w:vAlign w:val="bottom"/>
            <w:tcBorders>
              <w:top w:val="single" w:sz="8" w:color="17385E"/>
            </w:tcBorders>
          </w:tcPr>
          <w:p>
            <w:pPr>
              <w:spacing w:after="0"/>
              <w:rPr>
                <w:sz w:val="19"/>
                <w:szCs w:val="19"/>
                <w:color w:val="auto"/>
              </w:rPr>
            </w:pPr>
          </w:p>
        </w:tc>
        <w:tc>
          <w:tcPr>
            <w:tcW w:w="240" w:type="dxa"/>
            <w:vAlign w:val="bottom"/>
            <w:tcBorders>
              <w:top w:val="single" w:sz="8" w:color="17385E"/>
            </w:tcBorders>
          </w:tcPr>
          <w:p>
            <w:pPr>
              <w:spacing w:after="0"/>
              <w:rPr>
                <w:sz w:val="19"/>
                <w:szCs w:val="19"/>
                <w:color w:val="auto"/>
              </w:rPr>
            </w:pPr>
          </w:p>
        </w:tc>
        <w:tc>
          <w:tcPr>
            <w:tcW w:w="720" w:type="dxa"/>
            <w:vAlign w:val="bottom"/>
            <w:tcBorders>
              <w:top w:val="single" w:sz="8" w:color="17385E"/>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17385E"/>
            </w:tcBorders>
          </w:tcPr>
          <w:p>
            <w:pPr>
              <w:spacing w:after="0"/>
              <w:rPr>
                <w:sz w:val="19"/>
                <w:szCs w:val="19"/>
                <w:color w:val="auto"/>
              </w:rPr>
            </w:pPr>
          </w:p>
        </w:tc>
        <w:tc>
          <w:tcPr>
            <w:tcW w:w="200" w:type="dxa"/>
            <w:vAlign w:val="bottom"/>
          </w:tcPr>
          <w:p>
            <w:pPr>
              <w:spacing w:after="0"/>
              <w:rPr>
                <w:sz w:val="19"/>
                <w:szCs w:val="19"/>
                <w:color w:val="auto"/>
              </w:rPr>
            </w:pPr>
          </w:p>
        </w:tc>
      </w:tr>
      <w:tr>
        <w:trPr>
          <w:trHeight w:val="198"/>
        </w:trPr>
        <w:tc>
          <w:tcPr>
            <w:tcW w:w="4240" w:type="dxa"/>
            <w:vAlign w:val="bottom"/>
          </w:tcPr>
          <w:p>
            <w:pPr>
              <w:ind w:left="20"/>
              <w:spacing w:after="0"/>
              <w:rPr>
                <w:sz w:val="20"/>
                <w:szCs w:val="20"/>
                <w:color w:val="auto"/>
              </w:rPr>
            </w:pPr>
            <w:r>
              <w:rPr>
                <w:rFonts w:ascii="Arial" w:cs="Arial" w:eastAsia="Arial" w:hAnsi="Arial"/>
                <w:sz w:val="16"/>
                <w:szCs w:val="16"/>
                <w:color w:val="004483"/>
              </w:rPr>
              <w:t>Venture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256,313</w:t>
            </w:r>
          </w:p>
        </w:tc>
        <w:tc>
          <w:tcPr>
            <w:tcW w:w="120" w:type="dxa"/>
            <w:vAlign w:val="bottom"/>
          </w:tcPr>
          <w:p>
            <w:pPr>
              <w:spacing w:after="0"/>
              <w:rPr>
                <w:sz w:val="17"/>
                <w:szCs w:val="17"/>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261,155</w:t>
            </w:r>
          </w:p>
        </w:tc>
        <w:tc>
          <w:tcPr>
            <w:tcW w:w="120" w:type="dxa"/>
            <w:vAlign w:val="bottom"/>
          </w:tcPr>
          <w:p>
            <w:pPr>
              <w:spacing w:after="0"/>
              <w:rPr>
                <w:sz w:val="17"/>
                <w:szCs w:val="17"/>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(2 )% $</w:t>
            </w:r>
          </w:p>
        </w:tc>
        <w:tc>
          <w:tcPr>
            <w:tcW w:w="740" w:type="dxa"/>
            <w:vAlign w:val="bottom"/>
          </w:tcPr>
          <w:p>
            <w:pPr>
              <w:jc w:val="right"/>
              <w:spacing w:after="0"/>
              <w:rPr>
                <w:sz w:val="20"/>
                <w:szCs w:val="20"/>
                <w:color w:val="auto"/>
              </w:rPr>
            </w:pPr>
            <w:r>
              <w:rPr>
                <w:rFonts w:ascii="Arial" w:cs="Arial" w:eastAsia="Arial" w:hAnsi="Arial"/>
                <w:sz w:val="16"/>
                <w:szCs w:val="16"/>
                <w:color w:val="auto"/>
              </w:rPr>
              <w:t>860,289</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819,734</w:t>
            </w: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5 %</w:t>
            </w:r>
          </w:p>
        </w:tc>
      </w:tr>
      <w:tr>
        <w:trPr>
          <w:trHeight w:val="20"/>
        </w:trPr>
        <w:tc>
          <w:tcPr>
            <w:tcW w:w="424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(7,719 )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(5,301 )</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46 %</w:t>
            </w: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(26,371 )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(18,357 )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44 %</w:t>
            </w:r>
          </w:p>
        </w:tc>
      </w:tr>
      <w:tr>
        <w:trPr>
          <w:trHeight w:val="20"/>
        </w:trPr>
        <w:tc>
          <w:tcPr>
            <w:tcW w:w="424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6"/>
                <w:szCs w:val="16"/>
                <w:color w:val="004483"/>
              </w:rPr>
              <w:t>Less Joint Venture Revenue</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(27,620 )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(27,406 )</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1 %</w:t>
            </w: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(79,065 )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(77,023 )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3 %</w:t>
            </w:r>
          </w:p>
        </w:tc>
      </w:tr>
      <w:tr>
        <w:trPr>
          <w:trHeight w:val="20"/>
        </w:trPr>
        <w:tc>
          <w:tcPr>
            <w:tcW w:w="424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7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220,974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228,448</w:t>
            </w:r>
          </w:p>
        </w:tc>
        <w:tc>
          <w:tcPr>
            <w:tcW w:w="120" w:type="dxa"/>
            <w:vAlign w:val="bottom"/>
          </w:tcPr>
          <w:p>
            <w:pPr>
              <w:spacing w:after="0"/>
              <w:rPr>
                <w:sz w:val="17"/>
                <w:szCs w:val="17"/>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(3 )% $</w:t>
            </w:r>
          </w:p>
        </w:tc>
        <w:tc>
          <w:tcPr>
            <w:tcW w:w="740" w:type="dxa"/>
            <w:vAlign w:val="bottom"/>
          </w:tcPr>
          <w:p>
            <w:pPr>
              <w:jc w:val="right"/>
              <w:spacing w:after="0"/>
              <w:rPr>
                <w:sz w:val="20"/>
                <w:szCs w:val="20"/>
                <w:color w:val="auto"/>
              </w:rPr>
            </w:pPr>
            <w:r>
              <w:rPr>
                <w:rFonts w:ascii="Arial" w:cs="Arial" w:eastAsia="Arial" w:hAnsi="Arial"/>
                <w:sz w:val="16"/>
                <w:szCs w:val="16"/>
                <w:color w:val="auto"/>
              </w:rPr>
              <w:t>754,853</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724,354</w:t>
            </w: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r>
      <w:tr>
        <w:trPr>
          <w:trHeight w:val="20"/>
        </w:trPr>
        <w:tc>
          <w:tcPr>
            <w:tcW w:w="424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9"/>
        </w:trPr>
        <w:tc>
          <w:tcPr>
            <w:tcW w:w="424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(12,910 )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(12,849 )</w:t>
            </w:r>
          </w:p>
        </w:tc>
        <w:tc>
          <w:tcPr>
            <w:tcW w:w="1440" w:type="dxa"/>
            <w:vAlign w:val="bottom"/>
            <w:gridSpan w:val="4"/>
          </w:tcPr>
          <w:p>
            <w:pPr>
              <w:jc w:val="right"/>
              <w:ind w:right="4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(48,922 )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(51,501 )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20"/>
        </w:trPr>
        <w:tc>
          <w:tcPr>
            <w:tcW w:w="424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7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6"/>
        </w:trPr>
        <w:tc>
          <w:tcPr>
            <w:tcW w:w="4240" w:type="dxa"/>
            <w:vAlign w:val="bottom"/>
          </w:tcPr>
          <w:p>
            <w:pPr>
              <w:ind w:left="20"/>
              <w:spacing w:after="0"/>
              <w:rPr>
                <w:sz w:val="20"/>
                <w:szCs w:val="20"/>
                <w:color w:val="auto"/>
              </w:rPr>
            </w:pPr>
            <w:r>
              <w:rPr>
                <w:rFonts w:ascii="Arial" w:cs="Arial" w:eastAsia="Arial" w:hAnsi="Arial"/>
                <w:sz w:val="16"/>
                <w:szCs w:val="16"/>
                <w:color w:val="004483"/>
              </w:rPr>
              <w:t>Net 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208,064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215,599</w:t>
            </w:r>
          </w:p>
        </w:tc>
        <w:tc>
          <w:tcPr>
            <w:tcW w:w="120" w:type="dxa"/>
            <w:vAlign w:val="bottom"/>
          </w:tcPr>
          <w:p>
            <w:pPr>
              <w:spacing w:after="0"/>
              <w:rPr>
                <w:sz w:val="17"/>
                <w:szCs w:val="17"/>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(3 )% $</w:t>
            </w:r>
          </w:p>
        </w:tc>
        <w:tc>
          <w:tcPr>
            <w:tcW w:w="740" w:type="dxa"/>
            <w:vAlign w:val="bottom"/>
          </w:tcPr>
          <w:p>
            <w:pPr>
              <w:jc w:val="right"/>
              <w:spacing w:after="0"/>
              <w:rPr>
                <w:sz w:val="20"/>
                <w:szCs w:val="20"/>
                <w:color w:val="auto"/>
              </w:rPr>
            </w:pPr>
            <w:r>
              <w:rPr>
                <w:rFonts w:ascii="Arial" w:cs="Arial" w:eastAsia="Arial" w:hAnsi="Arial"/>
                <w:sz w:val="16"/>
                <w:szCs w:val="16"/>
                <w:color w:val="auto"/>
              </w:rPr>
              <w:t>705,931</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672,853</w:t>
            </w: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5 %</w:t>
            </w:r>
          </w:p>
        </w:tc>
      </w:tr>
      <w:tr>
        <w:trPr>
          <w:trHeight w:val="213"/>
        </w:trPr>
        <w:tc>
          <w:tcPr>
            <w:tcW w:w="424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004483"/>
              </w:rPr>
              <w:t>Sales Volume (M Tons)</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1,963</w:t>
            </w:r>
          </w:p>
        </w:tc>
        <w:tc>
          <w:tcPr>
            <w:tcW w:w="12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(13 )%</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6,197</w:t>
            </w:r>
          </w:p>
        </w:tc>
        <w:tc>
          <w:tcPr>
            <w:tcW w:w="1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424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2"/>
        </w:trPr>
        <w:tc>
          <w:tcPr>
            <w:tcW w:w="4240" w:type="dxa"/>
            <w:vAlign w:val="bottom"/>
          </w:tcPr>
          <w:p>
            <w:pPr>
              <w:ind w:left="20"/>
              <w:spacing w:after="0" w:line="213"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134.36</w:t>
            </w:r>
          </w:p>
        </w:tc>
        <w:tc>
          <w:tcPr>
            <w:tcW w:w="120" w:type="dxa"/>
            <w:vAlign w:val="bottom"/>
          </w:tcPr>
          <w:p>
            <w:pPr>
              <w:spacing w:after="0"/>
              <w:rPr>
                <w:sz w:val="18"/>
                <w:szCs w:val="18"/>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118.44</w:t>
            </w:r>
          </w:p>
        </w:tc>
        <w:tc>
          <w:tcPr>
            <w:tcW w:w="120" w:type="dxa"/>
            <w:vAlign w:val="bottom"/>
          </w:tcPr>
          <w:p>
            <w:pPr>
              <w:spacing w:after="0"/>
              <w:rPr>
                <w:sz w:val="18"/>
                <w:szCs w:val="18"/>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13 % $</w:t>
            </w:r>
          </w:p>
        </w:tc>
        <w:tc>
          <w:tcPr>
            <w:tcW w:w="740" w:type="dxa"/>
            <w:vAlign w:val="bottom"/>
          </w:tcPr>
          <w:p>
            <w:pPr>
              <w:jc w:val="right"/>
              <w:spacing w:after="0"/>
              <w:rPr>
                <w:sz w:val="20"/>
                <w:szCs w:val="20"/>
                <w:color w:val="auto"/>
              </w:rPr>
            </w:pPr>
            <w:r>
              <w:rPr>
                <w:rFonts w:ascii="Arial" w:cs="Arial" w:eastAsia="Arial" w:hAnsi="Arial"/>
                <w:sz w:val="16"/>
                <w:szCs w:val="16"/>
                <w:color w:val="auto"/>
              </w:rPr>
              <w:t>131.44</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117.49</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12 %</w:t>
            </w:r>
          </w:p>
        </w:tc>
      </w:tr>
      <w:tr>
        <w:trPr>
          <w:trHeight w:val="20"/>
        </w:trPr>
        <w:tc>
          <w:tcPr>
            <w:tcW w:w="424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004483"/>
              </w:rPr>
              <w:t>Operating Margin, per ton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42.56</w:t>
            </w:r>
          </w:p>
        </w:tc>
        <w:tc>
          <w:tcPr>
            <w:tcW w:w="120" w:type="dxa"/>
            <w:vAlign w:val="bottom"/>
          </w:tcPr>
          <w:p>
            <w:pPr>
              <w:spacing w:after="0"/>
              <w:rPr>
                <w:sz w:val="17"/>
                <w:szCs w:val="17"/>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40.67</w:t>
            </w:r>
          </w:p>
        </w:tc>
        <w:tc>
          <w:tcPr>
            <w:tcW w:w="120" w:type="dxa"/>
            <w:vAlign w:val="bottom"/>
          </w:tcPr>
          <w:p>
            <w:pPr>
              <w:spacing w:after="0"/>
              <w:rPr>
                <w:sz w:val="17"/>
                <w:szCs w:val="17"/>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5 % $</w:t>
            </w:r>
          </w:p>
        </w:tc>
        <w:tc>
          <w:tcPr>
            <w:tcW w:w="740" w:type="dxa"/>
            <w:vAlign w:val="bottom"/>
          </w:tcPr>
          <w:p>
            <w:pPr>
              <w:jc w:val="right"/>
              <w:spacing w:after="0"/>
              <w:rPr>
                <w:sz w:val="20"/>
                <w:szCs w:val="20"/>
                <w:color w:val="auto"/>
              </w:rPr>
            </w:pPr>
            <w:r>
              <w:rPr>
                <w:rFonts w:ascii="Arial" w:cs="Arial" w:eastAsia="Arial" w:hAnsi="Arial"/>
                <w:sz w:val="16"/>
                <w:szCs w:val="16"/>
                <w:color w:val="auto"/>
              </w:rPr>
              <w:t>39.99</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37.30</w:t>
            </w: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7 %</w:t>
            </w:r>
          </w:p>
        </w:tc>
      </w:tr>
      <w:tr>
        <w:trPr>
          <w:trHeight w:val="20"/>
        </w:trPr>
        <w:tc>
          <w:tcPr>
            <w:tcW w:w="424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72,315</w:t>
            </w:r>
          </w:p>
        </w:tc>
        <w:tc>
          <w:tcPr>
            <w:tcW w:w="120" w:type="dxa"/>
            <w:vAlign w:val="bottom"/>
          </w:tcPr>
          <w:p>
            <w:pPr>
              <w:spacing w:after="0"/>
              <w:rPr>
                <w:sz w:val="18"/>
                <w:szCs w:val="18"/>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79,836</w:t>
            </w:r>
          </w:p>
        </w:tc>
        <w:tc>
          <w:tcPr>
            <w:tcW w:w="120" w:type="dxa"/>
            <w:vAlign w:val="bottom"/>
          </w:tcPr>
          <w:p>
            <w:pPr>
              <w:spacing w:after="0"/>
              <w:rPr>
                <w:sz w:val="18"/>
                <w:szCs w:val="18"/>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(9 )% $</w:t>
            </w:r>
          </w:p>
        </w:tc>
        <w:tc>
          <w:tcPr>
            <w:tcW w:w="740" w:type="dxa"/>
            <w:vAlign w:val="bottom"/>
          </w:tcPr>
          <w:p>
            <w:pPr>
              <w:jc w:val="right"/>
              <w:spacing w:after="0"/>
              <w:rPr>
                <w:sz w:val="20"/>
                <w:szCs w:val="20"/>
                <w:color w:val="auto"/>
              </w:rPr>
            </w:pPr>
            <w:r>
              <w:rPr>
                <w:rFonts w:ascii="Arial" w:cs="Arial" w:eastAsia="Arial" w:hAnsi="Arial"/>
                <w:sz w:val="16"/>
                <w:szCs w:val="16"/>
                <w:color w:val="auto"/>
              </w:rPr>
              <w:t>233,442</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231,133</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r>
      <w:tr>
        <w:trPr>
          <w:trHeight w:val="20"/>
        </w:trPr>
        <w:tc>
          <w:tcPr>
            <w:tcW w:w="424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Total of wholly owned subsidiaries and proportionately consolidated 50% interest of the Joint Venture’s results.</w:t>
      </w:r>
    </w:p>
    <w:p>
      <w:pPr>
        <w:spacing w:after="0" w:line="37" w:lineRule="exact"/>
        <w:rPr>
          <w:rFonts w:ascii="Arial" w:cs="Arial" w:eastAsia="Arial" w:hAnsi="Arial"/>
          <w:sz w:val="12"/>
          <w:szCs w:val="12"/>
          <w:color w:val="auto"/>
        </w:rPr>
      </w:pPr>
    </w:p>
    <w:p>
      <w:pPr>
        <w:ind w:left="180" w:hanging="172"/>
        <w:spacing w:after="0"/>
        <w:tabs>
          <w:tab w:leader="none" w:pos="1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Net of freight per ton, including Joint Venture.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2022</w:t>
      </w:r>
    </w:p>
    <w:p>
      <w:pPr>
        <w:spacing w:after="0" w:line="126"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Cement Revenue was $256.3 million, a 2% decrease, for the three months ended December 31, 2022. The decline was primarily due to lower Sale Volume, which reduced Cement Revenue by approximately $32.0 million, partially offset by higher gross sales prices, which increased Revenue by $27.1 million.</w:t>
      </w:r>
    </w:p>
    <w:p>
      <w:pPr>
        <w:spacing w:after="0" w:line="9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Cement Operating Earnings decreased $7.5 million to $72.3 million for the three months ended December 31, 2022. The decline was due to lower Sales Volume of $10.7 million and higher operating costs of $23.9 million. This was partially offset by higher gross sales prices, which increased Operating Earnings by $ 27.1 million. Cement Sales Volume was affected by lower cement inventory levels compared with the prior-year period as well as difficult weather conditions during this quarter. The increase in operating costs was primarily due to higher energy and maintenance costs of approximately $10.7 million and $6.5 million, respectively. Operating Margin declined to 28% primarily because of higher operating costs, partially offset by higher gross sales prices.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2022</w:t>
      </w:r>
    </w:p>
    <w:p>
      <w:pPr>
        <w:spacing w:after="0" w:line="126"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Cement Revenue was $860.3 million, a 5% increase, for the nine months ended December 31, 2022. The increase was primarily due to higher gross sales prices, which improved Cement Revenue by approximately $78.8 million, partially offset by lower Sales Volume, which reduced Revenue by $38.2 million.</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Cement Operating Earnings increased $2.3 million to $233.4 million for the nine months ended December 31, 2022. The increase was due to higher gross sales prices of $ 78.8 million. This was partially offset by lower Sales Volume of $13.6 million and higher operating costs of $62.9 million. Most of the decline in Sales Volume was in the fiscal third quarter, and was primarily due to factors described above. The increase in operating costs was primarily due to higher energy and maintenance costs of approximately $37.4 million and $21.3 million, respectively. Operating Margin decreased to 27%, primarily because of higher operating costs, partially offset by higher gross sales prices.</w:t>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03"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CONCRETE AND AGGREGATES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80" w:type="dxa"/>
            <w:vAlign w:val="bottom"/>
            <w:shd w:val="clear" w:color="auto" w:fill="004483"/>
          </w:tcPr>
          <w:p>
            <w:pPr>
              <w:spacing w:after="0"/>
              <w:rPr>
                <w:sz w:val="13"/>
                <w:szCs w:val="13"/>
                <w:color w:val="auto"/>
              </w:rPr>
            </w:pPr>
          </w:p>
        </w:tc>
        <w:tc>
          <w:tcPr>
            <w:tcW w:w="2180" w:type="dxa"/>
            <w:vAlign w:val="bottom"/>
            <w:gridSpan w:val="5"/>
            <w:shd w:val="clear" w:color="auto" w:fill="004483"/>
          </w:tcPr>
          <w:p>
            <w:pPr>
              <w:jc w:val="center"/>
              <w:ind w:right="320"/>
              <w:spacing w:after="0"/>
              <w:rPr>
                <w:sz w:val="20"/>
                <w:szCs w:val="20"/>
                <w:color w:val="auto"/>
              </w:rPr>
            </w:pPr>
            <w:r>
              <w:rPr>
                <w:rFonts w:ascii="Arial" w:cs="Arial" w:eastAsia="Arial" w:hAnsi="Arial"/>
                <w:sz w:val="13"/>
                <w:szCs w:val="13"/>
                <w:b w:val="1"/>
                <w:bCs w:val="1"/>
                <w:color w:val="FFFFFF"/>
                <w:w w:val="96"/>
              </w:rPr>
              <w:t>For the Three Months Ended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shd w:val="clear" w:color="auto" w:fill="004483"/>
          </w:tcPr>
          <w:p>
            <w:pPr>
              <w:spacing w:after="0"/>
              <w:rPr>
                <w:sz w:val="13"/>
                <w:szCs w:val="13"/>
                <w:color w:val="auto"/>
              </w:rPr>
            </w:pPr>
          </w:p>
        </w:tc>
        <w:tc>
          <w:tcPr>
            <w:tcW w:w="2120" w:type="dxa"/>
            <w:vAlign w:val="bottom"/>
            <w:gridSpan w:val="5"/>
            <w:shd w:val="clear" w:color="auto" w:fill="004483"/>
          </w:tcPr>
          <w:p>
            <w:pPr>
              <w:jc w:val="center"/>
              <w:ind w:right="280"/>
              <w:spacing w:after="0"/>
              <w:rPr>
                <w:sz w:val="20"/>
                <w:szCs w:val="20"/>
                <w:color w:val="auto"/>
              </w:rPr>
            </w:pPr>
            <w:r>
              <w:rPr>
                <w:rFonts w:ascii="Arial" w:cs="Arial" w:eastAsia="Arial" w:hAnsi="Arial"/>
                <w:sz w:val="13"/>
                <w:szCs w:val="13"/>
                <w:b w:val="1"/>
                <w:bCs w:val="1"/>
                <w:color w:val="FFFFFF"/>
                <w:w w:val="97"/>
              </w:rPr>
              <w:t>For the Nine Months Ended</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8"/>
        </w:trPr>
        <w:tc>
          <w:tcPr>
            <w:tcW w:w="4300" w:type="dxa"/>
            <w:vAlign w:val="bottom"/>
          </w:tcPr>
          <w:p>
            <w:pPr>
              <w:spacing w:after="0"/>
              <w:rPr>
                <w:sz w:val="14"/>
                <w:szCs w:val="14"/>
                <w:color w:val="auto"/>
              </w:rPr>
            </w:pPr>
          </w:p>
        </w:tc>
        <w:tc>
          <w:tcPr>
            <w:tcW w:w="180" w:type="dxa"/>
            <w:vAlign w:val="bottom"/>
            <w:tcBorders>
              <w:bottom w:val="single" w:sz="8" w:color="auto"/>
            </w:tcBorders>
            <w:shd w:val="clear" w:color="auto" w:fill="004483"/>
          </w:tcPr>
          <w:p>
            <w:pPr>
              <w:spacing w:after="0"/>
              <w:rPr>
                <w:sz w:val="14"/>
                <w:szCs w:val="14"/>
                <w:color w:val="auto"/>
              </w:rPr>
            </w:pPr>
          </w:p>
        </w:tc>
        <w:tc>
          <w:tcPr>
            <w:tcW w:w="1460" w:type="dxa"/>
            <w:vAlign w:val="bottom"/>
            <w:tcBorders>
              <w:bottom w:val="single" w:sz="8" w:color="auto"/>
            </w:tcBorders>
            <w:gridSpan w:val="3"/>
            <w:shd w:val="clear" w:color="auto" w:fill="004483"/>
          </w:tcPr>
          <w:p>
            <w:pPr>
              <w:jc w:val="center"/>
              <w:ind w:left="365"/>
              <w:spacing w:after="0"/>
              <w:rPr>
                <w:sz w:val="20"/>
                <w:szCs w:val="20"/>
                <w:color w:val="auto"/>
              </w:rPr>
            </w:pPr>
            <w:r>
              <w:rPr>
                <w:rFonts w:ascii="Arial" w:cs="Arial" w:eastAsia="Arial" w:hAnsi="Arial"/>
                <w:sz w:val="13"/>
                <w:szCs w:val="13"/>
                <w:b w:val="1"/>
                <w:bCs w:val="1"/>
                <w:color w:val="FFFFFF"/>
                <w:w w:val="96"/>
              </w:rPr>
              <w:t>December 31,</w:t>
            </w:r>
          </w:p>
        </w:tc>
        <w:tc>
          <w:tcPr>
            <w:tcW w:w="62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shd w:val="clear" w:color="auto" w:fill="004483"/>
          </w:tcPr>
          <w:p>
            <w:pPr>
              <w:spacing w:after="0"/>
              <w:rPr>
                <w:sz w:val="14"/>
                <w:szCs w:val="14"/>
                <w:color w:val="auto"/>
              </w:rPr>
            </w:pPr>
          </w:p>
        </w:tc>
        <w:tc>
          <w:tcPr>
            <w:tcW w:w="1380" w:type="dxa"/>
            <w:vAlign w:val="bottom"/>
            <w:tcBorders>
              <w:bottom w:val="single" w:sz="8" w:color="auto"/>
            </w:tcBorders>
            <w:gridSpan w:val="3"/>
            <w:shd w:val="clear" w:color="auto" w:fill="004483"/>
          </w:tcPr>
          <w:p>
            <w:pPr>
              <w:jc w:val="center"/>
              <w:ind w:left="407"/>
              <w:spacing w:after="0"/>
              <w:rPr>
                <w:sz w:val="20"/>
                <w:szCs w:val="20"/>
                <w:color w:val="auto"/>
              </w:rPr>
            </w:pPr>
            <w:r>
              <w:rPr>
                <w:rFonts w:ascii="Arial" w:cs="Arial" w:eastAsia="Arial" w:hAnsi="Arial"/>
                <w:sz w:val="13"/>
                <w:szCs w:val="13"/>
                <w:b w:val="1"/>
                <w:bCs w:val="1"/>
                <w:color w:val="FFFFFF"/>
                <w:w w:val="96"/>
              </w:rPr>
              <w:t>December 31,</w:t>
            </w:r>
          </w:p>
        </w:tc>
        <w:tc>
          <w:tcPr>
            <w:tcW w:w="64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23"/>
        </w:trPr>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right"/>
              <w:ind w:right="320"/>
              <w:spacing w:after="0" w:line="123" w:lineRule="exact"/>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320"/>
              <w:spacing w:after="0" w:line="123" w:lineRule="exact"/>
              <w:rPr>
                <w:sz w:val="20"/>
                <w:szCs w:val="20"/>
                <w:color w:val="auto"/>
              </w:rPr>
            </w:pPr>
            <w:r>
              <w:rPr>
                <w:rFonts w:ascii="Arial" w:cs="Arial" w:eastAsia="Arial" w:hAnsi="Arial"/>
                <w:sz w:val="13"/>
                <w:szCs w:val="13"/>
                <w:b w:val="1"/>
                <w:bCs w:val="1"/>
                <w:color w:val="auto"/>
              </w:rPr>
              <w:t>Percentage</w:t>
            </w:r>
          </w:p>
        </w:tc>
      </w:tr>
      <w:tr>
        <w:trPr>
          <w:trHeight w:val="168"/>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36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Change</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Change</w:t>
            </w:r>
          </w:p>
        </w:tc>
      </w:tr>
      <w:tr>
        <w:trPr>
          <w:trHeight w:val="145"/>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gridSpan w:val="5"/>
          </w:tcPr>
          <w:p>
            <w:pPr>
              <w:jc w:val="center"/>
              <w:ind w:right="300"/>
              <w:spacing w:after="0" w:line="145" w:lineRule="exact"/>
              <w:rPr>
                <w:sz w:val="20"/>
                <w:szCs w:val="20"/>
                <w:color w:val="auto"/>
              </w:rPr>
            </w:pPr>
            <w:r>
              <w:rPr>
                <w:rFonts w:ascii="Arial" w:cs="Arial" w:eastAsia="Arial" w:hAnsi="Arial"/>
                <w:sz w:val="13"/>
                <w:szCs w:val="13"/>
                <w:color w:val="auto"/>
                <w:w w:val="97"/>
              </w:rPr>
              <w:t>(in thousands, except net sales</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5"/>
        </w:trPr>
        <w:tc>
          <w:tcPr>
            <w:tcW w:w="4300" w:type="dxa"/>
            <w:vAlign w:val="bottom"/>
            <w:tcBorders>
              <w:bottom w:val="single" w:sz="8" w:color="17385E"/>
            </w:tcBorders>
          </w:tcPr>
          <w:p>
            <w:pPr>
              <w:spacing w:after="0"/>
              <w:rPr>
                <w:sz w:val="15"/>
                <w:szCs w:val="15"/>
                <w:color w:val="auto"/>
              </w:rPr>
            </w:pPr>
          </w:p>
        </w:tc>
        <w:tc>
          <w:tcPr>
            <w:tcW w:w="2260" w:type="dxa"/>
            <w:vAlign w:val="bottom"/>
            <w:tcBorders>
              <w:bottom w:val="single" w:sz="8" w:color="17385E"/>
            </w:tcBorders>
            <w:gridSpan w:val="5"/>
          </w:tcPr>
          <w:p>
            <w:pPr>
              <w:jc w:val="center"/>
              <w:spacing w:after="0"/>
              <w:rPr>
                <w:sz w:val="20"/>
                <w:szCs w:val="20"/>
                <w:color w:val="auto"/>
              </w:rPr>
            </w:pPr>
            <w:r>
              <w:rPr>
                <w:rFonts w:ascii="Arial" w:cs="Arial" w:eastAsia="Arial" w:hAnsi="Arial"/>
                <w:sz w:val="13"/>
                <w:szCs w:val="13"/>
                <w:color w:val="auto"/>
                <w:w w:val="96"/>
              </w:rPr>
              <w:t>(in thousands, except net sales prices)</w:t>
            </w:r>
          </w:p>
        </w:tc>
        <w:tc>
          <w:tcPr>
            <w:tcW w:w="100" w:type="dxa"/>
            <w:vAlign w:val="bottom"/>
          </w:tcPr>
          <w:p>
            <w:pPr>
              <w:spacing w:after="0"/>
              <w:rPr>
                <w:sz w:val="15"/>
                <w:szCs w:val="15"/>
                <w:color w:val="auto"/>
              </w:rPr>
            </w:pPr>
          </w:p>
        </w:tc>
        <w:tc>
          <w:tcPr>
            <w:tcW w:w="980" w:type="dxa"/>
            <w:vAlign w:val="bottom"/>
            <w:tcBorders>
              <w:bottom w:val="single" w:sz="8" w:color="17385E"/>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17385E"/>
            </w:tcBorders>
          </w:tcPr>
          <w:p>
            <w:pPr>
              <w:spacing w:after="0"/>
              <w:rPr>
                <w:sz w:val="15"/>
                <w:szCs w:val="15"/>
                <w:color w:val="auto"/>
              </w:rPr>
            </w:pPr>
          </w:p>
        </w:tc>
        <w:tc>
          <w:tcPr>
            <w:tcW w:w="160" w:type="dxa"/>
            <w:vAlign w:val="bottom"/>
            <w:tcBorders>
              <w:bottom w:val="single" w:sz="8" w:color="17385E"/>
            </w:tcBorders>
          </w:tcPr>
          <w:p>
            <w:pPr>
              <w:spacing w:after="0"/>
              <w:rPr>
                <w:sz w:val="15"/>
                <w:szCs w:val="15"/>
                <w:color w:val="auto"/>
              </w:rPr>
            </w:pPr>
          </w:p>
        </w:tc>
        <w:tc>
          <w:tcPr>
            <w:tcW w:w="1380" w:type="dxa"/>
            <w:vAlign w:val="bottom"/>
            <w:tcBorders>
              <w:bottom w:val="single" w:sz="8" w:color="17385E"/>
            </w:tcBorders>
            <w:gridSpan w:val="3"/>
          </w:tcPr>
          <w:p>
            <w:pPr>
              <w:jc w:val="center"/>
              <w:ind w:left="407"/>
              <w:spacing w:after="0"/>
              <w:rPr>
                <w:sz w:val="20"/>
                <w:szCs w:val="20"/>
                <w:color w:val="auto"/>
              </w:rPr>
            </w:pPr>
            <w:r>
              <w:rPr>
                <w:rFonts w:ascii="Arial" w:cs="Arial" w:eastAsia="Arial" w:hAnsi="Arial"/>
                <w:sz w:val="13"/>
                <w:szCs w:val="13"/>
                <w:color w:val="auto"/>
                <w:w w:val="97"/>
              </w:rPr>
              <w:t>prices)</w:t>
            </w:r>
          </w:p>
        </w:tc>
        <w:tc>
          <w:tcPr>
            <w:tcW w:w="640" w:type="dxa"/>
            <w:vAlign w:val="bottom"/>
            <w:tcBorders>
              <w:bottom w:val="single" w:sz="8" w:color="17385E"/>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17385E"/>
            </w:tcBorders>
          </w:tcPr>
          <w:p>
            <w:pPr>
              <w:spacing w:after="0"/>
              <w:rPr>
                <w:sz w:val="15"/>
                <w:szCs w:val="15"/>
                <w:color w:val="auto"/>
              </w:rPr>
            </w:pPr>
          </w:p>
        </w:tc>
        <w:tc>
          <w:tcPr>
            <w:tcW w:w="200" w:type="dxa"/>
            <w:vAlign w:val="bottom"/>
          </w:tcPr>
          <w:p>
            <w:pPr>
              <w:spacing w:after="0"/>
              <w:rPr>
                <w:sz w:val="15"/>
                <w:szCs w:val="15"/>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55,176</w:t>
            </w:r>
          </w:p>
        </w:tc>
        <w:tc>
          <w:tcPr>
            <w:tcW w:w="6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42,384</w:t>
            </w:r>
          </w:p>
        </w:tc>
        <w:tc>
          <w:tcPr>
            <w:tcW w:w="100" w:type="dxa"/>
            <w:vAlign w:val="bottom"/>
          </w:tcPr>
          <w:p>
            <w:pPr>
              <w:spacing w:after="0"/>
              <w:rPr>
                <w:sz w:val="18"/>
                <w:szCs w:val="18"/>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6"/>
                <w:szCs w:val="16"/>
                <w:color w:val="auto"/>
              </w:rPr>
              <w:t>30 % $</w:t>
            </w:r>
          </w:p>
        </w:tc>
        <w:tc>
          <w:tcPr>
            <w:tcW w:w="840" w:type="dxa"/>
            <w:vAlign w:val="bottom"/>
          </w:tcPr>
          <w:p>
            <w:pPr>
              <w:jc w:val="right"/>
              <w:spacing w:after="0"/>
              <w:rPr>
                <w:sz w:val="20"/>
                <w:szCs w:val="20"/>
                <w:color w:val="auto"/>
              </w:rPr>
            </w:pPr>
            <w:r>
              <w:rPr>
                <w:rFonts w:ascii="Arial" w:cs="Arial" w:eastAsia="Arial" w:hAnsi="Arial"/>
                <w:sz w:val="16"/>
                <w:szCs w:val="16"/>
                <w:color w:val="auto"/>
              </w:rPr>
              <w:t>186,407</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139,888</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33 %</w:t>
            </w:r>
          </w:p>
        </w:tc>
      </w:tr>
      <w:tr>
        <w:trPr>
          <w:trHeight w:val="213"/>
        </w:trPr>
        <w:tc>
          <w:tcPr>
            <w:tcW w:w="4300" w:type="dxa"/>
            <w:vAlign w:val="bottom"/>
            <w:tcBorders>
              <w:top w:val="single" w:sz="8" w:color="A6A6A6"/>
              <w:bottom w:val="single" w:sz="8" w:color="A6A6A6"/>
            </w:tcBorders>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8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84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6A6A6"/>
              <w:bottom w:val="single" w:sz="8" w:color="A6A6A6"/>
            </w:tcBorders>
          </w:tcPr>
          <w:p>
            <w:pPr>
              <w:spacing w:after="0"/>
              <w:rPr>
                <w:sz w:val="18"/>
                <w:szCs w:val="18"/>
                <w:color w:val="auto"/>
              </w:rPr>
            </w:pPr>
          </w:p>
        </w:tc>
        <w:tc>
          <w:tcPr>
            <w:tcW w:w="64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07"/>
        </w:trPr>
        <w:tc>
          <w:tcPr>
            <w:tcW w:w="4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Volume</w:t>
            </w:r>
          </w:p>
        </w:tc>
        <w:tc>
          <w:tcPr>
            <w:tcW w:w="180" w:type="dxa"/>
            <w:vAlign w:val="bottom"/>
            <w:tcBorders>
              <w:bottom w:val="single" w:sz="8" w:color="A6A6A6"/>
            </w:tcBorders>
          </w:tcPr>
          <w:p>
            <w:pPr>
              <w:spacing w:after="0"/>
              <w:rPr>
                <w:sz w:val="17"/>
                <w:szCs w:val="17"/>
                <w:color w:val="auto"/>
              </w:rPr>
            </w:pPr>
          </w:p>
        </w:tc>
        <w:tc>
          <w:tcPr>
            <w:tcW w:w="8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62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6A6A6"/>
            </w:tcBorders>
          </w:tcPr>
          <w:p>
            <w:pPr>
              <w:spacing w:after="0"/>
              <w:rPr>
                <w:sz w:val="17"/>
                <w:szCs w:val="17"/>
                <w:color w:val="auto"/>
              </w:rPr>
            </w:pPr>
          </w:p>
        </w:tc>
        <w:tc>
          <w:tcPr>
            <w:tcW w:w="6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6A6A6"/>
            </w:tcBorders>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4300" w:type="dxa"/>
            <w:vAlign w:val="bottom"/>
          </w:tcPr>
          <w:p>
            <w:pPr>
              <w:ind w:left="200"/>
              <w:spacing w:after="0"/>
              <w:rPr>
                <w:sz w:val="20"/>
                <w:szCs w:val="20"/>
                <w:color w:val="auto"/>
              </w:rPr>
            </w:pPr>
            <w:r>
              <w:rPr>
                <w:rFonts w:ascii="Arial" w:cs="Arial" w:eastAsia="Arial" w:hAnsi="Arial"/>
                <w:sz w:val="16"/>
                <w:szCs w:val="16"/>
                <w:color w:val="004483"/>
              </w:rPr>
              <w:t>M Cubic Yards of Concrete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11 %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r>
      <w:tr>
        <w:trPr>
          <w:trHeight w:val="20"/>
        </w:trPr>
        <w:tc>
          <w:tcPr>
            <w:tcW w:w="43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300" w:type="dxa"/>
            <w:vAlign w:val="bottom"/>
          </w:tcPr>
          <w:p>
            <w:pPr>
              <w:ind w:left="200"/>
              <w:spacing w:after="0"/>
              <w:rPr>
                <w:sz w:val="20"/>
                <w:szCs w:val="20"/>
                <w:color w:val="auto"/>
              </w:rPr>
            </w:pPr>
            <w:r>
              <w:rPr>
                <w:rFonts w:ascii="Arial" w:cs="Arial" w:eastAsia="Arial" w:hAnsi="Arial"/>
                <w:sz w:val="16"/>
                <w:szCs w:val="16"/>
                <w:color w:val="004483"/>
              </w:rPr>
              <w:t>M Tons of Aggregate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84 %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97 %</w:t>
            </w:r>
          </w:p>
        </w:tc>
      </w:tr>
      <w:tr>
        <w:trPr>
          <w:trHeight w:val="209"/>
        </w:trPr>
        <w:tc>
          <w:tcPr>
            <w:tcW w:w="43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Average Net Sales Price</w:t>
            </w:r>
          </w:p>
        </w:tc>
        <w:tc>
          <w:tcPr>
            <w:tcW w:w="180" w:type="dxa"/>
            <w:vAlign w:val="bottom"/>
            <w:tcBorders>
              <w:top w:val="single" w:sz="8" w:color="A6A6A6"/>
              <w:bottom w:val="single" w:sz="8" w:color="A6A6A6"/>
            </w:tcBorders>
          </w:tcPr>
          <w:p>
            <w:pPr>
              <w:spacing w:after="0"/>
              <w:rPr>
                <w:sz w:val="18"/>
                <w:szCs w:val="18"/>
                <w:color w:val="auto"/>
              </w:rPr>
            </w:pPr>
          </w:p>
        </w:tc>
        <w:tc>
          <w:tcPr>
            <w:tcW w:w="8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84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6A6A6"/>
              <w:bottom w:val="single" w:sz="8" w:color="A6A6A6"/>
            </w:tcBorders>
          </w:tcPr>
          <w:p>
            <w:pPr>
              <w:spacing w:after="0"/>
              <w:rPr>
                <w:sz w:val="18"/>
                <w:szCs w:val="18"/>
                <w:color w:val="auto"/>
              </w:rPr>
            </w:pPr>
          </w:p>
        </w:tc>
        <w:tc>
          <w:tcPr>
            <w:tcW w:w="64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4300" w:type="dxa"/>
            <w:vAlign w:val="bottom"/>
          </w:tcPr>
          <w:p>
            <w:pPr>
              <w:ind w:left="200"/>
              <w:spacing w:after="0"/>
              <w:rPr>
                <w:sz w:val="20"/>
                <w:szCs w:val="20"/>
                <w:color w:val="auto"/>
              </w:rPr>
            </w:pPr>
            <w:r>
              <w:rPr>
                <w:rFonts w:ascii="Arial" w:cs="Arial" w:eastAsia="Arial" w:hAnsi="Arial"/>
                <w:sz w:val="16"/>
                <w:szCs w:val="16"/>
                <w:color w:val="004483"/>
              </w:rPr>
              <w:t>Concrete - Per Cubic Yard</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134.42</w:t>
            </w:r>
          </w:p>
        </w:tc>
        <w:tc>
          <w:tcPr>
            <w:tcW w:w="120" w:type="dxa"/>
            <w:vAlign w:val="bottom"/>
          </w:tcPr>
          <w:p>
            <w:pPr>
              <w:spacing w:after="0"/>
              <w:rPr>
                <w:sz w:val="18"/>
                <w:szCs w:val="18"/>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122.36</w:t>
            </w:r>
          </w:p>
        </w:tc>
        <w:tc>
          <w:tcPr>
            <w:tcW w:w="100" w:type="dxa"/>
            <w:vAlign w:val="bottom"/>
          </w:tcPr>
          <w:p>
            <w:pPr>
              <w:spacing w:after="0"/>
              <w:rPr>
                <w:sz w:val="18"/>
                <w:szCs w:val="18"/>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6"/>
                <w:szCs w:val="16"/>
                <w:color w:val="auto"/>
              </w:rPr>
              <w:t>10 % $</w:t>
            </w:r>
          </w:p>
        </w:tc>
        <w:tc>
          <w:tcPr>
            <w:tcW w:w="840" w:type="dxa"/>
            <w:vAlign w:val="bottom"/>
          </w:tcPr>
          <w:p>
            <w:pPr>
              <w:jc w:val="right"/>
              <w:spacing w:after="0"/>
              <w:rPr>
                <w:sz w:val="20"/>
                <w:szCs w:val="20"/>
                <w:color w:val="auto"/>
              </w:rPr>
            </w:pPr>
            <w:r>
              <w:rPr>
                <w:rFonts w:ascii="Arial" w:cs="Arial" w:eastAsia="Arial" w:hAnsi="Arial"/>
                <w:sz w:val="16"/>
                <w:szCs w:val="16"/>
                <w:color w:val="auto"/>
              </w:rPr>
              <w:t>132.46</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120.17</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r>
      <w:tr>
        <w:trPr>
          <w:trHeight w:val="20"/>
        </w:trPr>
        <w:tc>
          <w:tcPr>
            <w:tcW w:w="43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300" w:type="dxa"/>
            <w:vAlign w:val="bottom"/>
          </w:tcPr>
          <w:p>
            <w:pPr>
              <w:ind w:left="200"/>
              <w:spacing w:after="0"/>
              <w:rPr>
                <w:sz w:val="20"/>
                <w:szCs w:val="20"/>
                <w:color w:val="auto"/>
              </w:rPr>
            </w:pPr>
            <w:r>
              <w:rPr>
                <w:rFonts w:ascii="Arial" w:cs="Arial" w:eastAsia="Arial" w:hAnsi="Arial"/>
                <w:sz w:val="16"/>
                <w:szCs w:val="16"/>
                <w:color w:val="004483"/>
              </w:rPr>
              <w:t>Aggregates - Per Ton</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18"/>
                <w:szCs w:val="18"/>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8"/>
                <w:szCs w:val="18"/>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6"/>
                <w:szCs w:val="16"/>
                <w:color w:val="auto"/>
              </w:rPr>
              <w:t>13 % $</w:t>
            </w:r>
          </w:p>
        </w:tc>
        <w:tc>
          <w:tcPr>
            <w:tcW w:w="840" w:type="dxa"/>
            <w:vAlign w:val="bottom"/>
          </w:tcPr>
          <w:p>
            <w:pPr>
              <w:jc w:val="right"/>
              <w:spacing w:after="0"/>
              <w:rPr>
                <w:sz w:val="20"/>
                <w:szCs w:val="20"/>
                <w:color w:val="auto"/>
              </w:rPr>
            </w:pPr>
            <w:r>
              <w:rPr>
                <w:rFonts w:ascii="Arial" w:cs="Arial" w:eastAsia="Arial" w:hAnsi="Arial"/>
                <w:sz w:val="16"/>
                <w:szCs w:val="16"/>
                <w:color w:val="auto"/>
              </w:rPr>
              <w:t>11.21</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r>
      <w:tr>
        <w:trPr>
          <w:trHeight w:val="239"/>
        </w:trPr>
        <w:tc>
          <w:tcPr>
            <w:tcW w:w="4300" w:type="dxa"/>
            <w:vAlign w:val="bottom"/>
            <w:tcBorders>
              <w:top w:val="single" w:sz="8" w:color="A6A6A6"/>
              <w:bottom w:val="single" w:sz="8" w:color="A6A6A6"/>
            </w:tcBorders>
          </w:tcPr>
          <w:p>
            <w:pPr>
              <w:spacing w:after="0"/>
              <w:rPr>
                <w:sz w:val="20"/>
                <w:szCs w:val="20"/>
                <w:color w:val="auto"/>
              </w:rPr>
            </w:pPr>
          </w:p>
        </w:tc>
        <w:tc>
          <w:tcPr>
            <w:tcW w:w="180" w:type="dxa"/>
            <w:vAlign w:val="bottom"/>
            <w:tcBorders>
              <w:top w:val="single" w:sz="8" w:color="A6A6A6"/>
              <w:bottom w:val="single" w:sz="8" w:color="A6A6A6"/>
            </w:tcBorders>
          </w:tcPr>
          <w:p>
            <w:pPr>
              <w:spacing w:after="0"/>
              <w:rPr>
                <w:sz w:val="20"/>
                <w:szCs w:val="20"/>
                <w:color w:val="auto"/>
              </w:rPr>
            </w:pPr>
          </w:p>
        </w:tc>
        <w:tc>
          <w:tcPr>
            <w:tcW w:w="84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6A6A6"/>
              <w:bottom w:val="single" w:sz="8" w:color="A6A6A6"/>
            </w:tcBorders>
          </w:tcPr>
          <w:p>
            <w:pPr>
              <w:spacing w:after="0"/>
              <w:rPr>
                <w:sz w:val="20"/>
                <w:szCs w:val="20"/>
                <w:color w:val="auto"/>
              </w:rPr>
            </w:pPr>
          </w:p>
        </w:tc>
        <w:tc>
          <w:tcPr>
            <w:tcW w:w="620" w:type="dxa"/>
            <w:vAlign w:val="bottom"/>
            <w:tcBorders>
              <w:top w:val="single" w:sz="8" w:color="A6A6A6"/>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6A6A6"/>
              <w:bottom w:val="single" w:sz="8" w:color="A6A6A6"/>
            </w:tcBorders>
            <w:gridSpan w:val="2"/>
          </w:tcPr>
          <w:p>
            <w:pPr>
              <w:spacing w:after="0"/>
              <w:rPr>
                <w:sz w:val="20"/>
                <w:szCs w:val="20"/>
                <w:color w:val="auto"/>
              </w:rPr>
            </w:pPr>
          </w:p>
        </w:tc>
        <w:tc>
          <w:tcPr>
            <w:tcW w:w="840" w:type="dxa"/>
            <w:vAlign w:val="bottom"/>
            <w:tcBorders>
              <w:top w:val="single" w:sz="8" w:color="A6A6A6"/>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6A6A6"/>
              <w:bottom w:val="single" w:sz="8" w:color="A6A6A6"/>
            </w:tcBorders>
          </w:tcPr>
          <w:p>
            <w:pPr>
              <w:spacing w:after="0"/>
              <w:rPr>
                <w:sz w:val="20"/>
                <w:szCs w:val="20"/>
                <w:color w:val="auto"/>
              </w:rPr>
            </w:pPr>
          </w:p>
        </w:tc>
        <w:tc>
          <w:tcPr>
            <w:tcW w:w="640" w:type="dxa"/>
            <w:vAlign w:val="bottom"/>
            <w:tcBorders>
              <w:top w:val="single" w:sz="8" w:color="A6A6A6"/>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6A6A6"/>
              <w:bottom w:val="single" w:sz="8" w:color="A6A6A6"/>
            </w:tcBorders>
          </w:tcPr>
          <w:p>
            <w:pPr>
              <w:spacing w:after="0"/>
              <w:rPr>
                <w:sz w:val="20"/>
                <w:szCs w:val="20"/>
                <w:color w:val="auto"/>
              </w:rPr>
            </w:pPr>
          </w:p>
        </w:tc>
        <w:tc>
          <w:tcPr>
            <w:tcW w:w="200" w:type="dxa"/>
            <w:vAlign w:val="bottom"/>
          </w:tcPr>
          <w:p>
            <w:pPr>
              <w:spacing w:after="0"/>
              <w:rPr>
                <w:sz w:val="20"/>
                <w:szCs w:val="20"/>
                <w:color w:val="auto"/>
              </w:rPr>
            </w:pPr>
          </w:p>
        </w:tc>
      </w:tr>
      <w:tr>
        <w:trPr>
          <w:trHeight w:val="207"/>
        </w:trPr>
        <w:tc>
          <w:tcPr>
            <w:tcW w:w="430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2,692</w:t>
            </w:r>
          </w:p>
        </w:tc>
        <w:tc>
          <w:tcPr>
            <w:tcW w:w="120" w:type="dxa"/>
            <w:vAlign w:val="bottom"/>
          </w:tcPr>
          <w:p>
            <w:pPr>
              <w:spacing w:after="0"/>
              <w:rPr>
                <w:sz w:val="17"/>
                <w:szCs w:val="17"/>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17"/>
                <w:szCs w:val="17"/>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6"/>
                <w:szCs w:val="16"/>
                <w:color w:val="auto"/>
              </w:rPr>
              <w:t>(35 )% $</w:t>
            </w:r>
          </w:p>
        </w:tc>
        <w:tc>
          <w:tcPr>
            <w:tcW w:w="840" w:type="dxa"/>
            <w:vAlign w:val="bottom"/>
          </w:tcPr>
          <w:p>
            <w:pPr>
              <w:jc w:val="right"/>
              <w:spacing w:after="0"/>
              <w:rPr>
                <w:sz w:val="20"/>
                <w:szCs w:val="20"/>
                <w:color w:val="auto"/>
              </w:rPr>
            </w:pPr>
            <w:r>
              <w:rPr>
                <w:rFonts w:ascii="Arial" w:cs="Arial" w:eastAsia="Arial" w:hAnsi="Arial"/>
                <w:sz w:val="16"/>
                <w:szCs w:val="16"/>
                <w:color w:val="auto"/>
              </w:rPr>
              <w:t>15,700</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16,998</w:t>
            </w:r>
          </w:p>
        </w:tc>
        <w:tc>
          <w:tcPr>
            <w:tcW w:w="1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0"/>
        </w:trPr>
        <w:tc>
          <w:tcPr>
            <w:tcW w:w="43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6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-1885315</wp:posOffset>
            </wp:positionV>
            <wp:extent cx="68580" cy="18859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8859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-1885315</wp:posOffset>
            </wp:positionV>
            <wp:extent cx="68580" cy="18859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88595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2022</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Concrete and Aggregates Revenue increased 30% to $55.2 million for the three months ended December 31, 2022. The ConAgg Acquisition contributed $ 9.8 million of Revenue during the three months ended December 31, 2022. Excluding the ConAgg Acquisition, Revenue increased by $ 3.0 million, or 7%. The increase was due to higher gross sales prices, which improved Revenue by $3.8 million, partially offset by lower Sales Volume, primarily in Concrete, of $0.8 million.</w:t>
      </w:r>
    </w:p>
    <w:p>
      <w:pPr>
        <w:spacing w:after="0" w:line="9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Operating Earnings decreased 35% to approximately $2.7 million. Segment results above include $4.4 million of depreciation and amortization, of which $2.1 million is related to the ConAgg Acquisition. Excluding the ConAgg Acquisition, Operating Earnings were $3.0 million. The decrease in Operating Earnings was due to increased operating costs and lower Sales Volume of $4.8 million and $0.1 million, respectively. This was partially offset by higher gross sales prices of $3.8 million. The increase in operating costs was primarily due to higher expenses for materials, maintenance, and delivery of approximately $3.3 million, $1.2 million, and $0.4 million,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2022</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Concrete and Aggregates Revenue increased 33% to $186.4 million for the nine months ended December 31, 2022. The ConAgg Acquisition contributed $34.7 million of Revenue during the nine months ended December 31, 2022. Excluding the ConAgg Acquisition, Revenue was up 9% or $11.8 million. The increase was due to higher gross sales prices and Sales Volume in Aggregates, of $12.9 million and $1.1 million, respectively, partially offset by lower Sales Volume in Concrete of $2.2 million.</w:t>
      </w:r>
    </w:p>
    <w:p>
      <w:pPr>
        <w:spacing w:after="0" w:line="97"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Operating Earnings decreased 8% to approximately $15.7 million. Excluding the ConAgg Acquisition, Operating Earnings decreased by $2.6 million to $14.4 million. The decline in Operating Earnings was due to increased operating costs of $15.7 million. This was partially offset by higher gross sales prices of $12.9 million. The increase in operating costs was primarily due to higher expenses for materials, maintenance, and delivery of approximately $9.1 million, $3.2 million, and $3.2 million, respectively.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03" w:right="2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tbl>
      <w:tblPr>
        <w:tblLayout w:type="fixed"/>
        <w:tblInd w:w="4320" w:type="dxa"/>
        <w:tblCellMar>
          <w:top w:w="0" w:type="dxa"/>
          <w:left w:w="0" w:type="dxa"/>
          <w:bottom w:w="0" w:type="dxa"/>
          <w:right w:w="0" w:type="dxa"/>
        </w:tblCellMar>
      </w:tblPr>
      <w:tr>
        <w:trPr>
          <w:trHeight w:val="145"/>
        </w:trPr>
        <w:tc>
          <w:tcPr>
            <w:tcW w:w="1960" w:type="dxa"/>
            <w:vAlign w:val="bottom"/>
            <w:shd w:val="clear" w:color="auto" w:fill="004483"/>
          </w:tcPr>
          <w:p>
            <w:pPr>
              <w:ind w:left="260"/>
              <w:spacing w:after="0" w:line="145" w:lineRule="exact"/>
              <w:rPr>
                <w:sz w:val="20"/>
                <w:szCs w:val="20"/>
                <w:color w:val="auto"/>
              </w:rPr>
            </w:pPr>
            <w:r>
              <w:rPr>
                <w:rFonts w:ascii="Arial" w:cs="Arial" w:eastAsia="Arial" w:hAnsi="Arial"/>
                <w:sz w:val="13"/>
                <w:szCs w:val="13"/>
                <w:b w:val="1"/>
                <w:bCs w:val="1"/>
                <w:color w:val="FFFFFF"/>
                <w:w w:val="95"/>
              </w:rPr>
              <w:t>For the Three Months Ended</w:t>
            </w:r>
          </w:p>
        </w:tc>
        <w:tc>
          <w:tcPr>
            <w:tcW w:w="300" w:type="dxa"/>
            <w:vAlign w:val="bottom"/>
            <w:shd w:val="clear" w:color="auto" w:fill="004483"/>
          </w:tcPr>
          <w:p>
            <w:pPr>
              <w:spacing w:after="0"/>
              <w:rPr>
                <w:sz w:val="12"/>
                <w:szCs w:val="12"/>
                <w:color w:val="auto"/>
              </w:rPr>
            </w:pPr>
          </w:p>
        </w:tc>
        <w:tc>
          <w:tcPr>
            <w:tcW w:w="120" w:type="dxa"/>
            <w:vAlign w:val="bottom"/>
            <w:shd w:val="clear" w:color="auto" w:fill="004483"/>
          </w:tcPr>
          <w:p>
            <w:pPr>
              <w:spacing w:after="0"/>
              <w:rPr>
                <w:sz w:val="12"/>
                <w:szCs w:val="12"/>
                <w:color w:val="auto"/>
              </w:rPr>
            </w:pPr>
          </w:p>
        </w:tc>
        <w:tc>
          <w:tcPr>
            <w:tcW w:w="1160" w:type="dxa"/>
            <w:vAlign w:val="bottom"/>
          </w:tcPr>
          <w:p>
            <w:pPr>
              <w:spacing w:after="0"/>
              <w:rPr>
                <w:sz w:val="12"/>
                <w:szCs w:val="12"/>
                <w:color w:val="auto"/>
              </w:rPr>
            </w:pPr>
          </w:p>
        </w:tc>
        <w:tc>
          <w:tcPr>
            <w:tcW w:w="1900" w:type="dxa"/>
            <w:vAlign w:val="bottom"/>
            <w:shd w:val="clear" w:color="auto" w:fill="004483"/>
          </w:tcPr>
          <w:p>
            <w:pPr>
              <w:jc w:val="center"/>
              <w:ind w:left="197"/>
              <w:spacing w:after="0" w:line="145" w:lineRule="exact"/>
              <w:rPr>
                <w:sz w:val="20"/>
                <w:szCs w:val="20"/>
                <w:color w:val="auto"/>
              </w:rPr>
            </w:pPr>
            <w:r>
              <w:rPr>
                <w:rFonts w:ascii="Arial" w:cs="Arial" w:eastAsia="Arial" w:hAnsi="Arial"/>
                <w:sz w:val="13"/>
                <w:szCs w:val="13"/>
                <w:b w:val="1"/>
                <w:bCs w:val="1"/>
                <w:color w:val="FFFFFF"/>
                <w:w w:val="97"/>
              </w:rPr>
              <w:t>For the Nine Months Ended</w:t>
            </w:r>
          </w:p>
        </w:tc>
        <w:tc>
          <w:tcPr>
            <w:tcW w:w="300" w:type="dxa"/>
            <w:vAlign w:val="bottom"/>
            <w:shd w:val="clear" w:color="auto" w:fill="004483"/>
          </w:tcPr>
          <w:p>
            <w:pPr>
              <w:spacing w:after="0"/>
              <w:rPr>
                <w:sz w:val="12"/>
                <w:szCs w:val="12"/>
                <w:color w:val="auto"/>
              </w:rPr>
            </w:pPr>
          </w:p>
        </w:tc>
        <w:tc>
          <w:tcPr>
            <w:tcW w:w="100" w:type="dxa"/>
            <w:vAlign w:val="bottom"/>
            <w:shd w:val="clear" w:color="auto" w:fill="004483"/>
          </w:tcPr>
          <w:p>
            <w:pPr>
              <w:spacing w:after="0"/>
              <w:rPr>
                <w:sz w:val="12"/>
                <w:szCs w:val="12"/>
                <w:color w:val="auto"/>
              </w:rPr>
            </w:pPr>
          </w:p>
        </w:tc>
        <w:tc>
          <w:tcPr>
            <w:tcW w:w="860" w:type="dxa"/>
            <w:vAlign w:val="bottom"/>
          </w:tcPr>
          <w:p>
            <w:pPr>
              <w:spacing w:after="0"/>
              <w:rPr>
                <w:sz w:val="12"/>
                <w:szCs w:val="12"/>
                <w:color w:val="auto"/>
              </w:rPr>
            </w:pPr>
          </w:p>
        </w:tc>
      </w:tr>
      <w:tr>
        <w:trPr>
          <w:trHeight w:val="168"/>
        </w:trPr>
        <w:tc>
          <w:tcPr>
            <w:tcW w:w="1960" w:type="dxa"/>
            <w:vAlign w:val="bottom"/>
            <w:tcBorders>
              <w:bottom w:val="single" w:sz="8" w:color="auto"/>
            </w:tcBorders>
            <w:shd w:val="clear" w:color="auto" w:fill="004483"/>
          </w:tcPr>
          <w:p>
            <w:pPr>
              <w:ind w:left="720"/>
              <w:spacing w:after="0"/>
              <w:rPr>
                <w:sz w:val="20"/>
                <w:szCs w:val="20"/>
                <w:color w:val="auto"/>
              </w:rPr>
            </w:pPr>
            <w:r>
              <w:rPr>
                <w:rFonts w:ascii="Arial" w:cs="Arial" w:eastAsia="Arial" w:hAnsi="Arial"/>
                <w:sz w:val="13"/>
                <w:szCs w:val="13"/>
                <w:b w:val="1"/>
                <w:bCs w:val="1"/>
                <w:color w:val="FFFFFF"/>
              </w:rPr>
              <w:t>December 31,</w:t>
            </w:r>
          </w:p>
        </w:tc>
        <w:tc>
          <w:tcPr>
            <w:tcW w:w="30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004483"/>
            </w:tcBorders>
            <w:shd w:val="clear" w:color="auto" w:fill="004483"/>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Borders>
              <w:bottom w:val="single" w:sz="8" w:color="auto"/>
            </w:tcBorders>
            <w:shd w:val="clear" w:color="auto" w:fill="004483"/>
          </w:tcPr>
          <w:p>
            <w:pPr>
              <w:jc w:val="center"/>
              <w:ind w:left="217"/>
              <w:spacing w:after="0"/>
              <w:rPr>
                <w:sz w:val="20"/>
                <w:szCs w:val="20"/>
                <w:color w:val="auto"/>
              </w:rPr>
            </w:pPr>
            <w:r>
              <w:rPr>
                <w:rFonts w:ascii="Arial" w:cs="Arial" w:eastAsia="Arial" w:hAnsi="Arial"/>
                <w:sz w:val="13"/>
                <w:szCs w:val="13"/>
                <w:b w:val="1"/>
                <w:bCs w:val="1"/>
                <w:color w:val="FFFFFF"/>
                <w:w w:val="96"/>
              </w:rPr>
              <w:t>December 31,</w:t>
            </w:r>
          </w:p>
        </w:tc>
        <w:tc>
          <w:tcPr>
            <w:tcW w:w="30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860" w:type="dxa"/>
            <w:vAlign w:val="bottom"/>
          </w:tcPr>
          <w:p>
            <w:pPr>
              <w:spacing w:after="0"/>
              <w:rPr>
                <w:sz w:val="14"/>
                <w:szCs w:val="14"/>
                <w:color w:val="auto"/>
              </w:rPr>
            </w:pPr>
          </w:p>
        </w:tc>
      </w:tr>
      <w:tr>
        <w:trPr>
          <w:trHeight w:val="123"/>
        </w:trPr>
        <w:tc>
          <w:tcPr>
            <w:tcW w:w="1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57"/>
              <w:spacing w:after="0" w:line="123" w:lineRule="exact"/>
              <w:rPr>
                <w:sz w:val="20"/>
                <w:szCs w:val="20"/>
                <w:color w:val="auto"/>
              </w:rPr>
            </w:pPr>
            <w:r>
              <w:rPr>
                <w:rFonts w:ascii="Arial" w:cs="Arial" w:eastAsia="Arial" w:hAnsi="Arial"/>
                <w:sz w:val="13"/>
                <w:szCs w:val="13"/>
                <w:b w:val="1"/>
                <w:bCs w:val="1"/>
                <w:color w:val="auto"/>
                <w:w w:val="96"/>
              </w:rPr>
              <w:t>Percentage</w:t>
            </w: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left="117"/>
              <w:spacing w:after="0" w:line="123" w:lineRule="exact"/>
              <w:rPr>
                <w:sz w:val="20"/>
                <w:szCs w:val="20"/>
                <w:color w:val="auto"/>
              </w:rPr>
            </w:pPr>
            <w:r>
              <w:rPr>
                <w:rFonts w:ascii="Arial" w:cs="Arial" w:eastAsia="Arial" w:hAnsi="Arial"/>
                <w:sz w:val="13"/>
                <w:szCs w:val="13"/>
                <w:b w:val="1"/>
                <w:bCs w:val="1"/>
                <w:color w:val="auto"/>
                <w:w w:val="96"/>
              </w:rPr>
              <w:t>Percentage</w:t>
            </w:r>
          </w:p>
        </w:tc>
      </w:tr>
      <w:tr>
        <w:trPr>
          <w:trHeight w:val="168"/>
        </w:trPr>
        <w:tc>
          <w:tcPr>
            <w:tcW w:w="1960" w:type="dxa"/>
            <w:vAlign w:val="bottom"/>
          </w:tcPr>
          <w:p>
            <w:pPr>
              <w:ind w:left="720"/>
              <w:spacing w:after="0"/>
              <w:rPr>
                <w:sz w:val="20"/>
                <w:szCs w:val="20"/>
                <w:color w:val="auto"/>
              </w:rPr>
            </w:pPr>
            <w:r>
              <w:rPr>
                <w:rFonts w:ascii="Arial" w:cs="Arial" w:eastAsia="Arial" w:hAnsi="Arial"/>
                <w:sz w:val="13"/>
                <w:szCs w:val="13"/>
                <w:b w:val="1"/>
                <w:bCs w:val="1"/>
                <w:color w:val="auto"/>
              </w:rPr>
              <w:t>2022</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4"/>
                <w:szCs w:val="14"/>
                <w:color w:val="auto"/>
              </w:rPr>
            </w:pPr>
          </w:p>
        </w:tc>
        <w:tc>
          <w:tcPr>
            <w:tcW w:w="116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Change</w:t>
            </w:r>
          </w:p>
        </w:tc>
        <w:tc>
          <w:tcPr>
            <w:tcW w:w="1900" w:type="dxa"/>
            <w:vAlign w:val="bottom"/>
          </w:tcPr>
          <w:p>
            <w:pPr>
              <w:jc w:val="right"/>
              <w:ind w:right="837"/>
              <w:spacing w:after="0"/>
              <w:rPr>
                <w:sz w:val="20"/>
                <w:szCs w:val="20"/>
                <w:color w:val="auto"/>
              </w:rPr>
            </w:pPr>
            <w:r>
              <w:rPr>
                <w:rFonts w:ascii="Arial" w:cs="Arial" w:eastAsia="Arial" w:hAnsi="Arial"/>
                <w:sz w:val="13"/>
                <w:szCs w:val="13"/>
                <w:b w:val="1"/>
                <w:bCs w:val="1"/>
                <w:color w:val="auto"/>
              </w:rPr>
              <w:t>2022</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Arial" w:cs="Arial" w:eastAsia="Arial" w:hAnsi="Arial"/>
                <w:sz w:val="13"/>
                <w:szCs w:val="13"/>
                <w:b w:val="1"/>
                <w:bCs w:val="1"/>
                <w:color w:val="auto"/>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-194945</wp:posOffset>
            </wp:positionV>
            <wp:extent cx="76835" cy="17405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174053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-194945</wp:posOffset>
            </wp:positionV>
            <wp:extent cx="68580" cy="17405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740535"/>
                    </a:xfrm>
                    <a:prstGeom prst="rect">
                      <a:avLst/>
                    </a:prstGeom>
                    <a:noFill/>
                  </pic:spPr>
                </pic:pic>
              </a:graphicData>
            </a:graphic>
          </wp:anchor>
        </w:drawing>
      </w:r>
    </w:p>
    <w:p>
      <w:pPr>
        <w:sectPr>
          <w:pgSz w:w="11900" w:h="16838" w:orient="portrait"/>
          <w:cols w:equalWidth="0" w:num="1">
            <w:col w:w="11280"/>
          </w:cols>
          <w:pgMar w:left="320" w:top="598" w:right="299" w:bottom="1440" w:gutter="0" w:footer="0" w:header="0"/>
        </w:sectPr>
      </w:pPr>
    </w:p>
    <w:p>
      <w:pPr>
        <w:spacing w:after="0" w:line="7" w:lineRule="exact"/>
        <w:rPr>
          <w:sz w:val="20"/>
          <w:szCs w:val="20"/>
          <w:color w:val="auto"/>
        </w:rPr>
      </w:pPr>
    </w:p>
    <w:p>
      <w:pPr>
        <w:jc w:val="center"/>
        <w:ind w:left="3500"/>
        <w:spacing w:after="0"/>
        <w:rPr>
          <w:sz w:val="20"/>
          <w:szCs w:val="20"/>
          <w:color w:val="auto"/>
        </w:rPr>
      </w:pPr>
      <w:r>
        <w:rPr>
          <w:rFonts w:ascii="Arial" w:cs="Arial" w:eastAsia="Arial" w:hAnsi="Arial"/>
          <w:sz w:val="12"/>
          <w:szCs w:val="12"/>
          <w:color w:val="auto"/>
        </w:rPr>
        <w:t>(in thousands, except per MSF</w:t>
      </w:r>
    </w:p>
    <w:p>
      <w:pPr>
        <w:jc w:val="center"/>
        <w:ind w:left="352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br w:type="column"/>
      </w:r>
    </w:p>
    <w:p>
      <w:pPr>
        <w:jc w:val="center"/>
        <w:ind w:right="1480"/>
        <w:spacing w:after="0"/>
        <w:rPr>
          <w:sz w:val="20"/>
          <w:szCs w:val="20"/>
          <w:color w:val="auto"/>
        </w:rPr>
      </w:pPr>
      <w:r>
        <w:rPr>
          <w:rFonts w:ascii="Arial" w:cs="Arial" w:eastAsia="Arial" w:hAnsi="Arial"/>
          <w:sz w:val="12"/>
          <w:szCs w:val="12"/>
          <w:color w:val="auto"/>
        </w:rPr>
        <w:t>(in thousands, except per MSF</w:t>
      </w:r>
    </w:p>
    <w:p>
      <w:pPr>
        <w:jc w:val="center"/>
        <w:ind w:right="1440"/>
        <w:spacing w:after="0"/>
        <w:rPr>
          <w:sz w:val="20"/>
          <w:szCs w:val="20"/>
          <w:color w:val="auto"/>
        </w:rPr>
      </w:pPr>
      <w:r>
        <w:rPr>
          <w:rFonts w:ascii="Arial" w:cs="Arial" w:eastAsia="Arial" w:hAnsi="Arial"/>
          <w:sz w:val="13"/>
          <w:szCs w:val="13"/>
          <w:color w:val="auto"/>
        </w:rPr>
        <w:t>information)</w:t>
      </w:r>
    </w:p>
    <w:p>
      <w:pPr>
        <w:spacing w:after="0" w:line="22" w:lineRule="exact"/>
        <w:rPr>
          <w:sz w:val="20"/>
          <w:szCs w:val="20"/>
          <w:color w:val="auto"/>
        </w:rPr>
      </w:pPr>
    </w:p>
    <w:p>
      <w:pPr>
        <w:sectPr>
          <w:pgSz w:w="11900" w:h="16838" w:orient="portrait"/>
          <w:cols w:equalWidth="0" w:num="2">
            <w:col w:w="7360" w:space="720"/>
            <w:col w:w="3200"/>
          </w:cols>
          <w:pgMar w:left="320" w:top="598" w:right="299" w:bottom="1440" w:gutter="0" w:footer="0" w:header="0"/>
          <w:type w:val="continuous"/>
        </w:sectPr>
      </w:pPr>
    </w:p>
    <w:tbl>
      <w:tblPr>
        <w:tblLayout w:type="fixed"/>
        <w:tblInd w:w="0" w:type="dxa"/>
        <w:tblCellMar>
          <w:top w:w="0" w:type="dxa"/>
          <w:left w:w="0" w:type="dxa"/>
          <w:bottom w:w="0" w:type="dxa"/>
          <w:right w:w="0" w:type="dxa"/>
        </w:tblCellMar>
      </w:tblPr>
      <w:tr>
        <w:trPr>
          <w:trHeight w:val="23"/>
        </w:trPr>
        <w:tc>
          <w:tcPr>
            <w:tcW w:w="4320" w:type="dxa"/>
            <w:vAlign w:val="bottom"/>
            <w:shd w:val="clear" w:color="auto" w:fill="17385E"/>
          </w:tcPr>
          <w:p>
            <w:pPr>
              <w:spacing w:after="0"/>
              <w:rPr>
                <w:sz w:val="2"/>
                <w:szCs w:val="2"/>
                <w:color w:val="auto"/>
              </w:rPr>
            </w:pPr>
          </w:p>
        </w:tc>
        <w:tc>
          <w:tcPr>
            <w:tcW w:w="260" w:type="dxa"/>
            <w:vAlign w:val="bottom"/>
            <w:shd w:val="clear" w:color="auto" w:fill="17385E"/>
          </w:tcPr>
          <w:p>
            <w:pPr>
              <w:spacing w:after="0"/>
              <w:rPr>
                <w:sz w:val="2"/>
                <w:szCs w:val="2"/>
                <w:color w:val="auto"/>
              </w:rPr>
            </w:pPr>
          </w:p>
        </w:tc>
        <w:tc>
          <w:tcPr>
            <w:tcW w:w="760" w:type="dxa"/>
            <w:vAlign w:val="bottom"/>
            <w:shd w:val="clear" w:color="auto" w:fill="17385E"/>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260" w:type="dxa"/>
            <w:vAlign w:val="bottom"/>
            <w:shd w:val="clear" w:color="auto" w:fill="17385E"/>
          </w:tcPr>
          <w:p>
            <w:pPr>
              <w:spacing w:after="0"/>
              <w:rPr>
                <w:sz w:val="2"/>
                <w:szCs w:val="2"/>
                <w:color w:val="auto"/>
              </w:rPr>
            </w:pPr>
          </w:p>
        </w:tc>
        <w:tc>
          <w:tcPr>
            <w:tcW w:w="740" w:type="dxa"/>
            <w:vAlign w:val="bottom"/>
            <w:shd w:val="clear" w:color="auto" w:fill="17385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17385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17385E"/>
          </w:tcPr>
          <w:p>
            <w:pPr>
              <w:spacing w:after="0"/>
              <w:rPr>
                <w:sz w:val="2"/>
                <w:szCs w:val="2"/>
                <w:color w:val="auto"/>
              </w:rPr>
            </w:pPr>
          </w:p>
        </w:tc>
        <w:tc>
          <w:tcPr>
            <w:tcW w:w="220" w:type="dxa"/>
            <w:vAlign w:val="bottom"/>
            <w:shd w:val="clear" w:color="auto" w:fill="17385E"/>
          </w:tcPr>
          <w:p>
            <w:pPr>
              <w:spacing w:after="0"/>
              <w:rPr>
                <w:sz w:val="2"/>
                <w:szCs w:val="2"/>
                <w:color w:val="auto"/>
              </w:rPr>
            </w:pPr>
          </w:p>
        </w:tc>
        <w:tc>
          <w:tcPr>
            <w:tcW w:w="780" w:type="dxa"/>
            <w:vAlign w:val="bottom"/>
            <w:shd w:val="clear" w:color="auto" w:fill="17385E"/>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100" w:type="dxa"/>
            <w:vAlign w:val="bottom"/>
            <w:shd w:val="clear" w:color="auto" w:fill="17385E"/>
          </w:tcPr>
          <w:p>
            <w:pPr>
              <w:spacing w:after="0"/>
              <w:rPr>
                <w:sz w:val="2"/>
                <w:szCs w:val="2"/>
                <w:color w:val="auto"/>
              </w:rPr>
            </w:pPr>
          </w:p>
        </w:tc>
        <w:tc>
          <w:tcPr>
            <w:tcW w:w="240" w:type="dxa"/>
            <w:vAlign w:val="bottom"/>
            <w:shd w:val="clear" w:color="auto" w:fill="17385E"/>
          </w:tcPr>
          <w:p>
            <w:pPr>
              <w:spacing w:after="0"/>
              <w:rPr>
                <w:sz w:val="2"/>
                <w:szCs w:val="2"/>
                <w:color w:val="auto"/>
              </w:rPr>
            </w:pPr>
          </w:p>
        </w:tc>
        <w:tc>
          <w:tcPr>
            <w:tcW w:w="740" w:type="dxa"/>
            <w:vAlign w:val="bottom"/>
            <w:shd w:val="clear" w:color="auto" w:fill="17385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17385E"/>
          </w:tcPr>
          <w:p>
            <w:pPr>
              <w:spacing w:after="0"/>
              <w:rPr>
                <w:sz w:val="2"/>
                <w:szCs w:val="2"/>
                <w:color w:val="auto"/>
              </w:rPr>
            </w:pPr>
          </w:p>
        </w:tc>
        <w:tc>
          <w:tcPr>
            <w:tcW w:w="140" w:type="dxa"/>
            <w:vAlign w:val="bottom"/>
          </w:tcPr>
          <w:p>
            <w:pPr>
              <w:spacing w:after="0"/>
              <w:rPr>
                <w:sz w:val="2"/>
                <w:szCs w:val="2"/>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212,016</w:t>
            </w:r>
          </w:p>
        </w:tc>
        <w:tc>
          <w:tcPr>
            <w:tcW w:w="120" w:type="dxa"/>
            <w:vAlign w:val="bottom"/>
          </w:tcPr>
          <w:p>
            <w:pPr>
              <w:spacing w:after="0"/>
              <w:rPr>
                <w:sz w:val="18"/>
                <w:szCs w:val="18"/>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163,584</w:t>
            </w:r>
          </w:p>
        </w:tc>
        <w:tc>
          <w:tcPr>
            <w:tcW w:w="12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6"/>
                <w:szCs w:val="16"/>
                <w:color w:val="auto"/>
              </w:rPr>
              <w:t>30 % $</w:t>
            </w:r>
          </w:p>
        </w:tc>
        <w:tc>
          <w:tcPr>
            <w:tcW w:w="780" w:type="dxa"/>
            <w:vAlign w:val="bottom"/>
          </w:tcPr>
          <w:p>
            <w:pPr>
              <w:jc w:val="right"/>
              <w:spacing w:after="0"/>
              <w:rPr>
                <w:sz w:val="20"/>
                <w:szCs w:val="20"/>
                <w:color w:val="auto"/>
              </w:rPr>
            </w:pPr>
            <w:r>
              <w:rPr>
                <w:rFonts w:ascii="Arial" w:cs="Arial" w:eastAsia="Arial" w:hAnsi="Arial"/>
                <w:sz w:val="16"/>
                <w:szCs w:val="16"/>
                <w:color w:val="auto"/>
              </w:rPr>
              <w:t>652,981</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502,836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30 %</w:t>
            </w:r>
          </w:p>
        </w:tc>
      </w:tr>
      <w:tr>
        <w:trPr>
          <w:trHeight w:val="20"/>
        </w:trPr>
        <w:tc>
          <w:tcPr>
            <w:tcW w:w="43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0"/>
        </w:trPr>
        <w:tc>
          <w:tcPr>
            <w:tcW w:w="432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(38,238 )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(30,642 )</w:t>
            </w: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25 %</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(121,778 )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(94,427 )</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29 %</w:t>
            </w:r>
          </w:p>
        </w:tc>
      </w:tr>
      <w:tr>
        <w:trPr>
          <w:trHeight w:val="20"/>
        </w:trPr>
        <w:tc>
          <w:tcPr>
            <w:tcW w:w="432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7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78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4320" w:type="dxa"/>
            <w:vAlign w:val="bottom"/>
          </w:tcPr>
          <w:p>
            <w:pPr>
              <w:ind w:left="20"/>
              <w:spacing w:after="0"/>
              <w:rPr>
                <w:sz w:val="20"/>
                <w:szCs w:val="20"/>
                <w:color w:val="auto"/>
              </w:rPr>
            </w:pPr>
            <w:r>
              <w:rPr>
                <w:rFonts w:ascii="Arial" w:cs="Arial" w:eastAsia="Arial" w:hAnsi="Arial"/>
                <w:sz w:val="16"/>
                <w:szCs w:val="16"/>
                <w:color w:val="004483"/>
              </w:rPr>
              <w:t>Net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173,778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132,942</w:t>
            </w:r>
          </w:p>
        </w:tc>
        <w:tc>
          <w:tcPr>
            <w:tcW w:w="120" w:type="dxa"/>
            <w:vAlign w:val="bottom"/>
          </w:tcPr>
          <w:p>
            <w:pPr>
              <w:spacing w:after="0"/>
              <w:rPr>
                <w:sz w:val="17"/>
                <w:szCs w:val="17"/>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6"/>
                <w:szCs w:val="16"/>
                <w:color w:val="auto"/>
              </w:rPr>
              <w:t>31 % $</w:t>
            </w:r>
          </w:p>
        </w:tc>
        <w:tc>
          <w:tcPr>
            <w:tcW w:w="780" w:type="dxa"/>
            <w:vAlign w:val="bottom"/>
          </w:tcPr>
          <w:p>
            <w:pPr>
              <w:jc w:val="right"/>
              <w:spacing w:after="0"/>
              <w:rPr>
                <w:sz w:val="20"/>
                <w:szCs w:val="20"/>
                <w:color w:val="auto"/>
              </w:rPr>
            </w:pPr>
            <w:r>
              <w:rPr>
                <w:rFonts w:ascii="Arial" w:cs="Arial" w:eastAsia="Arial" w:hAnsi="Arial"/>
                <w:sz w:val="16"/>
                <w:szCs w:val="16"/>
                <w:color w:val="auto"/>
              </w:rPr>
              <w:t>531,203</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408,409</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30 %</w:t>
            </w:r>
          </w:p>
        </w:tc>
      </w:tr>
      <w:tr>
        <w:trPr>
          <w:trHeight w:val="213"/>
        </w:trPr>
        <w:tc>
          <w:tcPr>
            <w:tcW w:w="43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4320" w:type="dxa"/>
            <w:vAlign w:val="bottom"/>
          </w:tcPr>
          <w:p>
            <w:pPr>
              <w:ind w:left="20"/>
              <w:spacing w:after="0"/>
              <w:rPr>
                <w:sz w:val="20"/>
                <w:szCs w:val="20"/>
                <w:color w:val="auto"/>
              </w:rPr>
            </w:pPr>
            <w:r>
              <w:rPr>
                <w:rFonts w:ascii="Arial" w:cs="Arial" w:eastAsia="Arial" w:hAnsi="Arial"/>
                <w:sz w:val="16"/>
                <w:szCs w:val="16"/>
                <w:color w:val="004483"/>
              </w:rPr>
              <w:t>Sales Volume (MMSF)</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5 %</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2,194</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20"/>
        </w:trPr>
        <w:tc>
          <w:tcPr>
            <w:tcW w:w="43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3"/>
        </w:trPr>
        <w:tc>
          <w:tcPr>
            <w:tcW w:w="4320" w:type="dxa"/>
            <w:vAlign w:val="bottom"/>
          </w:tcPr>
          <w:p>
            <w:pPr>
              <w:ind w:left="20"/>
              <w:spacing w:after="0" w:line="213" w:lineRule="exact"/>
              <w:rPr>
                <w:sz w:val="20"/>
                <w:szCs w:val="20"/>
                <w:color w:val="auto"/>
              </w:rPr>
            </w:pPr>
            <w:r>
              <w:rPr>
                <w:rFonts w:ascii="Arial" w:cs="Arial" w:eastAsia="Arial" w:hAnsi="Arial"/>
                <w:sz w:val="16"/>
                <w:szCs w:val="16"/>
                <w:color w:val="004483"/>
              </w:rPr>
              <w:t xml:space="preserve">Average Net Sales Price, per MSF </w:t>
            </w:r>
            <w:r>
              <w:rPr>
                <w:rFonts w:ascii="Arial" w:cs="Arial" w:eastAsia="Arial" w:hAnsi="Arial"/>
                <w:sz w:val="21"/>
                <w:szCs w:val="21"/>
                <w:color w:val="004483"/>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238.51</w:t>
            </w:r>
          </w:p>
        </w:tc>
        <w:tc>
          <w:tcPr>
            <w:tcW w:w="120" w:type="dxa"/>
            <w:vAlign w:val="bottom"/>
          </w:tcPr>
          <w:p>
            <w:pPr>
              <w:spacing w:after="0"/>
              <w:rPr>
                <w:sz w:val="18"/>
                <w:szCs w:val="18"/>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191.41</w:t>
            </w:r>
          </w:p>
        </w:tc>
        <w:tc>
          <w:tcPr>
            <w:tcW w:w="12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6"/>
                <w:szCs w:val="16"/>
                <w:color w:val="auto"/>
              </w:rPr>
              <w:t>25 % $</w:t>
            </w:r>
          </w:p>
        </w:tc>
        <w:tc>
          <w:tcPr>
            <w:tcW w:w="780" w:type="dxa"/>
            <w:vAlign w:val="bottom"/>
          </w:tcPr>
          <w:p>
            <w:pPr>
              <w:jc w:val="right"/>
              <w:spacing w:after="0"/>
              <w:rPr>
                <w:sz w:val="20"/>
                <w:szCs w:val="20"/>
                <w:color w:val="auto"/>
              </w:rPr>
            </w:pPr>
            <w:r>
              <w:rPr>
                <w:rFonts w:ascii="Arial" w:cs="Arial" w:eastAsia="Arial" w:hAnsi="Arial"/>
                <w:sz w:val="16"/>
                <w:szCs w:val="16"/>
                <w:color w:val="auto"/>
              </w:rPr>
              <w:t>230.01</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186.16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24 %</w:t>
            </w:r>
          </w:p>
        </w:tc>
      </w:tr>
      <w:tr>
        <w:trPr>
          <w:trHeight w:val="20"/>
        </w:trPr>
        <w:tc>
          <w:tcPr>
            <w:tcW w:w="43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4320" w:type="dxa"/>
            <w:vAlign w:val="bottom"/>
          </w:tcPr>
          <w:p>
            <w:pPr>
              <w:ind w:left="20"/>
              <w:spacing w:after="0"/>
              <w:rPr>
                <w:sz w:val="20"/>
                <w:szCs w:val="20"/>
                <w:color w:val="auto"/>
              </w:rPr>
            </w:pPr>
            <w:r>
              <w:rPr>
                <w:rFonts w:ascii="Arial" w:cs="Arial" w:eastAsia="Arial" w:hAnsi="Arial"/>
                <w:sz w:val="16"/>
                <w:szCs w:val="16"/>
                <w:color w:val="004483"/>
              </w:rPr>
              <w:t>Freight, per MSF</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52.52</w:t>
            </w:r>
          </w:p>
        </w:tc>
        <w:tc>
          <w:tcPr>
            <w:tcW w:w="120" w:type="dxa"/>
            <w:vAlign w:val="bottom"/>
          </w:tcPr>
          <w:p>
            <w:pPr>
              <w:spacing w:after="0"/>
              <w:rPr>
                <w:sz w:val="17"/>
                <w:szCs w:val="17"/>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44.09</w:t>
            </w:r>
          </w:p>
        </w:tc>
        <w:tc>
          <w:tcPr>
            <w:tcW w:w="120" w:type="dxa"/>
            <w:vAlign w:val="bottom"/>
          </w:tcPr>
          <w:p>
            <w:pPr>
              <w:spacing w:after="0"/>
              <w:rPr>
                <w:sz w:val="17"/>
                <w:szCs w:val="17"/>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6"/>
                <w:szCs w:val="16"/>
                <w:color w:val="auto"/>
              </w:rPr>
              <w:t>19 % $</w:t>
            </w:r>
          </w:p>
        </w:tc>
        <w:tc>
          <w:tcPr>
            <w:tcW w:w="780" w:type="dxa"/>
            <w:vAlign w:val="bottom"/>
          </w:tcPr>
          <w:p>
            <w:pPr>
              <w:jc w:val="right"/>
              <w:spacing w:after="0"/>
              <w:rPr>
                <w:sz w:val="20"/>
                <w:szCs w:val="20"/>
                <w:color w:val="auto"/>
              </w:rPr>
            </w:pPr>
            <w:r>
              <w:rPr>
                <w:rFonts w:ascii="Arial" w:cs="Arial" w:eastAsia="Arial" w:hAnsi="Arial"/>
                <w:sz w:val="16"/>
                <w:szCs w:val="16"/>
                <w:color w:val="auto"/>
              </w:rPr>
              <w:t>52.74</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43.04</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23 %</w:t>
            </w:r>
          </w:p>
        </w:tc>
      </w:tr>
      <w:tr>
        <w:trPr>
          <w:trHeight w:val="20"/>
        </w:trPr>
        <w:tc>
          <w:tcPr>
            <w:tcW w:w="43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6"/>
                <w:szCs w:val="16"/>
                <w:color w:val="004483"/>
              </w:rPr>
              <w:t>Operating Margin, per MSF</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119.97</w:t>
            </w:r>
          </w:p>
        </w:tc>
        <w:tc>
          <w:tcPr>
            <w:tcW w:w="120" w:type="dxa"/>
            <w:vAlign w:val="bottom"/>
          </w:tcPr>
          <w:p>
            <w:pPr>
              <w:spacing w:after="0"/>
              <w:rPr>
                <w:sz w:val="18"/>
                <w:szCs w:val="18"/>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87.54</w:t>
            </w:r>
          </w:p>
        </w:tc>
        <w:tc>
          <w:tcPr>
            <w:tcW w:w="12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6"/>
                <w:szCs w:val="16"/>
                <w:color w:val="auto"/>
              </w:rPr>
              <w:t>37 % $</w:t>
            </w:r>
          </w:p>
        </w:tc>
        <w:tc>
          <w:tcPr>
            <w:tcW w:w="780" w:type="dxa"/>
            <w:vAlign w:val="bottom"/>
          </w:tcPr>
          <w:p>
            <w:pPr>
              <w:jc w:val="right"/>
              <w:spacing w:after="0"/>
              <w:rPr>
                <w:sz w:val="20"/>
                <w:szCs w:val="20"/>
                <w:color w:val="auto"/>
              </w:rPr>
            </w:pPr>
            <w:r>
              <w:rPr>
                <w:rFonts w:ascii="Arial" w:cs="Arial" w:eastAsia="Arial" w:hAnsi="Arial"/>
                <w:sz w:val="16"/>
                <w:szCs w:val="16"/>
                <w:color w:val="auto"/>
              </w:rPr>
              <w:t>113.11</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86.79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30 %</w:t>
            </w:r>
          </w:p>
        </w:tc>
      </w:tr>
      <w:tr>
        <w:trPr>
          <w:trHeight w:val="20"/>
        </w:trPr>
        <w:tc>
          <w:tcPr>
            <w:tcW w:w="43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87,335</w:t>
            </w:r>
          </w:p>
        </w:tc>
        <w:tc>
          <w:tcPr>
            <w:tcW w:w="120" w:type="dxa"/>
            <w:vAlign w:val="bottom"/>
          </w:tcPr>
          <w:p>
            <w:pPr>
              <w:spacing w:after="0"/>
              <w:rPr>
                <w:sz w:val="18"/>
                <w:szCs w:val="18"/>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60,841</w:t>
            </w:r>
          </w:p>
        </w:tc>
        <w:tc>
          <w:tcPr>
            <w:tcW w:w="12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6"/>
                <w:szCs w:val="16"/>
                <w:color w:val="auto"/>
              </w:rPr>
              <w:t>44 % $</w:t>
            </w:r>
          </w:p>
        </w:tc>
        <w:tc>
          <w:tcPr>
            <w:tcW w:w="780" w:type="dxa"/>
            <w:vAlign w:val="bottom"/>
          </w:tcPr>
          <w:p>
            <w:pPr>
              <w:jc w:val="right"/>
              <w:spacing w:after="0"/>
              <w:rPr>
                <w:sz w:val="20"/>
                <w:szCs w:val="20"/>
                <w:color w:val="auto"/>
              </w:rPr>
            </w:pPr>
            <w:r>
              <w:rPr>
                <w:rFonts w:ascii="Arial" w:cs="Arial" w:eastAsia="Arial" w:hAnsi="Arial"/>
                <w:sz w:val="16"/>
                <w:szCs w:val="16"/>
                <w:color w:val="auto"/>
              </w:rPr>
              <w:t>261,164</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190,425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37 %</w:t>
            </w:r>
          </w:p>
        </w:tc>
      </w:tr>
      <w:tr>
        <w:trPr>
          <w:trHeight w:val="20"/>
        </w:trPr>
        <w:tc>
          <w:tcPr>
            <w:tcW w:w="43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MSF.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2022</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Gypsum Wallboard Revenue was up 30% to $212.0 million for the three months ended December 31, 2022. The increase was due to higher gross sales prices and Sales Volume, which contributed approximately $ 40.7 million and $7.7 million, respectively. Our market share remained relatively consistent during the three months ended December 31, 2022.</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Operating Earnings increased 44% to $87.3 million, primarily because of higher gross sales prices and Sales Volume of approximately $40.7 million and $2.9 million, respectively. This was partially offset by higher operating costs of approximately $17.1 million. The higher operating costs were primarily related to freight, energy, and raw materials, which reduced Operating Earnings by approximately $6.3 million, $1.3 million, and $5.6 million, respectively. Operating Margin increased to 41%, primarily because of higher gross sales prices, partly offset by higher operating costs. Fixed costs are not a significant portion of the overall cost of wallboard; therefore, changes in utilization have a relatively minor impact on our operating cost per unit.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2022</w:t>
      </w:r>
    </w:p>
    <w:p>
      <w:pPr>
        <w:spacing w:after="0" w:line="126"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Gypsum Wallboard Revenue increased 30% to $653.0 million for the nine months ended December 31, 2022. The increase was due to higher gross sales prices and Sales Volume, which contributed approximately $123.8 million and $26.4 million, respectively. Our market share remained relatively consistent during the nine months ended December 31, 2022.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Operating Earnings increased 37% to $261.2 million, primarily because of higher gross sales prices and Sales Volume of approximately</w:t>
      </w:r>
    </w:p>
    <w:p>
      <w:pPr>
        <w:ind w:right="300"/>
        <w:spacing w:after="0" w:line="238" w:lineRule="auto"/>
        <w:rPr>
          <w:sz w:val="20"/>
          <w:szCs w:val="20"/>
          <w:color w:val="auto"/>
        </w:rPr>
      </w:pPr>
      <w:r>
        <w:rPr>
          <w:rFonts w:ascii="Arial" w:cs="Arial" w:eastAsia="Arial" w:hAnsi="Arial"/>
          <w:sz w:val="18"/>
          <w:szCs w:val="18"/>
          <w:color w:val="auto"/>
        </w:rPr>
        <w:t>$123.8 million and $10.0 million, respectively. This was partially offset by higher operating costs of approximately $63.0 million. The higher operating costs were primarily related to freight, energy, and raw materials, which reduced Operating Earnings by approximately $ 22.9 million, $10.9 million, and $22.3 million, respectively. Operating Margin increased to 40%, primarily because of higher gross sales prices, partly offset by higher operating costs.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98" w:right="2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RECYCLED PAPERBOARD</w:t>
      </w:r>
    </w:p>
    <w:tbl>
      <w:tblPr>
        <w:tblLayout w:type="fixed"/>
        <w:tblInd w:w="4240" w:type="dxa"/>
        <w:tblCellMar>
          <w:top w:w="0" w:type="dxa"/>
          <w:left w:w="0" w:type="dxa"/>
          <w:bottom w:w="0" w:type="dxa"/>
          <w:right w:w="0" w:type="dxa"/>
        </w:tblCellMar>
      </w:tblPr>
      <w:tr>
        <w:trPr>
          <w:trHeight w:val="145"/>
        </w:trPr>
        <w:tc>
          <w:tcPr>
            <w:tcW w:w="2360" w:type="dxa"/>
            <w:vAlign w:val="bottom"/>
            <w:gridSpan w:val="3"/>
            <w:shd w:val="clear" w:color="auto" w:fill="004483"/>
          </w:tcPr>
          <w:p>
            <w:pPr>
              <w:ind w:left="260"/>
              <w:spacing w:after="0" w:line="145" w:lineRule="exact"/>
              <w:rPr>
                <w:sz w:val="20"/>
                <w:szCs w:val="20"/>
                <w:color w:val="auto"/>
              </w:rPr>
            </w:pPr>
            <w:r>
              <w:rPr>
                <w:rFonts w:ascii="Arial" w:cs="Arial" w:eastAsia="Arial" w:hAnsi="Arial"/>
                <w:sz w:val="13"/>
                <w:szCs w:val="13"/>
                <w:b w:val="1"/>
                <w:bCs w:val="1"/>
                <w:color w:val="FFFFFF"/>
              </w:rPr>
              <w:t>For the Three Months Ended</w:t>
            </w:r>
          </w:p>
        </w:tc>
        <w:tc>
          <w:tcPr>
            <w:tcW w:w="1200" w:type="dxa"/>
            <w:vAlign w:val="bottom"/>
          </w:tcPr>
          <w:p>
            <w:pPr>
              <w:spacing w:after="0"/>
              <w:rPr>
                <w:sz w:val="12"/>
                <w:szCs w:val="12"/>
                <w:color w:val="auto"/>
              </w:rPr>
            </w:pPr>
          </w:p>
        </w:tc>
        <w:tc>
          <w:tcPr>
            <w:tcW w:w="2260" w:type="dxa"/>
            <w:vAlign w:val="bottom"/>
            <w:gridSpan w:val="3"/>
            <w:shd w:val="clear" w:color="auto" w:fill="004483"/>
          </w:tcPr>
          <w:p>
            <w:pPr>
              <w:jc w:val="center"/>
              <w:ind w:right="140"/>
              <w:spacing w:after="0" w:line="145" w:lineRule="exact"/>
              <w:rPr>
                <w:sz w:val="20"/>
                <w:szCs w:val="20"/>
                <w:color w:val="auto"/>
              </w:rPr>
            </w:pPr>
            <w:r>
              <w:rPr>
                <w:rFonts w:ascii="Arial" w:cs="Arial" w:eastAsia="Arial" w:hAnsi="Arial"/>
                <w:sz w:val="13"/>
                <w:szCs w:val="13"/>
                <w:b w:val="1"/>
                <w:bCs w:val="1"/>
                <w:color w:val="FFFFFF"/>
                <w:w w:val="97"/>
              </w:rPr>
              <w:t>For the Nine Months Ended</w:t>
            </w:r>
          </w:p>
        </w:tc>
        <w:tc>
          <w:tcPr>
            <w:tcW w:w="920" w:type="dxa"/>
            <w:vAlign w:val="bottom"/>
          </w:tcPr>
          <w:p>
            <w:pPr>
              <w:spacing w:after="0"/>
              <w:rPr>
                <w:sz w:val="12"/>
                <w:szCs w:val="12"/>
                <w:color w:val="auto"/>
              </w:rPr>
            </w:pPr>
          </w:p>
        </w:tc>
      </w:tr>
      <w:tr>
        <w:trPr>
          <w:trHeight w:val="168"/>
        </w:trPr>
        <w:tc>
          <w:tcPr>
            <w:tcW w:w="1740" w:type="dxa"/>
            <w:vAlign w:val="bottom"/>
            <w:tcBorders>
              <w:bottom w:val="single" w:sz="8" w:color="auto"/>
            </w:tcBorders>
            <w:shd w:val="clear" w:color="auto" w:fill="004483"/>
          </w:tcPr>
          <w:p>
            <w:pPr>
              <w:ind w:left="720"/>
              <w:spacing w:after="0"/>
              <w:rPr>
                <w:sz w:val="20"/>
                <w:szCs w:val="20"/>
                <w:color w:val="auto"/>
              </w:rPr>
            </w:pPr>
            <w:r>
              <w:rPr>
                <w:rFonts w:ascii="Arial" w:cs="Arial" w:eastAsia="Arial" w:hAnsi="Arial"/>
                <w:sz w:val="13"/>
                <w:szCs w:val="13"/>
                <w:b w:val="1"/>
                <w:bCs w:val="1"/>
                <w:color w:val="FFFFFF"/>
              </w:rPr>
              <w:t>December 31,</w:t>
            </w:r>
          </w:p>
        </w:tc>
        <w:tc>
          <w:tcPr>
            <w:tcW w:w="50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004483"/>
            </w:tcBorders>
            <w:shd w:val="clear" w:color="auto" w:fill="004483"/>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Borders>
              <w:bottom w:val="single" w:sz="8" w:color="auto"/>
            </w:tcBorders>
            <w:shd w:val="clear" w:color="auto" w:fill="004483"/>
          </w:tcPr>
          <w:p>
            <w:pPr>
              <w:jc w:val="center"/>
              <w:ind w:left="397"/>
              <w:spacing w:after="0"/>
              <w:rPr>
                <w:sz w:val="20"/>
                <w:szCs w:val="20"/>
                <w:color w:val="auto"/>
              </w:rPr>
            </w:pPr>
            <w:r>
              <w:rPr>
                <w:rFonts w:ascii="Arial" w:cs="Arial" w:eastAsia="Arial" w:hAnsi="Arial"/>
                <w:sz w:val="13"/>
                <w:szCs w:val="13"/>
                <w:b w:val="1"/>
                <w:bCs w:val="1"/>
                <w:color w:val="FFFFFF"/>
                <w:w w:val="96"/>
              </w:rPr>
              <w:t>December 31,</w:t>
            </w:r>
          </w:p>
        </w:tc>
        <w:tc>
          <w:tcPr>
            <w:tcW w:w="48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920" w:type="dxa"/>
            <w:vAlign w:val="bottom"/>
          </w:tcPr>
          <w:p>
            <w:pPr>
              <w:spacing w:after="0"/>
              <w:rPr>
                <w:sz w:val="14"/>
                <w:szCs w:val="14"/>
                <w:color w:val="auto"/>
              </w:rPr>
            </w:pPr>
          </w:p>
        </w:tc>
      </w:tr>
      <w:tr>
        <w:trPr>
          <w:trHeight w:val="123"/>
        </w:trPr>
        <w:tc>
          <w:tcPr>
            <w:tcW w:w="1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ind w:right="97"/>
              <w:spacing w:after="0" w:line="123" w:lineRule="exact"/>
              <w:rPr>
                <w:sz w:val="20"/>
                <w:szCs w:val="20"/>
                <w:color w:val="auto"/>
              </w:rPr>
            </w:pPr>
            <w:r>
              <w:rPr>
                <w:rFonts w:ascii="Arial" w:cs="Arial" w:eastAsia="Arial" w:hAnsi="Arial"/>
                <w:sz w:val="13"/>
                <w:szCs w:val="13"/>
                <w:b w:val="1"/>
                <w:bCs w:val="1"/>
                <w:color w:val="auto"/>
                <w:w w:val="96"/>
              </w:rPr>
              <w:t>Percentage</w:t>
            </w:r>
          </w:p>
        </w:tc>
        <w:tc>
          <w:tcPr>
            <w:tcW w:w="1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177"/>
              <w:spacing w:after="0" w:line="123" w:lineRule="exact"/>
              <w:rPr>
                <w:sz w:val="20"/>
                <w:szCs w:val="20"/>
                <w:color w:val="auto"/>
              </w:rPr>
            </w:pPr>
            <w:r>
              <w:rPr>
                <w:rFonts w:ascii="Arial" w:cs="Arial" w:eastAsia="Arial" w:hAnsi="Arial"/>
                <w:sz w:val="13"/>
                <w:szCs w:val="13"/>
                <w:b w:val="1"/>
                <w:bCs w:val="1"/>
                <w:color w:val="auto"/>
                <w:w w:val="96"/>
              </w:rPr>
              <w:t>Percentage</w:t>
            </w:r>
          </w:p>
        </w:tc>
      </w:tr>
      <w:tr>
        <w:trPr>
          <w:trHeight w:val="168"/>
        </w:trPr>
        <w:tc>
          <w:tcPr>
            <w:tcW w:w="1740" w:type="dxa"/>
            <w:vAlign w:val="bottom"/>
          </w:tcPr>
          <w:p>
            <w:pPr>
              <w:ind w:left="720"/>
              <w:spacing w:after="0"/>
              <w:rPr>
                <w:sz w:val="20"/>
                <w:szCs w:val="20"/>
                <w:color w:val="auto"/>
              </w:rPr>
            </w:pPr>
            <w:r>
              <w:rPr>
                <w:rFonts w:ascii="Arial" w:cs="Arial" w:eastAsia="Arial" w:hAnsi="Arial"/>
                <w:sz w:val="13"/>
                <w:szCs w:val="13"/>
                <w:b w:val="1"/>
                <w:bCs w:val="1"/>
                <w:color w:val="auto"/>
              </w:rPr>
              <w:t>2022</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20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Change</w:t>
            </w:r>
          </w:p>
        </w:tc>
        <w:tc>
          <w:tcPr>
            <w:tcW w:w="1680" w:type="dxa"/>
            <w:vAlign w:val="bottom"/>
          </w:tcPr>
          <w:p>
            <w:pPr>
              <w:jc w:val="right"/>
              <w:ind w:right="657"/>
              <w:spacing w:after="0"/>
              <w:rPr>
                <w:sz w:val="20"/>
                <w:szCs w:val="20"/>
                <w:color w:val="auto"/>
              </w:rPr>
            </w:pPr>
            <w:r>
              <w:rPr>
                <w:rFonts w:ascii="Arial" w:cs="Arial" w:eastAsia="Arial" w:hAnsi="Arial"/>
                <w:sz w:val="13"/>
                <w:szCs w:val="13"/>
                <w:b w:val="1"/>
                <w:bCs w:val="1"/>
                <w:color w:val="auto"/>
              </w:rPr>
              <w:t>2022</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920" w:type="dxa"/>
            <w:vAlign w:val="bottom"/>
          </w:tcPr>
          <w:p>
            <w:pPr>
              <w:jc w:val="center"/>
              <w:ind w:left="197"/>
              <w:spacing w:after="0"/>
              <w:rPr>
                <w:sz w:val="20"/>
                <w:szCs w:val="20"/>
                <w:color w:val="auto"/>
              </w:rPr>
            </w:pPr>
            <w:r>
              <w:rPr>
                <w:rFonts w:ascii="Arial" w:cs="Arial" w:eastAsia="Arial" w:hAnsi="Arial"/>
                <w:sz w:val="13"/>
                <w:szCs w:val="13"/>
                <w:b w:val="1"/>
                <w:bCs w:val="1"/>
                <w:color w:val="auto"/>
                <w:w w:val="96"/>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-194945</wp:posOffset>
            </wp:positionV>
            <wp:extent cx="68580" cy="2048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204851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-194945</wp:posOffset>
            </wp:positionV>
            <wp:extent cx="68580" cy="2048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2048510"/>
                    </a:xfrm>
                    <a:prstGeom prst="rect">
                      <a:avLst/>
                    </a:prstGeom>
                    <a:noFill/>
                  </pic:spPr>
                </pic:pic>
              </a:graphicData>
            </a:graphic>
          </wp:anchor>
        </w:drawing>
      </w:r>
    </w:p>
    <w:p>
      <w:pPr>
        <w:sectPr>
          <w:pgSz w:w="11900" w:h="16838" w:orient="portrait"/>
          <w:cols w:equalWidth="0" w:num="1">
            <w:col w:w="11340"/>
          </w:cols>
          <w:pgMar w:left="320" w:top="603" w:right="239" w:bottom="1440" w:gutter="0" w:footer="0" w:header="0"/>
        </w:sectPr>
      </w:pPr>
    </w:p>
    <w:p>
      <w:pPr>
        <w:spacing w:after="0" w:line="7" w:lineRule="exact"/>
        <w:rPr>
          <w:sz w:val="20"/>
          <w:szCs w:val="20"/>
          <w:color w:val="auto"/>
        </w:rPr>
      </w:pPr>
    </w:p>
    <w:p>
      <w:pPr>
        <w:jc w:val="center"/>
        <w:ind w:left="3380"/>
        <w:spacing w:after="0"/>
        <w:rPr>
          <w:sz w:val="20"/>
          <w:szCs w:val="20"/>
          <w:color w:val="auto"/>
        </w:rPr>
      </w:pPr>
      <w:r>
        <w:rPr>
          <w:rFonts w:ascii="Arial" w:cs="Arial" w:eastAsia="Arial" w:hAnsi="Arial"/>
          <w:sz w:val="12"/>
          <w:szCs w:val="12"/>
          <w:color w:val="auto"/>
        </w:rPr>
        <w:t>(in thousands, except per ton</w:t>
      </w:r>
    </w:p>
    <w:p>
      <w:pPr>
        <w:jc w:val="center"/>
        <w:ind w:left="342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br w:type="column"/>
      </w:r>
    </w:p>
    <w:p>
      <w:pPr>
        <w:jc w:val="center"/>
        <w:ind w:right="1660"/>
        <w:spacing w:after="0"/>
        <w:rPr>
          <w:sz w:val="20"/>
          <w:szCs w:val="20"/>
          <w:color w:val="auto"/>
        </w:rPr>
      </w:pPr>
      <w:r>
        <w:rPr>
          <w:rFonts w:ascii="Arial" w:cs="Arial" w:eastAsia="Arial" w:hAnsi="Arial"/>
          <w:sz w:val="12"/>
          <w:szCs w:val="12"/>
          <w:color w:val="auto"/>
        </w:rPr>
        <w:t>(in thousands, except per ton</w:t>
      </w:r>
    </w:p>
    <w:p>
      <w:pPr>
        <w:jc w:val="center"/>
        <w:ind w:right="1620"/>
        <w:spacing w:after="0"/>
        <w:rPr>
          <w:sz w:val="20"/>
          <w:szCs w:val="20"/>
          <w:color w:val="auto"/>
        </w:rPr>
      </w:pPr>
      <w:r>
        <w:rPr>
          <w:rFonts w:ascii="Arial" w:cs="Arial" w:eastAsia="Arial" w:hAnsi="Arial"/>
          <w:sz w:val="13"/>
          <w:szCs w:val="13"/>
          <w:color w:val="auto"/>
        </w:rPr>
        <w:t>information)</w:t>
      </w:r>
    </w:p>
    <w:p>
      <w:pPr>
        <w:spacing w:after="0" w:line="22" w:lineRule="exact"/>
        <w:rPr>
          <w:sz w:val="20"/>
          <w:szCs w:val="20"/>
          <w:color w:val="auto"/>
        </w:rPr>
      </w:pPr>
    </w:p>
    <w:p>
      <w:pPr>
        <w:sectPr>
          <w:pgSz w:w="11900" w:h="16838" w:orient="portrait"/>
          <w:cols w:equalWidth="0" w:num="2">
            <w:col w:w="7320" w:space="720"/>
            <w:col w:w="3300"/>
          </w:cols>
          <w:pgMar w:left="320" w:top="603" w:right="239" w:bottom="1440" w:gutter="0" w:footer="0" w:header="0"/>
          <w:type w:val="continuous"/>
        </w:sectPr>
      </w:pPr>
    </w:p>
    <w:tbl>
      <w:tblPr>
        <w:tblLayout w:type="fixed"/>
        <w:tblInd w:w="0" w:type="dxa"/>
        <w:tblCellMar>
          <w:top w:w="0" w:type="dxa"/>
          <w:left w:w="0" w:type="dxa"/>
          <w:bottom w:w="0" w:type="dxa"/>
          <w:right w:w="0" w:type="dxa"/>
        </w:tblCellMar>
      </w:tblPr>
      <w:tr>
        <w:trPr>
          <w:trHeight w:val="23"/>
        </w:trPr>
        <w:tc>
          <w:tcPr>
            <w:tcW w:w="4240" w:type="dxa"/>
            <w:vAlign w:val="bottom"/>
            <w:shd w:val="clear" w:color="auto" w:fill="17385E"/>
          </w:tcPr>
          <w:p>
            <w:pPr>
              <w:spacing w:after="0"/>
              <w:rPr>
                <w:sz w:val="2"/>
                <w:szCs w:val="2"/>
                <w:color w:val="auto"/>
              </w:rPr>
            </w:pPr>
          </w:p>
        </w:tc>
        <w:tc>
          <w:tcPr>
            <w:tcW w:w="280" w:type="dxa"/>
            <w:vAlign w:val="bottom"/>
            <w:shd w:val="clear" w:color="auto" w:fill="17385E"/>
          </w:tcPr>
          <w:p>
            <w:pPr>
              <w:spacing w:after="0"/>
              <w:rPr>
                <w:sz w:val="2"/>
                <w:szCs w:val="2"/>
                <w:color w:val="auto"/>
              </w:rPr>
            </w:pPr>
          </w:p>
        </w:tc>
        <w:tc>
          <w:tcPr>
            <w:tcW w:w="740" w:type="dxa"/>
            <w:vAlign w:val="bottom"/>
            <w:shd w:val="clear" w:color="auto" w:fill="17385E"/>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260" w:type="dxa"/>
            <w:vAlign w:val="bottom"/>
            <w:shd w:val="clear" w:color="auto" w:fill="17385E"/>
          </w:tcPr>
          <w:p>
            <w:pPr>
              <w:spacing w:after="0"/>
              <w:rPr>
                <w:sz w:val="2"/>
                <w:szCs w:val="2"/>
                <w:color w:val="auto"/>
              </w:rPr>
            </w:pPr>
          </w:p>
        </w:tc>
        <w:tc>
          <w:tcPr>
            <w:tcW w:w="720" w:type="dxa"/>
            <w:vAlign w:val="bottom"/>
            <w:shd w:val="clear" w:color="auto" w:fill="17385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17385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240" w:type="dxa"/>
            <w:vAlign w:val="bottom"/>
            <w:shd w:val="clear" w:color="auto" w:fill="17385E"/>
          </w:tcPr>
          <w:p>
            <w:pPr>
              <w:spacing w:after="0"/>
              <w:rPr>
                <w:sz w:val="2"/>
                <w:szCs w:val="2"/>
                <w:color w:val="auto"/>
              </w:rPr>
            </w:pPr>
          </w:p>
        </w:tc>
        <w:tc>
          <w:tcPr>
            <w:tcW w:w="740" w:type="dxa"/>
            <w:vAlign w:val="bottom"/>
            <w:shd w:val="clear" w:color="auto" w:fill="17385E"/>
          </w:tcPr>
          <w:p>
            <w:pPr>
              <w:spacing w:after="0"/>
              <w:rPr>
                <w:sz w:val="2"/>
                <w:szCs w:val="2"/>
                <w:color w:val="auto"/>
              </w:rPr>
            </w:pPr>
          </w:p>
        </w:tc>
        <w:tc>
          <w:tcPr>
            <w:tcW w:w="120" w:type="dxa"/>
            <w:vAlign w:val="bottom"/>
            <w:shd w:val="clear" w:color="auto" w:fill="17385E"/>
          </w:tcPr>
          <w:p>
            <w:pPr>
              <w:spacing w:after="0"/>
              <w:rPr>
                <w:sz w:val="2"/>
                <w:szCs w:val="2"/>
                <w:color w:val="auto"/>
              </w:rPr>
            </w:pPr>
          </w:p>
        </w:tc>
        <w:tc>
          <w:tcPr>
            <w:tcW w:w="100" w:type="dxa"/>
            <w:vAlign w:val="bottom"/>
            <w:shd w:val="clear" w:color="auto" w:fill="17385E"/>
          </w:tcPr>
          <w:p>
            <w:pPr>
              <w:spacing w:after="0"/>
              <w:rPr>
                <w:sz w:val="2"/>
                <w:szCs w:val="2"/>
                <w:color w:val="auto"/>
              </w:rPr>
            </w:pPr>
          </w:p>
        </w:tc>
        <w:tc>
          <w:tcPr>
            <w:tcW w:w="240" w:type="dxa"/>
            <w:vAlign w:val="bottom"/>
            <w:shd w:val="clear" w:color="auto" w:fill="17385E"/>
          </w:tcPr>
          <w:p>
            <w:pPr>
              <w:spacing w:after="0"/>
              <w:rPr>
                <w:sz w:val="2"/>
                <w:szCs w:val="2"/>
                <w:color w:val="auto"/>
              </w:rPr>
            </w:pPr>
          </w:p>
        </w:tc>
        <w:tc>
          <w:tcPr>
            <w:tcW w:w="720" w:type="dxa"/>
            <w:vAlign w:val="bottom"/>
            <w:shd w:val="clear" w:color="auto" w:fill="17385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17385E"/>
          </w:tcPr>
          <w:p>
            <w:pPr>
              <w:spacing w:after="0"/>
              <w:rPr>
                <w:sz w:val="2"/>
                <w:szCs w:val="2"/>
                <w:color w:val="auto"/>
              </w:rPr>
            </w:pPr>
          </w:p>
        </w:tc>
        <w:tc>
          <w:tcPr>
            <w:tcW w:w="200" w:type="dxa"/>
            <w:vAlign w:val="bottom"/>
          </w:tcPr>
          <w:p>
            <w:pPr>
              <w:spacing w:after="0"/>
              <w:rPr>
                <w:sz w:val="2"/>
                <w:szCs w:val="2"/>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004483"/>
              </w:rPr>
              <w:t>Gross Revenue, including intersegment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47,774</w:t>
            </w:r>
          </w:p>
        </w:tc>
        <w:tc>
          <w:tcPr>
            <w:tcW w:w="120" w:type="dxa"/>
            <w:vAlign w:val="bottom"/>
          </w:tcPr>
          <w:p>
            <w:pPr>
              <w:spacing w:after="0"/>
              <w:rPr>
                <w:sz w:val="18"/>
                <w:szCs w:val="18"/>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49,763</w:t>
            </w:r>
          </w:p>
        </w:tc>
        <w:tc>
          <w:tcPr>
            <w:tcW w:w="120" w:type="dxa"/>
            <w:vAlign w:val="bottom"/>
          </w:tcPr>
          <w:p>
            <w:pPr>
              <w:spacing w:after="0"/>
              <w:rPr>
                <w:sz w:val="18"/>
                <w:szCs w:val="18"/>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(4 )% $</w:t>
            </w:r>
          </w:p>
        </w:tc>
        <w:tc>
          <w:tcPr>
            <w:tcW w:w="740" w:type="dxa"/>
            <w:vAlign w:val="bottom"/>
          </w:tcPr>
          <w:p>
            <w:pPr>
              <w:jc w:val="right"/>
              <w:spacing w:after="0"/>
              <w:rPr>
                <w:sz w:val="20"/>
                <w:szCs w:val="20"/>
                <w:color w:val="auto"/>
              </w:rPr>
            </w:pPr>
            <w:r>
              <w:rPr>
                <w:rFonts w:ascii="Arial" w:cs="Arial" w:eastAsia="Arial" w:hAnsi="Arial"/>
                <w:sz w:val="16"/>
                <w:szCs w:val="16"/>
                <w:color w:val="auto"/>
              </w:rPr>
              <w:t>155,520</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140,828</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r>
      <w:tr>
        <w:trPr>
          <w:trHeight w:val="20"/>
        </w:trPr>
        <w:tc>
          <w:tcPr>
            <w:tcW w:w="424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9"/>
        </w:trPr>
        <w:tc>
          <w:tcPr>
            <w:tcW w:w="424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2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(24,453 )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(21,238 )</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15 %</w:t>
            </w: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(71,819 )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(59,501 )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21 %</w:t>
            </w:r>
          </w:p>
        </w:tc>
      </w:tr>
      <w:tr>
        <w:trPr>
          <w:trHeight w:val="20"/>
        </w:trPr>
        <w:tc>
          <w:tcPr>
            <w:tcW w:w="4240" w:type="dxa"/>
            <w:vAlign w:val="bottom"/>
            <w:shd w:val="clear" w:color="auto" w:fill="A6A6A6"/>
          </w:tcPr>
          <w:p>
            <w:pPr>
              <w:spacing w:after="0" w:line="20" w:lineRule="exact"/>
              <w:rPr>
                <w:sz w:val="1"/>
                <w:szCs w:val="1"/>
                <w:color w:val="auto"/>
              </w:rPr>
            </w:pPr>
          </w:p>
        </w:tc>
        <w:tc>
          <w:tcPr>
            <w:tcW w:w="28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23,321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28,525</w:t>
            </w:r>
          </w:p>
        </w:tc>
        <w:tc>
          <w:tcPr>
            <w:tcW w:w="120" w:type="dxa"/>
            <w:vAlign w:val="bottom"/>
          </w:tcPr>
          <w:p>
            <w:pPr>
              <w:spacing w:after="0"/>
              <w:rPr>
                <w:sz w:val="17"/>
                <w:szCs w:val="17"/>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(18 )% $</w:t>
            </w:r>
          </w:p>
        </w:tc>
        <w:tc>
          <w:tcPr>
            <w:tcW w:w="740" w:type="dxa"/>
            <w:vAlign w:val="bottom"/>
          </w:tcPr>
          <w:p>
            <w:pPr>
              <w:jc w:val="right"/>
              <w:spacing w:after="0"/>
              <w:rPr>
                <w:sz w:val="20"/>
                <w:szCs w:val="20"/>
                <w:color w:val="auto"/>
              </w:rPr>
            </w:pPr>
            <w:r>
              <w:rPr>
                <w:rFonts w:ascii="Arial" w:cs="Arial" w:eastAsia="Arial" w:hAnsi="Arial"/>
                <w:sz w:val="16"/>
                <w:szCs w:val="16"/>
                <w:color w:val="auto"/>
              </w:rPr>
              <w:t>83,701</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81,327</w:t>
            </w: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3 %</w:t>
            </w:r>
          </w:p>
        </w:tc>
      </w:tr>
      <w:tr>
        <w:trPr>
          <w:trHeight w:val="20"/>
        </w:trPr>
        <w:tc>
          <w:tcPr>
            <w:tcW w:w="424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9"/>
        </w:trPr>
        <w:tc>
          <w:tcPr>
            <w:tcW w:w="424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(2,007 )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(2,120 )</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(5 )%</w:t>
            </w: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(7,025 )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(5,691 )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23 %</w:t>
            </w:r>
          </w:p>
        </w:tc>
      </w:tr>
      <w:tr>
        <w:trPr>
          <w:trHeight w:val="20"/>
        </w:trPr>
        <w:tc>
          <w:tcPr>
            <w:tcW w:w="4240" w:type="dxa"/>
            <w:vAlign w:val="bottom"/>
            <w:shd w:val="clear" w:color="auto" w:fill="A6A6A6"/>
          </w:tcPr>
          <w:p>
            <w:pPr>
              <w:spacing w:after="0" w:line="20" w:lineRule="exact"/>
              <w:rPr>
                <w:sz w:val="1"/>
                <w:szCs w:val="1"/>
                <w:color w:val="auto"/>
              </w:rPr>
            </w:pPr>
          </w:p>
        </w:tc>
        <w:tc>
          <w:tcPr>
            <w:tcW w:w="28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004483"/>
              </w:rPr>
              <w:t>Net Revenue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21,314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26,405</w:t>
            </w:r>
          </w:p>
        </w:tc>
        <w:tc>
          <w:tcPr>
            <w:tcW w:w="120" w:type="dxa"/>
            <w:vAlign w:val="bottom"/>
          </w:tcPr>
          <w:p>
            <w:pPr>
              <w:spacing w:after="0"/>
              <w:rPr>
                <w:sz w:val="17"/>
                <w:szCs w:val="17"/>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(19 )% $</w:t>
            </w:r>
          </w:p>
        </w:tc>
        <w:tc>
          <w:tcPr>
            <w:tcW w:w="740" w:type="dxa"/>
            <w:vAlign w:val="bottom"/>
          </w:tcPr>
          <w:p>
            <w:pPr>
              <w:jc w:val="right"/>
              <w:spacing w:after="0"/>
              <w:rPr>
                <w:sz w:val="20"/>
                <w:szCs w:val="20"/>
                <w:color w:val="auto"/>
              </w:rPr>
            </w:pPr>
            <w:r>
              <w:rPr>
                <w:rFonts w:ascii="Arial" w:cs="Arial" w:eastAsia="Arial" w:hAnsi="Arial"/>
                <w:sz w:val="16"/>
                <w:szCs w:val="16"/>
                <w:color w:val="auto"/>
              </w:rPr>
              <w:t>76,676</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75,636</w:t>
            </w: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r>
      <w:tr>
        <w:trPr>
          <w:trHeight w:val="212"/>
        </w:trPr>
        <w:tc>
          <w:tcPr>
            <w:tcW w:w="424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004483"/>
              </w:rPr>
              <w:t>Sales Volume (M Tons)</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(5 )%</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0"/>
        </w:trPr>
        <w:tc>
          <w:tcPr>
            <w:tcW w:w="424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4240" w:type="dxa"/>
            <w:vAlign w:val="bottom"/>
          </w:tcPr>
          <w:p>
            <w:pPr>
              <w:ind w:left="20"/>
              <w:spacing w:after="0" w:line="213"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594.93</w:t>
            </w:r>
          </w:p>
        </w:tc>
        <w:tc>
          <w:tcPr>
            <w:tcW w:w="120" w:type="dxa"/>
            <w:vAlign w:val="bottom"/>
          </w:tcPr>
          <w:p>
            <w:pPr>
              <w:spacing w:after="0"/>
              <w:rPr>
                <w:sz w:val="18"/>
                <w:szCs w:val="18"/>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585.54</w:t>
            </w:r>
          </w:p>
        </w:tc>
        <w:tc>
          <w:tcPr>
            <w:tcW w:w="120" w:type="dxa"/>
            <w:vAlign w:val="bottom"/>
          </w:tcPr>
          <w:p>
            <w:pPr>
              <w:spacing w:after="0"/>
              <w:rPr>
                <w:sz w:val="18"/>
                <w:szCs w:val="18"/>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2 % $</w:t>
            </w:r>
          </w:p>
        </w:tc>
        <w:tc>
          <w:tcPr>
            <w:tcW w:w="740" w:type="dxa"/>
            <w:vAlign w:val="bottom"/>
          </w:tcPr>
          <w:p>
            <w:pPr>
              <w:jc w:val="right"/>
              <w:spacing w:after="0"/>
              <w:rPr>
                <w:sz w:val="20"/>
                <w:szCs w:val="20"/>
                <w:color w:val="auto"/>
              </w:rPr>
            </w:pPr>
            <w:r>
              <w:rPr>
                <w:rFonts w:ascii="Arial" w:cs="Arial" w:eastAsia="Arial" w:hAnsi="Arial"/>
                <w:sz w:val="16"/>
                <w:szCs w:val="16"/>
                <w:color w:val="auto"/>
              </w:rPr>
              <w:t>603.73</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535.55</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13 %</w:t>
            </w:r>
          </w:p>
        </w:tc>
      </w:tr>
      <w:tr>
        <w:trPr>
          <w:trHeight w:val="20"/>
        </w:trPr>
        <w:tc>
          <w:tcPr>
            <w:tcW w:w="424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6"/>
        </w:trPr>
        <w:tc>
          <w:tcPr>
            <w:tcW w:w="4240" w:type="dxa"/>
            <w:vAlign w:val="bottom"/>
          </w:tcPr>
          <w:p>
            <w:pPr>
              <w:ind w:left="20"/>
              <w:spacing w:after="0"/>
              <w:rPr>
                <w:sz w:val="20"/>
                <w:szCs w:val="20"/>
                <w:color w:val="auto"/>
              </w:rPr>
            </w:pPr>
            <w:r>
              <w:rPr>
                <w:rFonts w:ascii="Arial" w:cs="Arial" w:eastAsia="Arial" w:hAnsi="Arial"/>
                <w:sz w:val="16"/>
                <w:szCs w:val="16"/>
                <w:color w:val="004483"/>
              </w:rPr>
              <w:t>Freight, per ton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26.06</w:t>
            </w:r>
          </w:p>
        </w:tc>
        <w:tc>
          <w:tcPr>
            <w:tcW w:w="120" w:type="dxa"/>
            <w:vAlign w:val="bottom"/>
          </w:tcPr>
          <w:p>
            <w:pPr>
              <w:spacing w:after="0"/>
              <w:rPr>
                <w:sz w:val="17"/>
                <w:szCs w:val="17"/>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26.17</w:t>
            </w:r>
          </w:p>
        </w:tc>
        <w:tc>
          <w:tcPr>
            <w:tcW w:w="120" w:type="dxa"/>
            <w:vAlign w:val="bottom"/>
          </w:tcPr>
          <w:p>
            <w:pPr>
              <w:spacing w:after="0"/>
              <w:rPr>
                <w:sz w:val="17"/>
                <w:szCs w:val="17"/>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28.56</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22.58</w:t>
            </w:r>
          </w:p>
        </w:tc>
        <w:tc>
          <w:tcPr>
            <w:tcW w:w="10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26 %</w:t>
            </w:r>
          </w:p>
        </w:tc>
      </w:tr>
      <w:tr>
        <w:trPr>
          <w:trHeight w:val="20"/>
        </w:trPr>
        <w:tc>
          <w:tcPr>
            <w:tcW w:w="424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6"/>
                <w:szCs w:val="16"/>
                <w:color w:val="004483"/>
              </w:rPr>
              <w:t>Operating Margin, per ton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101.36</w:t>
            </w:r>
          </w:p>
        </w:tc>
        <w:tc>
          <w:tcPr>
            <w:tcW w:w="120" w:type="dxa"/>
            <w:vAlign w:val="bottom"/>
          </w:tcPr>
          <w:p>
            <w:pPr>
              <w:spacing w:after="0"/>
              <w:rPr>
                <w:sz w:val="18"/>
                <w:szCs w:val="18"/>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29.00</w:t>
            </w:r>
          </w:p>
        </w:tc>
        <w:tc>
          <w:tcPr>
            <w:tcW w:w="120" w:type="dxa"/>
            <w:vAlign w:val="bottom"/>
          </w:tcPr>
          <w:p>
            <w:pPr>
              <w:spacing w:after="0"/>
              <w:rPr>
                <w:sz w:val="18"/>
                <w:szCs w:val="18"/>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250 % $</w:t>
            </w:r>
          </w:p>
        </w:tc>
        <w:tc>
          <w:tcPr>
            <w:tcW w:w="740" w:type="dxa"/>
            <w:vAlign w:val="bottom"/>
          </w:tcPr>
          <w:p>
            <w:pPr>
              <w:jc w:val="right"/>
              <w:spacing w:after="0"/>
              <w:rPr>
                <w:sz w:val="20"/>
                <w:szCs w:val="20"/>
                <w:color w:val="auto"/>
              </w:rPr>
            </w:pPr>
            <w:r>
              <w:rPr>
                <w:rFonts w:ascii="Arial" w:cs="Arial" w:eastAsia="Arial" w:hAnsi="Arial"/>
                <w:sz w:val="16"/>
                <w:szCs w:val="16"/>
                <w:color w:val="auto"/>
              </w:rPr>
              <w:t>69.92</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26.46</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164 %</w:t>
            </w:r>
          </w:p>
        </w:tc>
      </w:tr>
      <w:tr>
        <w:trPr>
          <w:trHeight w:val="20"/>
        </w:trPr>
        <w:tc>
          <w:tcPr>
            <w:tcW w:w="424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7,805</w:t>
            </w:r>
          </w:p>
        </w:tc>
        <w:tc>
          <w:tcPr>
            <w:tcW w:w="120" w:type="dxa"/>
            <w:vAlign w:val="bottom"/>
          </w:tcPr>
          <w:p>
            <w:pPr>
              <w:spacing w:after="0"/>
              <w:rPr>
                <w:sz w:val="18"/>
                <w:szCs w:val="18"/>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2,349</w:t>
            </w:r>
          </w:p>
        </w:tc>
        <w:tc>
          <w:tcPr>
            <w:tcW w:w="120" w:type="dxa"/>
            <w:vAlign w:val="bottom"/>
          </w:tcPr>
          <w:p>
            <w:pPr>
              <w:spacing w:after="0"/>
              <w:rPr>
                <w:sz w:val="18"/>
                <w:szCs w:val="18"/>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6"/>
                <w:szCs w:val="16"/>
                <w:color w:val="auto"/>
              </w:rPr>
              <w:t>232 % $</w:t>
            </w:r>
          </w:p>
        </w:tc>
        <w:tc>
          <w:tcPr>
            <w:tcW w:w="740" w:type="dxa"/>
            <w:vAlign w:val="bottom"/>
          </w:tcPr>
          <w:p>
            <w:pPr>
              <w:jc w:val="right"/>
              <w:spacing w:after="0"/>
              <w:rPr>
                <w:sz w:val="20"/>
                <w:szCs w:val="20"/>
                <w:color w:val="auto"/>
              </w:rPr>
            </w:pPr>
            <w:r>
              <w:rPr>
                <w:rFonts w:ascii="Arial" w:cs="Arial" w:eastAsia="Arial" w:hAnsi="Arial"/>
                <w:sz w:val="16"/>
                <w:szCs w:val="16"/>
                <w:color w:val="auto"/>
              </w:rPr>
              <w:t>17,200</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158 %</w:t>
            </w:r>
          </w:p>
        </w:tc>
      </w:tr>
      <w:tr>
        <w:trPr>
          <w:trHeight w:val="20"/>
        </w:trPr>
        <w:tc>
          <w:tcPr>
            <w:tcW w:w="424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ton.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2022</w:t>
      </w:r>
    </w:p>
    <w:p>
      <w:pPr>
        <w:spacing w:after="0" w:line="126"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Recycled Paperboard Revenue decreased 4% to $47.8 million during the three months ended December 31, 2022. The decrease was primarily due to lower Sales Volume, which negatively affected Revenue by $2.7 million. This was partially offset by higher gross sales prices, which positively affected Revenue by $0.7 million. Higher gross sales prices were related to the pricing provisions in our long-term sales agreements.</w:t>
      </w:r>
    </w:p>
    <w:p>
      <w:pPr>
        <w:spacing w:after="0" w:line="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Operating Earnings increased 232% to $7.8 million, primarily because of higher gross sales prices and lower operating costs of $0.7 million and $4.8 million, respectively. This was partially offset by lower Sales Volume, of $0.1 million. The decrease in operating costs was primarily related to lower fiber costs of $9.0 million. This was partially offset by higher input costs, namely energy, chemicals, maintenance, and freight, which lowered Operating Earnings by approximately $1.3 million, $1.1 million, $0.6 million, and $0.6 million, respectively. Operating Margin increased to 16% because of higher gross sales prices and lower operating costs. Although the Company has certain pricing provisions in its long-term sales agreements, prices are only adjusted at certain times throughout the year, so price adjustments are not always reflected in the same period as the change in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2022</w:t>
      </w:r>
    </w:p>
    <w:p>
      <w:pPr>
        <w:spacing w:after="0" w:line="126"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Recycled Paperboard Revenue increased 10% to $155.5 million during the nine months ended December 31, 2022. The increase was primarily due to higher gross sales prices, which positively affected Revenue by $18.3 million, partially offset by lower Sales Volume of $3.6 million. Higher gross sales prices were related to the pricing provisions in our long-term sales agreements.</w:t>
      </w:r>
    </w:p>
    <w:p>
      <w:pPr>
        <w:spacing w:after="0" w:line="9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Operating Earnings increased 158% to $17.2 million, primarily because of higher gross sales prices, of $ 18.3 million. This was partially offset by higher operating costs and lower Sales Volume, which reduced Operating Earnings by approximately $7.4 million and $ 0.2 million, respectively. The increase in operating costs was primarily related to higher input costs, namely energy, chemicals, as well as freight and maintenance, which lowered Operating Earnings by approximately $5.1 million, $3.2 million, $3.5 million and $0.8 million, respectively. This was partially offset by lower fiber costs of $6.6 million. Operating Margin increased to 11% because of higher gross sales prices, partially offset by higher operating costs. Although the Company has certain pricing provisions in its long-term sales agreements, prices are only adjusted at certain times throughout the year, so price adjustments are not always reflected in the same period as the change in costs.</w:t>
      </w: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03"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Information regarding our Critical Accounting Policies can be found in our Annual Report. The three Critical Accounting Policies that we believe either require the use of the most judgment, or the selection or application of alternative accounting policies, and are material to our financial statements, are those related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26"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Refer to Footnote (A) in the Notes to Unaudited Consolidated Financial Statements of this Form 10-Q for information regarding recently issued accounting pronouncements that may affect our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believe at this time that we have access to sufficient financial resources from our liquidity sources to fund our business and operations, including contractual obligations, capital expenditures, and debt service obligations for at least the next twelve months.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3"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280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Nine Months Ended December 31,</w:t>
            </w:r>
          </w:p>
        </w:tc>
        <w:tc>
          <w:tcPr>
            <w:tcW w:w="68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68"/>
        </w:trPr>
        <w:tc>
          <w:tcPr>
            <w:tcW w:w="7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77"/>
        </w:trPr>
        <w:tc>
          <w:tcPr>
            <w:tcW w:w="726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800" w:type="dxa"/>
            <w:vAlign w:val="bottom"/>
            <w:tcBorders>
              <w:bottom w:val="single" w:sz="8" w:color="004483"/>
            </w:tcBorders>
            <w:gridSpan w:val="4"/>
          </w:tcPr>
          <w:p>
            <w:pPr>
              <w:jc w:val="right"/>
              <w:ind w:right="57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72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480,111</w:t>
            </w:r>
          </w:p>
        </w:tc>
        <w:tc>
          <w:tcPr>
            <w:tcW w:w="120" w:type="dxa"/>
            <w:vAlign w:val="bottom"/>
          </w:tcPr>
          <w:p>
            <w:pPr>
              <w:spacing w:after="0"/>
              <w:rPr>
                <w:sz w:val="18"/>
                <w:szCs w:val="18"/>
                <w:color w:val="auto"/>
              </w:rPr>
            </w:pPr>
          </w:p>
        </w:tc>
        <w:tc>
          <w:tcPr>
            <w:tcW w:w="1280" w:type="dxa"/>
            <w:vAlign w:val="bottom"/>
            <w:tcBorders>
              <w:bottom w:val="single" w:sz="8" w:color="A6A6A6"/>
            </w:tcBorders>
            <w:gridSpan w:val="2"/>
          </w:tcPr>
          <w:p>
            <w:pPr>
              <w:jc w:val="right"/>
              <w:ind w:right="9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428,878</w:t>
            </w:r>
          </w:p>
        </w:tc>
        <w:tc>
          <w:tcPr>
            <w:tcW w:w="100" w:type="dxa"/>
            <w:vAlign w:val="bottom"/>
          </w:tcPr>
          <w:p>
            <w:pPr>
              <w:spacing w:after="0"/>
              <w:rPr>
                <w:sz w:val="18"/>
                <w:szCs w:val="18"/>
                <w:color w:val="auto"/>
              </w:rPr>
            </w:pPr>
          </w:p>
        </w:tc>
      </w:tr>
      <w:tr>
        <w:trPr>
          <w:trHeight w:val="231"/>
        </w:trPr>
        <w:tc>
          <w:tcPr>
            <w:tcW w:w="72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00" w:type="dxa"/>
            <w:vAlign w:val="bottom"/>
            <w:tcBorders>
              <w:bottom w:val="single" w:sz="8" w:color="A6A6A6"/>
            </w:tcBorders>
          </w:tcPr>
          <w:p>
            <w:pPr>
              <w:spacing w:after="0"/>
              <w:rPr>
                <w:sz w:val="20"/>
                <w:szCs w:val="20"/>
                <w:color w:val="auto"/>
              </w:rPr>
            </w:pPr>
          </w:p>
        </w:tc>
        <w:tc>
          <w:tcPr>
            <w:tcW w:w="1400" w:type="dxa"/>
            <w:vAlign w:val="bottom"/>
            <w:tcBorders>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1120" w:type="dxa"/>
            <w:vAlign w:val="bottom"/>
            <w:tcBorders>
              <w:bottom w:val="single" w:sz="8" w:color="A6A6A6"/>
            </w:tcBorders>
          </w:tcPr>
          <w:p>
            <w:pPr>
              <w:spacing w:after="0"/>
              <w:rPr>
                <w:sz w:val="20"/>
                <w:szCs w:val="20"/>
                <w:color w:val="auto"/>
              </w:rPr>
            </w:pPr>
          </w:p>
        </w:tc>
        <w:tc>
          <w:tcPr>
            <w:tcW w:w="68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260" w:type="dxa"/>
            <w:vAlign w:val="bottom"/>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(60,951 )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(55,188 )</w:t>
            </w:r>
          </w:p>
        </w:tc>
      </w:tr>
      <w:tr>
        <w:trPr>
          <w:trHeight w:val="20"/>
        </w:trPr>
        <w:tc>
          <w:tcPr>
            <w:tcW w:w="726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4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260" w:type="dxa"/>
            <w:vAlign w:val="bottom"/>
          </w:tcPr>
          <w:p>
            <w:pPr>
              <w:ind w:left="200"/>
              <w:spacing w:after="0"/>
              <w:rPr>
                <w:sz w:val="20"/>
                <w:szCs w:val="20"/>
                <w:color w:val="auto"/>
              </w:rPr>
            </w:pPr>
            <w:r>
              <w:rPr>
                <w:rFonts w:ascii="Arial" w:cs="Arial" w:eastAsia="Arial" w:hAnsi="Arial"/>
                <w:sz w:val="16"/>
                <w:szCs w:val="16"/>
                <w:color w:val="004483"/>
              </w:rPr>
              <w:t>Acquisition Spending</w:t>
            </w:r>
          </w:p>
        </w:tc>
        <w:tc>
          <w:tcPr>
            <w:tcW w:w="4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(158,451 )</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2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400" w:type="dxa"/>
            <w:vAlign w:val="bottom"/>
            <w:tcBorders>
              <w:top w:val="single" w:sz="8" w:color="004483"/>
              <w:bottom w:val="single" w:sz="8" w:color="004483"/>
            </w:tcBorders>
          </w:tcPr>
          <w:p>
            <w:pPr>
              <w:spacing w:after="0"/>
              <w:rPr>
                <w:sz w:val="20"/>
                <w:szCs w:val="20"/>
                <w:color w:val="auto"/>
              </w:rPr>
            </w:pPr>
          </w:p>
        </w:tc>
        <w:tc>
          <w:tcPr>
            <w:tcW w:w="14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(219,402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6A6A6"/>
              <w:bottom w:val="single" w:sz="8" w:color="A6A6A6"/>
            </w:tcBorders>
          </w:tcPr>
          <w:p>
            <w:pPr>
              <w:spacing w:after="0"/>
              <w:rPr>
                <w:sz w:val="20"/>
                <w:szCs w:val="20"/>
                <w:color w:val="auto"/>
              </w:rPr>
            </w:pPr>
          </w:p>
        </w:tc>
        <w:tc>
          <w:tcPr>
            <w:tcW w:w="1120" w:type="dxa"/>
            <w:vAlign w:val="bottom"/>
            <w:tcBorders>
              <w:top w:val="single" w:sz="8" w:color="004483"/>
              <w:bottom w:val="single" w:sz="8" w:color="004483"/>
            </w:tcBorders>
          </w:tcPr>
          <w:p>
            <w:pPr>
              <w:spacing w:after="0"/>
              <w:rPr>
                <w:sz w:val="20"/>
                <w:szCs w:val="20"/>
                <w:color w:val="auto"/>
              </w:rPr>
            </w:pPr>
          </w:p>
        </w:tc>
        <w:tc>
          <w:tcPr>
            <w:tcW w:w="6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(55,188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0"/>
        </w:trPr>
        <w:tc>
          <w:tcPr>
            <w:tcW w:w="72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00" w:type="dxa"/>
            <w:vAlign w:val="bottom"/>
            <w:tcBorders>
              <w:bottom w:val="single" w:sz="8" w:color="A6A6A6"/>
            </w:tcBorders>
          </w:tcPr>
          <w:p>
            <w:pPr>
              <w:spacing w:after="0"/>
              <w:rPr>
                <w:sz w:val="20"/>
                <w:szCs w:val="20"/>
                <w:color w:val="auto"/>
              </w:rPr>
            </w:pPr>
          </w:p>
        </w:tc>
        <w:tc>
          <w:tcPr>
            <w:tcW w:w="1400" w:type="dxa"/>
            <w:vAlign w:val="bottom"/>
            <w:tcBorders>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1120" w:type="dxa"/>
            <w:vAlign w:val="bottom"/>
            <w:tcBorders>
              <w:bottom w:val="single" w:sz="8" w:color="A6A6A6"/>
            </w:tcBorders>
          </w:tcPr>
          <w:p>
            <w:pPr>
              <w:spacing w:after="0"/>
              <w:rPr>
                <w:sz w:val="20"/>
                <w:szCs w:val="20"/>
                <w:color w:val="auto"/>
              </w:rPr>
            </w:pPr>
          </w:p>
        </w:tc>
        <w:tc>
          <w:tcPr>
            <w:tcW w:w="68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2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Borrowings Under Revolving Credit Facility</w:t>
            </w:r>
          </w:p>
        </w:tc>
        <w:tc>
          <w:tcPr>
            <w:tcW w:w="400" w:type="dxa"/>
            <w:vAlign w:val="bottom"/>
            <w:tcBorders>
              <w:bottom w:val="single" w:sz="8" w:color="A6A6A6"/>
            </w:tcBorders>
          </w:tcPr>
          <w:p>
            <w:pPr>
              <w:spacing w:after="0"/>
              <w:rPr>
                <w:sz w:val="18"/>
                <w:szCs w:val="18"/>
                <w:color w:val="auto"/>
              </w:rPr>
            </w:pPr>
          </w:p>
        </w:tc>
        <w:tc>
          <w:tcPr>
            <w:tcW w:w="14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r>
      <w:tr>
        <w:trPr>
          <w:trHeight w:val="209"/>
        </w:trPr>
        <w:tc>
          <w:tcPr>
            <w:tcW w:w="7260" w:type="dxa"/>
            <w:vAlign w:val="bottom"/>
          </w:tcPr>
          <w:p>
            <w:pPr>
              <w:ind w:left="200"/>
              <w:spacing w:after="0"/>
              <w:rPr>
                <w:sz w:val="20"/>
                <w:szCs w:val="20"/>
                <w:color w:val="auto"/>
              </w:rPr>
            </w:pPr>
            <w:r>
              <w:rPr>
                <w:rFonts w:ascii="Arial" w:cs="Arial" w:eastAsia="Arial" w:hAnsi="Arial"/>
                <w:sz w:val="16"/>
                <w:szCs w:val="16"/>
                <w:color w:val="004483"/>
              </w:rPr>
              <w:t>Repayment of Borrowings Under Revolving Credit Facility</w:t>
            </w: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(70,000 )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726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2.500% Senior Unsecured Notes</w:t>
            </w:r>
          </w:p>
        </w:tc>
        <w:tc>
          <w:tcPr>
            <w:tcW w:w="400" w:type="dxa"/>
            <w:vAlign w:val="bottom"/>
            <w:tcBorders>
              <w:top w:val="single" w:sz="8" w:color="A6A6A6"/>
              <w:bottom w:val="single" w:sz="8" w:color="A6A6A6"/>
            </w:tcBorders>
          </w:tcPr>
          <w:p>
            <w:pPr>
              <w:spacing w:after="0"/>
              <w:rPr>
                <w:sz w:val="18"/>
                <w:szCs w:val="18"/>
                <w:color w:val="auto"/>
              </w:rPr>
            </w:pPr>
          </w:p>
        </w:tc>
        <w:tc>
          <w:tcPr>
            <w:tcW w:w="14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743,692</w:t>
            </w:r>
          </w:p>
        </w:tc>
        <w:tc>
          <w:tcPr>
            <w:tcW w:w="100" w:type="dxa"/>
            <w:vAlign w:val="bottom"/>
          </w:tcPr>
          <w:p>
            <w:pPr>
              <w:spacing w:after="0"/>
              <w:rPr>
                <w:sz w:val="18"/>
                <w:szCs w:val="18"/>
                <w:color w:val="auto"/>
              </w:rPr>
            </w:pPr>
          </w:p>
        </w:tc>
      </w:tr>
      <w:tr>
        <w:trPr>
          <w:trHeight w:val="209"/>
        </w:trPr>
        <w:tc>
          <w:tcPr>
            <w:tcW w:w="7260" w:type="dxa"/>
            <w:vAlign w:val="bottom"/>
          </w:tcPr>
          <w:p>
            <w:pPr>
              <w:ind w:left="200"/>
              <w:spacing w:after="0"/>
              <w:rPr>
                <w:sz w:val="20"/>
                <w:szCs w:val="20"/>
                <w:color w:val="auto"/>
              </w:rPr>
            </w:pPr>
            <w:r>
              <w:rPr>
                <w:rFonts w:ascii="Arial" w:cs="Arial" w:eastAsia="Arial" w:hAnsi="Arial"/>
                <w:sz w:val="16"/>
                <w:szCs w:val="16"/>
                <w:color w:val="004483"/>
              </w:rPr>
              <w:t>Repayment of 4.500% Senior Unsecured Notes</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8"/>
              </w:rPr>
              <w:t>(350,000 )</w:t>
            </w:r>
          </w:p>
        </w:tc>
      </w:tr>
      <w:tr>
        <w:trPr>
          <w:trHeight w:val="20"/>
        </w:trPr>
        <w:tc>
          <w:tcPr>
            <w:tcW w:w="726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4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260" w:type="dxa"/>
            <w:vAlign w:val="bottom"/>
          </w:tcPr>
          <w:p>
            <w:pPr>
              <w:ind w:left="200"/>
              <w:spacing w:after="0"/>
              <w:rPr>
                <w:sz w:val="20"/>
                <w:szCs w:val="20"/>
                <w:color w:val="auto"/>
              </w:rPr>
            </w:pPr>
            <w:r>
              <w:rPr>
                <w:rFonts w:ascii="Arial" w:cs="Arial" w:eastAsia="Arial" w:hAnsi="Arial"/>
                <w:sz w:val="16"/>
                <w:szCs w:val="16"/>
                <w:color w:val="004483"/>
              </w:rPr>
              <w:t>Repayment of Term Loan and Term Loan Credit Agreement</w:t>
            </w: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(5,000 )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8"/>
              </w:rPr>
              <w:t>(665,000 )</w:t>
            </w:r>
          </w:p>
        </w:tc>
      </w:tr>
      <w:tr>
        <w:trPr>
          <w:trHeight w:val="20"/>
        </w:trPr>
        <w:tc>
          <w:tcPr>
            <w:tcW w:w="726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4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260" w:type="dxa"/>
            <w:vAlign w:val="bottom"/>
          </w:tcPr>
          <w:p>
            <w:pPr>
              <w:ind w:left="200"/>
              <w:spacing w:after="0"/>
              <w:rPr>
                <w:sz w:val="20"/>
                <w:szCs w:val="20"/>
                <w:color w:val="auto"/>
              </w:rPr>
            </w:pPr>
            <w:r>
              <w:rPr>
                <w:rFonts w:ascii="Arial" w:cs="Arial" w:eastAsia="Arial" w:hAnsi="Arial"/>
                <w:sz w:val="16"/>
                <w:szCs w:val="16"/>
                <w:color w:val="004483"/>
              </w:rPr>
              <w:t>Dividends Paid to Stockholders</w:t>
            </w: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(28,421 )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(20,538 )</w:t>
            </w:r>
          </w:p>
        </w:tc>
      </w:tr>
      <w:tr>
        <w:trPr>
          <w:trHeight w:val="20"/>
        </w:trPr>
        <w:tc>
          <w:tcPr>
            <w:tcW w:w="726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4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260" w:type="dxa"/>
            <w:vAlign w:val="bottom"/>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(313,898 )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8"/>
              </w:rPr>
              <w:t>(435,975 )</w:t>
            </w:r>
          </w:p>
        </w:tc>
      </w:tr>
      <w:tr>
        <w:trPr>
          <w:trHeight w:val="210"/>
        </w:trPr>
        <w:tc>
          <w:tcPr>
            <w:tcW w:w="726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400" w:type="dxa"/>
            <w:vAlign w:val="bottom"/>
            <w:tcBorders>
              <w:top w:val="single" w:sz="8" w:color="A6A6A6"/>
              <w:bottom w:val="single" w:sz="8" w:color="A6A6A6"/>
            </w:tcBorders>
          </w:tcPr>
          <w:p>
            <w:pPr>
              <w:spacing w:after="0"/>
              <w:rPr>
                <w:sz w:val="18"/>
                <w:szCs w:val="18"/>
                <w:color w:val="auto"/>
              </w:rPr>
            </w:pPr>
          </w:p>
        </w:tc>
        <w:tc>
          <w:tcPr>
            <w:tcW w:w="14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spacing w:after="0"/>
              <w:rPr>
                <w:sz w:val="18"/>
                <w:szCs w:val="18"/>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20,754</w:t>
            </w:r>
          </w:p>
        </w:tc>
        <w:tc>
          <w:tcPr>
            <w:tcW w:w="100" w:type="dxa"/>
            <w:vAlign w:val="bottom"/>
          </w:tcPr>
          <w:p>
            <w:pPr>
              <w:spacing w:after="0"/>
              <w:rPr>
                <w:sz w:val="18"/>
                <w:szCs w:val="18"/>
                <w:color w:val="auto"/>
              </w:rPr>
            </w:pPr>
          </w:p>
        </w:tc>
      </w:tr>
      <w:tr>
        <w:trPr>
          <w:trHeight w:val="210"/>
        </w:trPr>
        <w:tc>
          <w:tcPr>
            <w:tcW w:w="7260" w:type="dxa"/>
            <w:vAlign w:val="bottom"/>
          </w:tcPr>
          <w:p>
            <w:pPr>
              <w:ind w:left="200"/>
              <w:spacing w:after="0"/>
              <w:rPr>
                <w:sz w:val="20"/>
                <w:szCs w:val="20"/>
                <w:color w:val="auto"/>
              </w:rPr>
            </w:pPr>
            <w:r>
              <w:rPr>
                <w:rFonts w:ascii="Arial" w:cs="Arial" w:eastAsia="Arial" w:hAnsi="Arial"/>
                <w:sz w:val="16"/>
                <w:szCs w:val="16"/>
                <w:color w:val="004483"/>
              </w:rPr>
              <w:t>Loss on Early Retirement of Senior Notes</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(8,407 )</w:t>
            </w:r>
          </w:p>
        </w:tc>
      </w:tr>
      <w:tr>
        <w:trPr>
          <w:trHeight w:val="20"/>
        </w:trPr>
        <w:tc>
          <w:tcPr>
            <w:tcW w:w="726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4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260" w:type="dxa"/>
            <w:vAlign w:val="bottom"/>
          </w:tcPr>
          <w:p>
            <w:pPr>
              <w:ind w:left="200"/>
              <w:spacing w:after="0"/>
              <w:rPr>
                <w:sz w:val="20"/>
                <w:szCs w:val="20"/>
                <w:color w:val="auto"/>
              </w:rPr>
            </w:pPr>
            <w:r>
              <w:rPr>
                <w:rFonts w:ascii="Arial" w:cs="Arial" w:eastAsia="Arial" w:hAnsi="Arial"/>
                <w:sz w:val="16"/>
                <w:szCs w:val="16"/>
                <w:color w:val="004483"/>
              </w:rPr>
              <w:t>Payment of Debt Issuance Costs</w:t>
            </w: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(903 )</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(7,985 )</w:t>
            </w:r>
          </w:p>
        </w:tc>
      </w:tr>
      <w:tr>
        <w:trPr>
          <w:trHeight w:val="20"/>
        </w:trPr>
        <w:tc>
          <w:tcPr>
            <w:tcW w:w="726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4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260" w:type="dxa"/>
            <w:vAlign w:val="bottom"/>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4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(1,806 )</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(1,359 )</w:t>
            </w:r>
          </w:p>
        </w:tc>
      </w:tr>
      <w:tr>
        <w:trPr>
          <w:trHeight w:val="237"/>
        </w:trPr>
        <w:tc>
          <w:tcPr>
            <w:tcW w:w="72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400" w:type="dxa"/>
            <w:vAlign w:val="bottom"/>
            <w:tcBorders>
              <w:top w:val="single" w:sz="8" w:color="004483"/>
              <w:bottom w:val="single" w:sz="8" w:color="004483"/>
            </w:tcBorders>
          </w:tcPr>
          <w:p>
            <w:pPr>
              <w:spacing w:after="0"/>
              <w:rPr>
                <w:sz w:val="20"/>
                <w:szCs w:val="20"/>
                <w:color w:val="auto"/>
              </w:rPr>
            </w:pPr>
          </w:p>
        </w:tc>
        <w:tc>
          <w:tcPr>
            <w:tcW w:w="14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(219,188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6A6A6"/>
              <w:bottom w:val="single" w:sz="8" w:color="A6A6A6"/>
            </w:tcBorders>
          </w:tcPr>
          <w:p>
            <w:pPr>
              <w:spacing w:after="0"/>
              <w:rPr>
                <w:sz w:val="20"/>
                <w:szCs w:val="20"/>
                <w:color w:val="auto"/>
              </w:rPr>
            </w:pPr>
          </w:p>
        </w:tc>
        <w:tc>
          <w:tcPr>
            <w:tcW w:w="1120" w:type="dxa"/>
            <w:vAlign w:val="bottom"/>
            <w:tcBorders>
              <w:top w:val="single" w:sz="8" w:color="004483"/>
              <w:bottom w:val="single" w:sz="8" w:color="004483"/>
            </w:tcBorders>
          </w:tcPr>
          <w:p>
            <w:pPr>
              <w:spacing w:after="0"/>
              <w:rPr>
                <w:sz w:val="20"/>
                <w:szCs w:val="20"/>
                <w:color w:val="auto"/>
              </w:rPr>
            </w:pPr>
          </w:p>
        </w:tc>
        <w:tc>
          <w:tcPr>
            <w:tcW w:w="6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(624,818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9"/>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41,521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bottom w:val="single" w:sz="8" w:color="004483"/>
            </w:tcBorders>
          </w:tcPr>
          <w:p>
            <w:pPr>
              <w:jc w:val="right"/>
              <w:ind w:right="9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(251,128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726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4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Net Cash Provided by Operating Activities increased by $51.2 million to $480.1 million during the nine months ended December 31, 2022. This increase was primarily attributable to higher Net Earnings, adjusted for noncash charges, of approximately $61.1 million. This was partially offset by changes in working capital of $8.1 million and lower dividends from our Unconsolidated Joint Venture of $1.8 million.</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Working capital increased by $47.9 million to $283.0 million at December 31, 2022, compared with March 31, 2022. The increase was due to higher Cash and Cash Equivalents and Inventories of approximately $41.5 million and $10.5 million, respectively, as well as lower Accounts Payable and Accrued Liabilities of $10.1 million. This was partially offset by lower Accounts and Notes Receivable, net, and Current Portion of Long-term Debt of $3.8 million and $10.0 million, respectively. The increase in inventory was due to our normal sales cycle in which we build inventory in the winter months to meet demand in the spring and summer. The ConAgg Acquisition in April 2022 increased working capital by approximately $2.7 million at December 31, 2022.</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$3.8 million decline in Accounts Receivable was primarily related to increased collection efforts during the three months ended December 31, 2022. As a percentage of quarterly sales generated for the respective quarter, Accounts Receivable was approximately 34% at December 31, 2022, and 43% at March 31, 2022. Accounts Receivable related to the ConAgg Acquisition at December 31, 2022, was approximately $4.8 million.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December 31, 2022. Notes Receivable are monitored on an individual basis, and no significant deterioration in the collectability of our Notes Receivable was identified at December 31, 2022.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4" w:name="page35"/>
    <w:bookmarkEnd w:id="34"/>
    <w:p>
      <w:pPr>
        <w:spacing w:after="0" w:line="236" w:lineRule="auto"/>
        <w:rPr>
          <w:sz w:val="20"/>
          <w:szCs w:val="20"/>
          <w:color w:val="auto"/>
        </w:rPr>
      </w:pPr>
      <w:r>
        <w:rPr>
          <w:rFonts w:ascii="Arial" w:cs="Arial" w:eastAsia="Arial" w:hAnsi="Arial"/>
          <w:sz w:val="18"/>
          <w:szCs w:val="18"/>
          <w:color w:val="auto"/>
        </w:rPr>
        <w:t>Our Inventory balance at December 31, 2022, increased by approximately $10.5 million from our balance at March 31, 2022. Excluding the ConAgg Acquisition, whose inventory consists mostly of Aggregates, our Inventory balance increased by $7.2 million. Within Inventory, Repair Parts and Gypsum Wallboard Inventory increased by $14.8 million and $ 3.3 million, respectively. These increases were partially offset by lower Raw Materials and Materials-in-Progress of approximately $9.2 million and Finished Cement Inventory, of approximately $3.2 million. The decline in Raw Materials and Materials-in-Progress and Finished Cement is consistent with our business cycle; we generally build up clinker inventory over the winter months to meet the demand for cement in the spring and summer. The increase in Repair Parts inventory was primarily due to the build-up of inventory necessary for our scheduled outages over the next several months.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9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Net Cash Used in Investing Activities during the nine months ended December 31, 2022, was approximately $219.4 million, compared with $55.2 million during the same period in 2021, an increase of approximately $164.2 million. The increase was primarily related to the Acquisition Spending of $158.5 million for the ConAgg Acquisition and the Terminal Acquisition in fiscal 2023. The remaining increase was primarily due to the purchase of reserves for our Concrete and Aggregates business.</w:t>
      </w:r>
    </w:p>
    <w:p>
      <w:pPr>
        <w:spacing w:after="0" w:line="9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Net Cash Used In Financing Activities was approximately $219.2 million during the nine months ended December 31, 2022, compared with $624.8 million during the nine months ended December 31, 2021. The $405.6 million decrease was primarily related to higher borrowings, net of repayments, of $296.3 million and lower amounts paid for early termination of debt, debt issuance costs, and share repurchases of $8.4 million, $7.1 million, and $122.1 million, respectively. This was partially offset by increases in Dividends Paid to Shareholders of $7.9 million and lower proceeds from exercise of stock options of $20.0 million.</w:t>
      </w:r>
    </w:p>
    <w:p>
      <w:pPr>
        <w:spacing w:after="0" w:line="9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Our debt-to -capitalization ratio and net-debt-to-capitalization ratio were 48.0% and 46.5%, respectively, at December 31, 2022, compared with 45.6% and 45.1%, respectively, at March 31,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December 31, 2022: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Borders>
              <w:bottom w:val="single" w:sz="8" w:color="004483"/>
            </w:tcBorders>
          </w:tcPr>
          <w:p>
            <w:pPr>
              <w:spacing w:after="0"/>
              <w:rPr>
                <w:sz w:val="15"/>
                <w:szCs w:val="15"/>
                <w:color w:val="auto"/>
              </w:rPr>
            </w:pPr>
          </w:p>
        </w:tc>
        <w:tc>
          <w:tcPr>
            <w:tcW w:w="47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213"/>
        </w:trPr>
        <w:tc>
          <w:tcPr>
            <w:tcW w:w="6480" w:type="dxa"/>
            <w:vAlign w:val="bottom"/>
            <w:tcBorders>
              <w:bottom w:val="single" w:sz="8" w:color="A3A3A3"/>
            </w:tcBorders>
          </w:tcPr>
          <w:p>
            <w:pPr>
              <w:ind w:left="60"/>
              <w:spacing w:after="0"/>
              <w:rPr>
                <w:sz w:val="20"/>
                <w:szCs w:val="20"/>
                <w:color w:val="auto"/>
              </w:rPr>
            </w:pPr>
            <w:r>
              <w:rPr>
                <w:rFonts w:ascii="Arial" w:cs="Arial" w:eastAsia="Arial" w:hAnsi="Arial"/>
                <w:sz w:val="16"/>
                <w:szCs w:val="16"/>
                <w:color w:val="004483"/>
              </w:rPr>
              <w:t>Revolving Credit Facility</w:t>
            </w:r>
          </w:p>
        </w:tc>
        <w:tc>
          <w:tcPr>
            <w:tcW w:w="47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May 2027</w:t>
            </w:r>
          </w:p>
        </w:tc>
      </w:tr>
      <w:tr>
        <w:trPr>
          <w:trHeight w:val="209"/>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Term Loan</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209"/>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2.500% Senior Unsecured Notes</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July 2031</w:t>
            </w:r>
          </w:p>
        </w:tc>
      </w:tr>
    </w:tbl>
    <w:p>
      <w:pPr>
        <w:spacing w:after="0" w:line="17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See Footnote (M) to the Unaudited Consolidated Financial Statements for further details on the Company’s debt facilities, including interest rate, and financial and other covenants and restrictions.</w:t>
      </w:r>
    </w:p>
    <w:p>
      <w:pPr>
        <w:spacing w:after="0" w:line="8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borrowing capacity of our Revolving Credit Facility is $ 750.0 million until May 5, 2027. The Revolving Credit Facility also includes a swingline loan sublimit of $ 25.0 million, and a $40.0 million letter of credit facility. At December 31, 2022, we had $130.0 million outstanding under the Revolving Credit Facility and $6.4 million of outstanding letters of credit, leaving us with $613.6 million of available borrowings under the Revolving Credit Facility, net of the outstanding letters of credit. We are contingently liable for performance under $26.9 million in performance bonds relating primarily to our mining operations. We do not have any off-balance sheet debt, or any outstanding debt guarantees.</w:t>
      </w:r>
    </w:p>
    <w:p>
      <w:pPr>
        <w:spacing w:after="0" w:line="9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termination, and an alternative source of financing could not be secured, it could have a material adverse impact on our business.</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COVID-19 or similar pandemics. These and other developments could reduce our cash flow or require that we seek additional sources of funding. We cannot predict what effect these factors will have on our future liquidity.</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Term Loan, and borrowings under the Revolving Credit Facility, in privately negotiated or open market transactions, by tender offer or otherwise. Subject to any applicable limitations contained in the agreements governing our indebtedness, any purchases we make may be funded by the use of cash on our balance sheet or the incurrence of new debt. The amounts involved in any such purchase transactions, individually or in aggregate, may be material.</w:t>
      </w:r>
    </w:p>
    <w:p>
      <w:pPr>
        <w:spacing w:after="0" w:line="94"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We had approximately $31.4 million of lease liabilities at December 31, 2022, that have an average remaining life of approximately 10.4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were $28.4 million and $20.5 million for the nine months ended December 31, 2022 and 2021, respectively. On May 19, 2021, we announced the reinstatement of our quarterly dividend which had been suspended in fiscal 2021. Each quarterly dividend payment is subject to review and approval by our Board of Directors, who will continue to evaluate our dividend payment amount on a quarterly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December 31, 2022, our share repurchases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r>
      <w:tr>
        <w:trPr>
          <w:trHeight w:val="135"/>
        </w:trPr>
        <w:tc>
          <w:tcPr>
            <w:tcW w:w="5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of Shares that May</w:t>
            </w:r>
          </w:p>
        </w:tc>
      </w:tr>
      <w:tr>
        <w:trPr>
          <w:trHeight w:val="135"/>
        </w:trPr>
        <w:tc>
          <w:tcPr>
            <w:tcW w:w="5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as Part of Publicly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Yet be Purchased</w:t>
            </w:r>
          </w:p>
        </w:tc>
      </w:tr>
      <w:tr>
        <w:trPr>
          <w:trHeight w:val="135"/>
        </w:trPr>
        <w:tc>
          <w:tcPr>
            <w:tcW w:w="5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Total 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Average Price Paid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Announced Plans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 the Plans</w:t>
            </w:r>
          </w:p>
        </w:tc>
      </w:tr>
      <w:tr>
        <w:trPr>
          <w:trHeight w:val="169"/>
        </w:trPr>
        <w:tc>
          <w:tcPr>
            <w:tcW w:w="5460" w:type="dxa"/>
            <w:vAlign w:val="bottom"/>
            <w:tcBorders>
              <w:bottom w:val="single" w:sz="8" w:color="004483"/>
            </w:tcBorders>
            <w:gridSpan w:val="2"/>
          </w:tcPr>
          <w:p>
            <w:pPr>
              <w:ind w:left="20"/>
              <w:spacing w:after="0"/>
              <w:rPr>
                <w:sz w:val="20"/>
                <w:szCs w:val="20"/>
                <w:color w:val="auto"/>
              </w:rPr>
            </w:pPr>
            <w:r>
              <w:rPr>
                <w:rFonts w:ascii="Arial" w:cs="Arial" w:eastAsia="Arial" w:hAnsi="Arial"/>
                <w:sz w:val="13"/>
                <w:szCs w:val="13"/>
                <w:b w:val="1"/>
                <w:bCs w:val="1"/>
                <w:color w:val="auto"/>
              </w:rPr>
              <w:t>Period</w:t>
            </w: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4"/>
                <w:szCs w:val="14"/>
                <w:color w:val="auto"/>
              </w:rPr>
            </w:pPr>
          </w:p>
        </w:tc>
        <w:tc>
          <w:tcPr>
            <w:tcW w:w="140" w:type="dxa"/>
            <w:vAlign w:val="bottom"/>
            <w:tcBorders>
              <w:bottom w:val="single" w:sz="8" w:color="004483"/>
            </w:tcBorders>
          </w:tcPr>
          <w:p>
            <w:pPr>
              <w:spacing w:after="0"/>
              <w:rPr>
                <w:sz w:val="14"/>
                <w:szCs w:val="14"/>
                <w:color w:val="auto"/>
              </w:rPr>
            </w:pPr>
          </w:p>
        </w:tc>
        <w:tc>
          <w:tcPr>
            <w:tcW w:w="380" w:type="dxa"/>
            <w:vAlign w:val="bottom"/>
            <w:tcBorders>
              <w:bottom w:val="single" w:sz="8" w:color="004483"/>
            </w:tcBorders>
          </w:tcPr>
          <w:p>
            <w:pPr>
              <w:spacing w:after="0"/>
              <w:rPr>
                <w:sz w:val="14"/>
                <w:szCs w:val="14"/>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4"/>
                <w:szCs w:val="14"/>
                <w:color w:val="auto"/>
              </w:rPr>
            </w:pPr>
          </w:p>
        </w:tc>
        <w:tc>
          <w:tcPr>
            <w:tcW w:w="100" w:type="dxa"/>
            <w:vAlign w:val="bottom"/>
            <w:tcBorders>
              <w:bottom w:val="single" w:sz="8" w:color="004483"/>
            </w:tcBorders>
          </w:tcPr>
          <w:p>
            <w:pPr>
              <w:spacing w:after="0"/>
              <w:rPr>
                <w:sz w:val="14"/>
                <w:szCs w:val="14"/>
                <w:color w:val="auto"/>
              </w:rPr>
            </w:pP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00" w:type="dxa"/>
            <w:vAlign w:val="bottom"/>
          </w:tcPr>
          <w:p>
            <w:pPr>
              <w:spacing w:after="0"/>
              <w:rPr>
                <w:sz w:val="14"/>
                <w:szCs w:val="14"/>
                <w:color w:val="auto"/>
              </w:rPr>
            </w:pPr>
          </w:p>
        </w:tc>
        <w:tc>
          <w:tcPr>
            <w:tcW w:w="100" w:type="dxa"/>
            <w:vAlign w:val="bottom"/>
            <w:tcBorders>
              <w:bottom w:val="single" w:sz="8" w:color="004483"/>
            </w:tcBorders>
          </w:tcPr>
          <w:p>
            <w:pPr>
              <w:spacing w:after="0"/>
              <w:rPr>
                <w:sz w:val="14"/>
                <w:szCs w:val="14"/>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r>
      <w:tr>
        <w:trPr>
          <w:trHeight w:val="208"/>
        </w:trPr>
        <w:tc>
          <w:tcPr>
            <w:tcW w:w="54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April 1 through April 30, 2022</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296,000</w:t>
            </w:r>
          </w:p>
        </w:tc>
        <w:tc>
          <w:tcPr>
            <w:tcW w:w="120" w:type="dxa"/>
            <w:vAlign w:val="bottom"/>
          </w:tcPr>
          <w:p>
            <w:pPr>
              <w:spacing w:after="0"/>
              <w:rPr>
                <w:sz w:val="18"/>
                <w:szCs w:val="18"/>
                <w:color w:val="auto"/>
              </w:rPr>
            </w:pPr>
          </w:p>
        </w:tc>
        <w:tc>
          <w:tcPr>
            <w:tcW w:w="520" w:type="dxa"/>
            <w:vAlign w:val="bottom"/>
            <w:tcBorders>
              <w:bottom w:val="single" w:sz="8" w:color="A6A6A6"/>
            </w:tcBorders>
            <w:gridSpan w:val="2"/>
          </w:tcPr>
          <w:p>
            <w:pPr>
              <w:jc w:val="right"/>
              <w:ind w:right="203"/>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124.41</w:t>
            </w:r>
          </w:p>
        </w:tc>
        <w:tc>
          <w:tcPr>
            <w:tcW w:w="120" w:type="dxa"/>
            <w:vAlign w:val="bottom"/>
          </w:tcPr>
          <w:p>
            <w:pPr>
              <w:spacing w:after="0"/>
              <w:rPr>
                <w:sz w:val="18"/>
                <w:szCs w:val="18"/>
                <w:color w:val="auto"/>
              </w:rPr>
            </w:pPr>
          </w:p>
        </w:tc>
        <w:tc>
          <w:tcPr>
            <w:tcW w:w="13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296,000</w:t>
            </w:r>
          </w:p>
        </w:tc>
        <w:tc>
          <w:tcPr>
            <w:tcW w:w="10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r>
      <w:tr>
        <w:trPr>
          <w:trHeight w:val="209"/>
        </w:trPr>
        <w:tc>
          <w:tcPr>
            <w:tcW w:w="54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May 1 through May 31, 2022</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294,000</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124.72</w:t>
            </w:r>
          </w:p>
        </w:tc>
        <w:tc>
          <w:tcPr>
            <w:tcW w:w="120" w:type="dxa"/>
            <w:vAlign w:val="bottom"/>
          </w:tcPr>
          <w:p>
            <w:pPr>
              <w:spacing w:after="0"/>
              <w:rPr>
                <w:sz w:val="18"/>
                <w:szCs w:val="18"/>
                <w:color w:val="auto"/>
              </w:rPr>
            </w:pPr>
          </w:p>
        </w:tc>
        <w:tc>
          <w:tcPr>
            <w:tcW w:w="13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294,000</w:t>
            </w:r>
          </w:p>
        </w:tc>
        <w:tc>
          <w:tcPr>
            <w:tcW w:w="10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r>
      <w:tr>
        <w:trPr>
          <w:trHeight w:val="210"/>
        </w:trPr>
        <w:tc>
          <w:tcPr>
            <w:tcW w:w="5460" w:type="dxa"/>
            <w:vAlign w:val="bottom"/>
            <w:gridSpan w:val="2"/>
          </w:tcPr>
          <w:p>
            <w:pPr>
              <w:ind w:left="20"/>
              <w:spacing w:after="0"/>
              <w:rPr>
                <w:sz w:val="20"/>
                <w:szCs w:val="20"/>
                <w:color w:val="auto"/>
              </w:rPr>
            </w:pPr>
            <w:r>
              <w:rPr>
                <w:rFonts w:ascii="Arial" w:cs="Arial" w:eastAsia="Arial" w:hAnsi="Arial"/>
                <w:sz w:val="16"/>
                <w:szCs w:val="16"/>
                <w:color w:val="004483"/>
              </w:rPr>
              <w:t>June 1 through June 30, 2022</w:t>
            </w:r>
          </w:p>
        </w:tc>
        <w:tc>
          <w:tcPr>
            <w:tcW w:w="1280" w:type="dxa"/>
            <w:vAlign w:val="bottom"/>
          </w:tcPr>
          <w:p>
            <w:pPr>
              <w:jc w:val="right"/>
              <w:spacing w:after="0"/>
              <w:rPr>
                <w:sz w:val="20"/>
                <w:szCs w:val="20"/>
                <w:color w:val="auto"/>
              </w:rPr>
            </w:pPr>
            <w:r>
              <w:rPr>
                <w:rFonts w:ascii="Arial" w:cs="Arial" w:eastAsia="Arial" w:hAnsi="Arial"/>
                <w:sz w:val="16"/>
                <w:szCs w:val="16"/>
                <w:color w:val="auto"/>
              </w:rPr>
              <w:t>294,000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121.86</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294,000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46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b w:val="1"/>
                <w:bCs w:val="1"/>
                <w:color w:val="auto"/>
              </w:rPr>
              <w:t>Quarter 1 Totals</w:t>
            </w:r>
          </w:p>
        </w:tc>
        <w:tc>
          <w:tcPr>
            <w:tcW w:w="12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884,000</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380" w:type="dxa"/>
            <w:vAlign w:val="bottom"/>
            <w:tcBorders>
              <w:top w:val="single" w:sz="8" w:color="004483"/>
              <w:bottom w:val="single" w:sz="8" w:color="004483"/>
            </w:tcBorders>
          </w:tcPr>
          <w:p>
            <w:pPr>
              <w:jc w:val="right"/>
              <w:ind w:right="203"/>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124.00</w:t>
            </w:r>
          </w:p>
        </w:tc>
        <w:tc>
          <w:tcPr>
            <w:tcW w:w="120" w:type="dxa"/>
            <w:vAlign w:val="bottom"/>
          </w:tcPr>
          <w:p>
            <w:pPr>
              <w:spacing w:after="0"/>
              <w:rPr>
                <w:sz w:val="18"/>
                <w:szCs w:val="18"/>
                <w:color w:val="auto"/>
              </w:rPr>
            </w:pPr>
          </w:p>
        </w:tc>
        <w:tc>
          <w:tcPr>
            <w:tcW w:w="100" w:type="dxa"/>
            <w:vAlign w:val="bottom"/>
            <w:tcBorders>
              <w:top w:val="single" w:sz="8" w:color="A6A6A6"/>
            </w:tcBorders>
          </w:tcPr>
          <w:p>
            <w:pPr>
              <w:spacing w:after="0"/>
              <w:rPr>
                <w:sz w:val="18"/>
                <w:szCs w:val="18"/>
                <w:color w:val="auto"/>
              </w:rPr>
            </w:pPr>
          </w:p>
        </w:tc>
        <w:tc>
          <w:tcPr>
            <w:tcW w:w="12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884,000</w:t>
            </w:r>
          </w:p>
        </w:tc>
        <w:tc>
          <w:tcPr>
            <w:tcW w:w="1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260" w:type="dxa"/>
            <w:vAlign w:val="bottom"/>
            <w:tcBorders>
              <w:top w:val="single" w:sz="8" w:color="A6A6A6"/>
              <w:bottom w:val="single" w:sz="8" w:color="A6A6A6"/>
            </w:tcBorders>
          </w:tcPr>
          <w:p>
            <w:pPr>
              <w:spacing w:after="0"/>
              <w:rPr>
                <w:sz w:val="18"/>
                <w:szCs w:val="18"/>
                <w:color w:val="auto"/>
              </w:rPr>
            </w:pPr>
          </w:p>
        </w:tc>
      </w:tr>
      <w:tr>
        <w:trPr>
          <w:trHeight w:val="207"/>
        </w:trPr>
        <w:tc>
          <w:tcPr>
            <w:tcW w:w="54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July 1 through July 31, 2022</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280,000</w:t>
            </w:r>
          </w:p>
        </w:tc>
        <w:tc>
          <w:tcPr>
            <w:tcW w:w="120" w:type="dxa"/>
            <w:vAlign w:val="bottom"/>
          </w:tcPr>
          <w:p>
            <w:pPr>
              <w:spacing w:after="0"/>
              <w:rPr>
                <w:sz w:val="18"/>
                <w:szCs w:val="18"/>
                <w:color w:val="auto"/>
              </w:rPr>
            </w:pPr>
          </w:p>
        </w:tc>
        <w:tc>
          <w:tcPr>
            <w:tcW w:w="520" w:type="dxa"/>
            <w:vAlign w:val="bottom"/>
            <w:tcBorders>
              <w:bottom w:val="single" w:sz="8" w:color="A6A6A6"/>
            </w:tcBorders>
            <w:gridSpan w:val="2"/>
          </w:tcPr>
          <w:p>
            <w:pPr>
              <w:jc w:val="right"/>
              <w:ind w:right="203"/>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115.46</w:t>
            </w:r>
          </w:p>
        </w:tc>
        <w:tc>
          <w:tcPr>
            <w:tcW w:w="120" w:type="dxa"/>
            <w:vAlign w:val="bottom"/>
          </w:tcPr>
          <w:p>
            <w:pPr>
              <w:spacing w:after="0"/>
              <w:rPr>
                <w:sz w:val="18"/>
                <w:szCs w:val="18"/>
                <w:color w:val="auto"/>
              </w:rPr>
            </w:pPr>
          </w:p>
        </w:tc>
        <w:tc>
          <w:tcPr>
            <w:tcW w:w="13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280,000</w:t>
            </w:r>
          </w:p>
        </w:tc>
        <w:tc>
          <w:tcPr>
            <w:tcW w:w="10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r>
      <w:tr>
        <w:trPr>
          <w:trHeight w:val="210"/>
        </w:trPr>
        <w:tc>
          <w:tcPr>
            <w:tcW w:w="54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August 1 through August 31, 2022</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308,000</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128.93</w:t>
            </w:r>
          </w:p>
        </w:tc>
        <w:tc>
          <w:tcPr>
            <w:tcW w:w="120" w:type="dxa"/>
            <w:vAlign w:val="bottom"/>
          </w:tcPr>
          <w:p>
            <w:pPr>
              <w:spacing w:after="0"/>
              <w:rPr>
                <w:sz w:val="18"/>
                <w:szCs w:val="18"/>
                <w:color w:val="auto"/>
              </w:rPr>
            </w:pPr>
          </w:p>
        </w:tc>
        <w:tc>
          <w:tcPr>
            <w:tcW w:w="13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308,000</w:t>
            </w:r>
          </w:p>
        </w:tc>
        <w:tc>
          <w:tcPr>
            <w:tcW w:w="10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r>
      <w:tr>
        <w:trPr>
          <w:trHeight w:val="209"/>
        </w:trPr>
        <w:tc>
          <w:tcPr>
            <w:tcW w:w="5460" w:type="dxa"/>
            <w:vAlign w:val="bottom"/>
            <w:gridSpan w:val="2"/>
          </w:tcPr>
          <w:p>
            <w:pPr>
              <w:ind w:left="20"/>
              <w:spacing w:after="0"/>
              <w:rPr>
                <w:sz w:val="20"/>
                <w:szCs w:val="20"/>
                <w:color w:val="auto"/>
              </w:rPr>
            </w:pPr>
            <w:r>
              <w:rPr>
                <w:rFonts w:ascii="Arial" w:cs="Arial" w:eastAsia="Arial" w:hAnsi="Arial"/>
                <w:sz w:val="16"/>
                <w:szCs w:val="16"/>
                <w:color w:val="004483"/>
              </w:rPr>
              <w:t>September 1 through September 30, 2022</w:t>
            </w:r>
          </w:p>
        </w:tc>
        <w:tc>
          <w:tcPr>
            <w:tcW w:w="1280" w:type="dxa"/>
            <w:vAlign w:val="bottom"/>
          </w:tcPr>
          <w:p>
            <w:pPr>
              <w:jc w:val="right"/>
              <w:spacing w:after="0"/>
              <w:rPr>
                <w:sz w:val="20"/>
                <w:szCs w:val="20"/>
                <w:color w:val="auto"/>
              </w:rPr>
            </w:pPr>
            <w:r>
              <w:rPr>
                <w:rFonts w:ascii="Arial" w:cs="Arial" w:eastAsia="Arial" w:hAnsi="Arial"/>
                <w:sz w:val="16"/>
                <w:szCs w:val="16"/>
                <w:color w:val="auto"/>
              </w:rPr>
              <w:t>252,000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114.08</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252,000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46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b w:val="1"/>
                <w:bCs w:val="1"/>
                <w:color w:val="auto"/>
              </w:rPr>
              <w:t>Quarter 2 Totals</w:t>
            </w:r>
          </w:p>
        </w:tc>
        <w:tc>
          <w:tcPr>
            <w:tcW w:w="12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840,000</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380" w:type="dxa"/>
            <w:vAlign w:val="bottom"/>
            <w:tcBorders>
              <w:top w:val="single" w:sz="8" w:color="004483"/>
              <w:bottom w:val="single" w:sz="8" w:color="004483"/>
            </w:tcBorders>
          </w:tcPr>
          <w:p>
            <w:pPr>
              <w:jc w:val="right"/>
              <w:ind w:right="203"/>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119.98</w:t>
            </w:r>
          </w:p>
        </w:tc>
        <w:tc>
          <w:tcPr>
            <w:tcW w:w="120" w:type="dxa"/>
            <w:vAlign w:val="bottom"/>
          </w:tcPr>
          <w:p>
            <w:pPr>
              <w:spacing w:after="0"/>
              <w:rPr>
                <w:sz w:val="18"/>
                <w:szCs w:val="18"/>
                <w:color w:val="auto"/>
              </w:rPr>
            </w:pPr>
          </w:p>
        </w:tc>
        <w:tc>
          <w:tcPr>
            <w:tcW w:w="100" w:type="dxa"/>
            <w:vAlign w:val="bottom"/>
            <w:tcBorders>
              <w:top w:val="single" w:sz="8" w:color="A6A6A6"/>
            </w:tcBorders>
          </w:tcPr>
          <w:p>
            <w:pPr>
              <w:spacing w:after="0"/>
              <w:rPr>
                <w:sz w:val="18"/>
                <w:szCs w:val="18"/>
                <w:color w:val="auto"/>
              </w:rPr>
            </w:pPr>
          </w:p>
        </w:tc>
        <w:tc>
          <w:tcPr>
            <w:tcW w:w="12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840,000</w:t>
            </w:r>
          </w:p>
        </w:tc>
        <w:tc>
          <w:tcPr>
            <w:tcW w:w="1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1260" w:type="dxa"/>
            <w:vAlign w:val="bottom"/>
            <w:tcBorders>
              <w:top w:val="single" w:sz="8" w:color="A6A6A6"/>
              <w:bottom w:val="single" w:sz="8" w:color="A6A6A6"/>
            </w:tcBorders>
          </w:tcPr>
          <w:p>
            <w:pPr>
              <w:spacing w:after="0"/>
              <w:rPr>
                <w:sz w:val="18"/>
                <w:szCs w:val="18"/>
                <w:color w:val="auto"/>
              </w:rPr>
            </w:pPr>
          </w:p>
        </w:tc>
      </w:tr>
      <w:tr>
        <w:trPr>
          <w:trHeight w:val="207"/>
        </w:trPr>
        <w:tc>
          <w:tcPr>
            <w:tcW w:w="53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October 1 through October 31, 2022</w:t>
            </w:r>
          </w:p>
        </w:tc>
        <w:tc>
          <w:tcPr>
            <w:tcW w:w="120" w:type="dxa"/>
            <w:vAlign w:val="bottom"/>
            <w:tcBorders>
              <w:bottom w:val="single" w:sz="8" w:color="A3A3A3"/>
            </w:tcBorders>
          </w:tcPr>
          <w:p>
            <w:pPr>
              <w:spacing w:after="0"/>
              <w:rPr>
                <w:sz w:val="18"/>
                <w:szCs w:val="18"/>
                <w:color w:val="auto"/>
              </w:rPr>
            </w:pPr>
          </w:p>
        </w:tc>
        <w:tc>
          <w:tcPr>
            <w:tcW w:w="128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276,000</w:t>
            </w:r>
          </w:p>
        </w:tc>
        <w:tc>
          <w:tcPr>
            <w:tcW w:w="120" w:type="dxa"/>
            <w:vAlign w:val="bottom"/>
          </w:tcPr>
          <w:p>
            <w:pPr>
              <w:spacing w:after="0"/>
              <w:rPr>
                <w:sz w:val="18"/>
                <w:szCs w:val="18"/>
                <w:color w:val="auto"/>
              </w:rPr>
            </w:pPr>
          </w:p>
        </w:tc>
        <w:tc>
          <w:tcPr>
            <w:tcW w:w="520" w:type="dxa"/>
            <w:vAlign w:val="bottom"/>
            <w:tcBorders>
              <w:bottom w:val="single" w:sz="8" w:color="A3A3A3"/>
            </w:tcBorders>
            <w:gridSpan w:val="2"/>
          </w:tcPr>
          <w:p>
            <w:pPr>
              <w:jc w:val="right"/>
              <w:ind w:right="203"/>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113.96</w:t>
            </w:r>
          </w:p>
        </w:tc>
        <w:tc>
          <w:tcPr>
            <w:tcW w:w="120" w:type="dxa"/>
            <w:vAlign w:val="bottom"/>
          </w:tcPr>
          <w:p>
            <w:pPr>
              <w:spacing w:after="0"/>
              <w:rPr>
                <w:sz w:val="18"/>
                <w:szCs w:val="18"/>
                <w:color w:val="auto"/>
              </w:rPr>
            </w:pPr>
          </w:p>
        </w:tc>
        <w:tc>
          <w:tcPr>
            <w:tcW w:w="1320" w:type="dxa"/>
            <w:vAlign w:val="bottom"/>
            <w:tcBorders>
              <w:bottom w:val="single" w:sz="8" w:color="A3A3A3"/>
            </w:tcBorders>
            <w:gridSpan w:val="2"/>
          </w:tcPr>
          <w:p>
            <w:pPr>
              <w:jc w:val="right"/>
              <w:spacing w:after="0"/>
              <w:rPr>
                <w:sz w:val="20"/>
                <w:szCs w:val="20"/>
                <w:color w:val="auto"/>
              </w:rPr>
            </w:pPr>
            <w:r>
              <w:rPr>
                <w:rFonts w:ascii="Arial" w:cs="Arial" w:eastAsia="Arial" w:hAnsi="Arial"/>
                <w:sz w:val="16"/>
                <w:szCs w:val="16"/>
                <w:color w:val="auto"/>
              </w:rPr>
              <w:t>276,000</w:t>
            </w:r>
          </w:p>
        </w:tc>
        <w:tc>
          <w:tcPr>
            <w:tcW w:w="100" w:type="dxa"/>
            <w:vAlign w:val="bottom"/>
          </w:tcPr>
          <w:p>
            <w:pPr>
              <w:spacing w:after="0"/>
              <w:rPr>
                <w:sz w:val="18"/>
                <w:szCs w:val="18"/>
                <w:color w:val="auto"/>
              </w:rPr>
            </w:pPr>
          </w:p>
        </w:tc>
        <w:tc>
          <w:tcPr>
            <w:tcW w:w="100" w:type="dxa"/>
            <w:vAlign w:val="bottom"/>
            <w:tcBorders>
              <w:bottom w:val="single" w:sz="8" w:color="A3A3A3"/>
            </w:tcBorders>
          </w:tcPr>
          <w:p>
            <w:pPr>
              <w:spacing w:after="0"/>
              <w:rPr>
                <w:sz w:val="18"/>
                <w:szCs w:val="18"/>
                <w:color w:val="auto"/>
              </w:rPr>
            </w:pPr>
          </w:p>
        </w:tc>
        <w:tc>
          <w:tcPr>
            <w:tcW w:w="1260" w:type="dxa"/>
            <w:vAlign w:val="bottom"/>
            <w:tcBorders>
              <w:bottom w:val="single" w:sz="8" w:color="A3A3A3"/>
            </w:tcBorders>
          </w:tcPr>
          <w:p>
            <w:pPr>
              <w:spacing w:after="0"/>
              <w:rPr>
                <w:sz w:val="18"/>
                <w:szCs w:val="18"/>
                <w:color w:val="auto"/>
              </w:rPr>
            </w:pPr>
          </w:p>
        </w:tc>
      </w:tr>
      <w:tr>
        <w:trPr>
          <w:trHeight w:val="209"/>
        </w:trPr>
        <w:tc>
          <w:tcPr>
            <w:tcW w:w="53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November 1 through November 30, 2022</w:t>
            </w:r>
          </w:p>
        </w:tc>
        <w:tc>
          <w:tcPr>
            <w:tcW w:w="120" w:type="dxa"/>
            <w:vAlign w:val="bottom"/>
            <w:tcBorders>
              <w:bottom w:val="single" w:sz="8" w:color="A3A3A3"/>
            </w:tcBorders>
          </w:tcPr>
          <w:p>
            <w:pPr>
              <w:spacing w:after="0"/>
              <w:rPr>
                <w:sz w:val="18"/>
                <w:szCs w:val="18"/>
                <w:color w:val="auto"/>
              </w:rPr>
            </w:pPr>
          </w:p>
        </w:tc>
        <w:tc>
          <w:tcPr>
            <w:tcW w:w="128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265,813</w:t>
            </w:r>
          </w:p>
        </w:tc>
        <w:tc>
          <w:tcPr>
            <w:tcW w:w="120" w:type="dxa"/>
            <w:vAlign w:val="bottom"/>
          </w:tcPr>
          <w:p>
            <w:pPr>
              <w:spacing w:after="0"/>
              <w:rPr>
                <w:sz w:val="18"/>
                <w:szCs w:val="18"/>
                <w:color w:val="auto"/>
              </w:rPr>
            </w:pPr>
          </w:p>
        </w:tc>
        <w:tc>
          <w:tcPr>
            <w:tcW w:w="520" w:type="dxa"/>
            <w:vAlign w:val="bottom"/>
            <w:tcBorders>
              <w:bottom w:val="single" w:sz="8" w:color="A3A3A3"/>
            </w:tcBorders>
            <w:gridSpan w:val="2"/>
          </w:tcPr>
          <w:p>
            <w:pPr>
              <w:jc w:val="right"/>
              <w:ind w:right="203"/>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128.15</w:t>
            </w:r>
          </w:p>
        </w:tc>
        <w:tc>
          <w:tcPr>
            <w:tcW w:w="120" w:type="dxa"/>
            <w:vAlign w:val="bottom"/>
          </w:tcPr>
          <w:p>
            <w:pPr>
              <w:spacing w:after="0"/>
              <w:rPr>
                <w:sz w:val="18"/>
                <w:szCs w:val="18"/>
                <w:color w:val="auto"/>
              </w:rPr>
            </w:pPr>
          </w:p>
        </w:tc>
        <w:tc>
          <w:tcPr>
            <w:tcW w:w="1320" w:type="dxa"/>
            <w:vAlign w:val="bottom"/>
            <w:tcBorders>
              <w:bottom w:val="single" w:sz="8" w:color="A3A3A3"/>
            </w:tcBorders>
            <w:gridSpan w:val="2"/>
          </w:tcPr>
          <w:p>
            <w:pPr>
              <w:jc w:val="right"/>
              <w:spacing w:after="0"/>
              <w:rPr>
                <w:sz w:val="20"/>
                <w:szCs w:val="20"/>
                <w:color w:val="auto"/>
              </w:rPr>
            </w:pPr>
            <w:r>
              <w:rPr>
                <w:rFonts w:ascii="Arial" w:cs="Arial" w:eastAsia="Arial" w:hAnsi="Arial"/>
                <w:sz w:val="16"/>
                <w:szCs w:val="16"/>
                <w:color w:val="auto"/>
              </w:rPr>
              <w:t>265,813</w:t>
            </w:r>
          </w:p>
        </w:tc>
        <w:tc>
          <w:tcPr>
            <w:tcW w:w="100" w:type="dxa"/>
            <w:vAlign w:val="bottom"/>
          </w:tcPr>
          <w:p>
            <w:pPr>
              <w:spacing w:after="0"/>
              <w:rPr>
                <w:sz w:val="18"/>
                <w:szCs w:val="18"/>
                <w:color w:val="auto"/>
              </w:rPr>
            </w:pPr>
          </w:p>
        </w:tc>
        <w:tc>
          <w:tcPr>
            <w:tcW w:w="100" w:type="dxa"/>
            <w:vAlign w:val="bottom"/>
            <w:tcBorders>
              <w:bottom w:val="single" w:sz="8" w:color="A3A3A3"/>
            </w:tcBorders>
          </w:tcPr>
          <w:p>
            <w:pPr>
              <w:spacing w:after="0"/>
              <w:rPr>
                <w:sz w:val="18"/>
                <w:szCs w:val="18"/>
                <w:color w:val="auto"/>
              </w:rPr>
            </w:pPr>
          </w:p>
        </w:tc>
        <w:tc>
          <w:tcPr>
            <w:tcW w:w="1260" w:type="dxa"/>
            <w:vAlign w:val="bottom"/>
            <w:tcBorders>
              <w:bottom w:val="single" w:sz="8" w:color="A3A3A3"/>
            </w:tcBorders>
          </w:tcPr>
          <w:p>
            <w:pPr>
              <w:spacing w:after="0"/>
              <w:rPr>
                <w:sz w:val="18"/>
                <w:szCs w:val="18"/>
                <w:color w:val="auto"/>
              </w:rPr>
            </w:pPr>
          </w:p>
        </w:tc>
      </w:tr>
      <w:tr>
        <w:trPr>
          <w:trHeight w:val="210"/>
        </w:trPr>
        <w:tc>
          <w:tcPr>
            <w:tcW w:w="5460" w:type="dxa"/>
            <w:vAlign w:val="bottom"/>
            <w:gridSpan w:val="2"/>
          </w:tcPr>
          <w:p>
            <w:pPr>
              <w:ind w:left="20"/>
              <w:spacing w:after="0"/>
              <w:rPr>
                <w:sz w:val="20"/>
                <w:szCs w:val="20"/>
                <w:color w:val="auto"/>
              </w:rPr>
            </w:pPr>
            <w:r>
              <w:rPr>
                <w:rFonts w:ascii="Arial" w:cs="Arial" w:eastAsia="Arial" w:hAnsi="Arial"/>
                <w:sz w:val="16"/>
                <w:szCs w:val="16"/>
                <w:color w:val="004483"/>
              </w:rPr>
              <w:t>December 1 through December 31, 2022</w:t>
            </w:r>
          </w:p>
        </w:tc>
        <w:tc>
          <w:tcPr>
            <w:tcW w:w="1280" w:type="dxa"/>
            <w:vAlign w:val="bottom"/>
          </w:tcPr>
          <w:p>
            <w:pPr>
              <w:jc w:val="right"/>
              <w:spacing w:after="0"/>
              <w:rPr>
                <w:sz w:val="20"/>
                <w:szCs w:val="20"/>
                <w:color w:val="auto"/>
              </w:rPr>
            </w:pPr>
            <w:r>
              <w:rPr>
                <w:rFonts w:ascii="Arial" w:cs="Arial" w:eastAsia="Arial" w:hAnsi="Arial"/>
                <w:sz w:val="16"/>
                <w:szCs w:val="16"/>
                <w:color w:val="auto"/>
              </w:rPr>
              <w:t>281,975</w:t>
            </w:r>
          </w:p>
        </w:tc>
        <w:tc>
          <w:tcPr>
            <w:tcW w:w="640" w:type="dxa"/>
            <w:vAlign w:val="bottom"/>
            <w:gridSpan w:val="3"/>
          </w:tcPr>
          <w:p>
            <w:pPr>
              <w:jc w:val="right"/>
              <w:ind w:right="203"/>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134.71</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281,975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3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b w:val="1"/>
                <w:bCs w:val="1"/>
                <w:color w:val="auto"/>
              </w:rPr>
              <w:t>Quarter 3 Totals</w:t>
            </w:r>
          </w:p>
        </w:tc>
        <w:tc>
          <w:tcPr>
            <w:tcW w:w="120" w:type="dxa"/>
            <w:vAlign w:val="bottom"/>
            <w:tcBorders>
              <w:top w:val="single" w:sz="8" w:color="A3A3A3"/>
            </w:tcBorders>
          </w:tcPr>
          <w:p>
            <w:pPr>
              <w:spacing w:after="0"/>
              <w:rPr>
                <w:sz w:val="18"/>
                <w:szCs w:val="18"/>
                <w:color w:val="auto"/>
              </w:rPr>
            </w:pPr>
          </w:p>
        </w:tc>
        <w:tc>
          <w:tcPr>
            <w:tcW w:w="12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823,788</w:t>
            </w:r>
          </w:p>
        </w:tc>
        <w:tc>
          <w:tcPr>
            <w:tcW w:w="120" w:type="dxa"/>
            <w:vAlign w:val="bottom"/>
          </w:tcPr>
          <w:p>
            <w:pPr>
              <w:spacing w:after="0"/>
              <w:rPr>
                <w:sz w:val="18"/>
                <w:szCs w:val="18"/>
                <w:color w:val="auto"/>
              </w:rPr>
            </w:pPr>
          </w:p>
        </w:tc>
        <w:tc>
          <w:tcPr>
            <w:tcW w:w="140" w:type="dxa"/>
            <w:vAlign w:val="bottom"/>
            <w:tcBorders>
              <w:top w:val="single" w:sz="8" w:color="A3A3A3"/>
            </w:tcBorders>
          </w:tcPr>
          <w:p>
            <w:pPr>
              <w:spacing w:after="0"/>
              <w:rPr>
                <w:sz w:val="18"/>
                <w:szCs w:val="18"/>
                <w:color w:val="auto"/>
              </w:rPr>
            </w:pPr>
          </w:p>
        </w:tc>
        <w:tc>
          <w:tcPr>
            <w:tcW w:w="380" w:type="dxa"/>
            <w:vAlign w:val="bottom"/>
            <w:tcBorders>
              <w:top w:val="single" w:sz="8" w:color="004483"/>
              <w:bottom w:val="single" w:sz="8" w:color="004483"/>
            </w:tcBorders>
          </w:tcPr>
          <w:p>
            <w:pPr>
              <w:jc w:val="right"/>
              <w:ind w:right="203"/>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125.64</w:t>
            </w:r>
          </w:p>
        </w:tc>
        <w:tc>
          <w:tcPr>
            <w:tcW w:w="120" w:type="dxa"/>
            <w:vAlign w:val="bottom"/>
          </w:tcPr>
          <w:p>
            <w:pPr>
              <w:spacing w:after="0"/>
              <w:rPr>
                <w:sz w:val="18"/>
                <w:szCs w:val="18"/>
                <w:color w:val="auto"/>
              </w:rPr>
            </w:pPr>
          </w:p>
        </w:tc>
        <w:tc>
          <w:tcPr>
            <w:tcW w:w="100" w:type="dxa"/>
            <w:vAlign w:val="bottom"/>
            <w:tcBorders>
              <w:top w:val="single" w:sz="8" w:color="A3A3A3"/>
            </w:tcBorders>
          </w:tcPr>
          <w:p>
            <w:pPr>
              <w:spacing w:after="0"/>
              <w:rPr>
                <w:sz w:val="18"/>
                <w:szCs w:val="18"/>
                <w:color w:val="auto"/>
              </w:rPr>
            </w:pPr>
          </w:p>
        </w:tc>
        <w:tc>
          <w:tcPr>
            <w:tcW w:w="12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823,788</w:t>
            </w:r>
          </w:p>
        </w:tc>
        <w:tc>
          <w:tcPr>
            <w:tcW w:w="100" w:type="dxa"/>
            <w:vAlign w:val="bottom"/>
          </w:tcPr>
          <w:p>
            <w:pPr>
              <w:spacing w:after="0"/>
              <w:rPr>
                <w:sz w:val="18"/>
                <w:szCs w:val="18"/>
                <w:color w:val="auto"/>
              </w:rPr>
            </w:pPr>
          </w:p>
        </w:tc>
        <w:tc>
          <w:tcPr>
            <w:tcW w:w="100" w:type="dxa"/>
            <w:vAlign w:val="bottom"/>
            <w:tcBorders>
              <w:top w:val="single" w:sz="8" w:color="A3A3A3"/>
            </w:tcBorders>
          </w:tcPr>
          <w:p>
            <w:pPr>
              <w:spacing w:after="0"/>
              <w:rPr>
                <w:sz w:val="18"/>
                <w:szCs w:val="18"/>
                <w:color w:val="auto"/>
              </w:rPr>
            </w:pPr>
          </w:p>
        </w:tc>
        <w:tc>
          <w:tcPr>
            <w:tcW w:w="1260" w:type="dxa"/>
            <w:vAlign w:val="bottom"/>
            <w:tcBorders>
              <w:top w:val="single" w:sz="8" w:color="A3A3A3"/>
              <w:bottom w:val="single" w:sz="8" w:color="004483"/>
            </w:tcBorders>
          </w:tcPr>
          <w:p>
            <w:pPr>
              <w:spacing w:after="0"/>
              <w:rPr>
                <w:sz w:val="18"/>
                <w:szCs w:val="18"/>
                <w:color w:val="auto"/>
              </w:rPr>
            </w:pPr>
          </w:p>
        </w:tc>
      </w:tr>
      <w:tr>
        <w:trPr>
          <w:trHeight w:val="210"/>
        </w:trPr>
        <w:tc>
          <w:tcPr>
            <w:tcW w:w="5340" w:type="dxa"/>
            <w:vAlign w:val="bottom"/>
          </w:tcPr>
          <w:p>
            <w:pPr>
              <w:ind w:left="200"/>
              <w:spacing w:after="0"/>
              <w:rPr>
                <w:sz w:val="20"/>
                <w:szCs w:val="20"/>
                <w:color w:val="auto"/>
              </w:rPr>
            </w:pPr>
            <w:r>
              <w:rPr>
                <w:rFonts w:ascii="Arial" w:cs="Arial" w:eastAsia="Arial" w:hAnsi="Arial"/>
                <w:sz w:val="16"/>
                <w:szCs w:val="16"/>
                <w:b w:val="1"/>
                <w:bCs w:val="1"/>
                <w:color w:val="auto"/>
              </w:rPr>
              <w:t>Year-to-Date Totals</w:t>
            </w:r>
          </w:p>
        </w:tc>
        <w:tc>
          <w:tcPr>
            <w:tcW w:w="120" w:type="dxa"/>
            <w:vAlign w:val="bottom"/>
          </w:tcPr>
          <w:p>
            <w:pPr>
              <w:spacing w:after="0"/>
              <w:rPr>
                <w:sz w:val="18"/>
                <w:szCs w:val="18"/>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2,547,788</w:t>
            </w:r>
          </w:p>
        </w:tc>
        <w:tc>
          <w:tcPr>
            <w:tcW w:w="260" w:type="dxa"/>
            <w:vAlign w:val="bottom"/>
            <w:gridSpan w:val="2"/>
          </w:tcPr>
          <w:p>
            <w:pPr>
              <w:spacing w:after="0"/>
              <w:rPr>
                <w:sz w:val="18"/>
                <w:szCs w:val="18"/>
                <w:color w:val="auto"/>
              </w:rPr>
            </w:pPr>
          </w:p>
        </w:tc>
        <w:tc>
          <w:tcPr>
            <w:tcW w:w="380" w:type="dxa"/>
            <w:vAlign w:val="bottom"/>
            <w:tcBorders>
              <w:bottom w:val="single" w:sz="8" w:color="004483"/>
            </w:tcBorders>
          </w:tcPr>
          <w:p>
            <w:pPr>
              <w:jc w:val="right"/>
              <w:ind w:right="203"/>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123.20</w:t>
            </w:r>
          </w:p>
        </w:tc>
        <w:tc>
          <w:tcPr>
            <w:tcW w:w="220" w:type="dxa"/>
            <w:vAlign w:val="bottom"/>
            <w:gridSpan w:val="2"/>
          </w:tcPr>
          <w:p>
            <w:pPr>
              <w:spacing w:after="0"/>
              <w:rPr>
                <w:sz w:val="18"/>
                <w:szCs w:val="18"/>
                <w:color w:val="auto"/>
              </w:rPr>
            </w:pP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2,547,788</w:t>
            </w:r>
          </w:p>
        </w:tc>
        <w:tc>
          <w:tcPr>
            <w:tcW w:w="200" w:type="dxa"/>
            <w:vAlign w:val="bottom"/>
            <w:gridSpan w:val="2"/>
          </w:tcPr>
          <w:p>
            <w:pPr>
              <w:spacing w:after="0"/>
              <w:rPr>
                <w:sz w:val="18"/>
                <w:szCs w:val="18"/>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8,275,204</w:t>
            </w: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r>
    </w:tbl>
    <w:p>
      <w:pPr>
        <w:spacing w:after="0" w:line="107"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On May 17, 2022, the Board of Directors authorized us to repurchase an additional 7.5 million shares. This authorization brought the cumulative total of Common Stock our Board has approved for repurchase in the open market to 55.9 million shares since we became publicly held in April 1994. Through December 31, 2022, we have repurchased approximately 47.6 million shares.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6" w:name="page37"/>
    <w:bookmarkEnd w:id="36"/>
    <w:p>
      <w:pPr>
        <w:ind w:right="140"/>
        <w:spacing w:after="0" w:line="238"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79" w:lineRule="exact"/>
        <w:rPr>
          <w:sz w:val="20"/>
          <w:szCs w:val="20"/>
          <w:color w:val="auto"/>
        </w:rPr>
      </w:pPr>
    </w:p>
    <w:p>
      <w:pPr>
        <w:ind w:right="540"/>
        <w:spacing w:after="0" w:line="26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Inflation Reduction Act of 2022</w:t>
      </w:r>
      <w:r>
        <w:rPr>
          <w:rFonts w:ascii="Arial" w:cs="Arial" w:eastAsia="Arial" w:hAnsi="Arial"/>
          <w:sz w:val="18"/>
          <w:szCs w:val="18"/>
          <w:color w:val="auto"/>
        </w:rPr>
        <w:t xml:space="preserve"> added a provision imposing a 1% excise tax on the fair value of stock repurchases by companies beginning January 1, 2023. We do not expect taxes due on future repurchases of our shares to have a material effect on our business.</w:t>
      </w:r>
    </w:p>
    <w:p>
      <w:pPr>
        <w:spacing w:after="0" w:line="70"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During the nine months ended December 31, 2022, the Company withheld from employees 13,317 shares of stock upon the vesting of Restricted Shares that were granted under the Plan. We withheld these shares to satisfy the employees’ statutory tax withholding requirements, which is required once the Restricted Shares or Restricted Share Units are vested.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380" w:type="dxa"/>
            <w:vAlign w:val="bottom"/>
            <w:shd w:val="clear" w:color="auto" w:fill="004483"/>
          </w:tcPr>
          <w:p>
            <w:pPr>
              <w:spacing w:after="0"/>
              <w:rPr>
                <w:sz w:val="14"/>
                <w:szCs w:val="14"/>
                <w:color w:val="auto"/>
              </w:rPr>
            </w:pPr>
          </w:p>
        </w:tc>
        <w:tc>
          <w:tcPr>
            <w:tcW w:w="2880" w:type="dxa"/>
            <w:vAlign w:val="bottom"/>
            <w:gridSpan w:val="4"/>
            <w:shd w:val="clear" w:color="auto" w:fill="004483"/>
          </w:tcPr>
          <w:p>
            <w:pPr>
              <w:jc w:val="right"/>
              <w:ind w:right="19"/>
              <w:spacing w:after="0"/>
              <w:rPr>
                <w:sz w:val="20"/>
                <w:szCs w:val="20"/>
                <w:color w:val="auto"/>
              </w:rPr>
            </w:pPr>
            <w:r>
              <w:rPr>
                <w:rFonts w:ascii="Arial" w:cs="Arial" w:eastAsia="Arial" w:hAnsi="Arial"/>
                <w:sz w:val="13"/>
                <w:szCs w:val="13"/>
                <w:b w:val="1"/>
                <w:bCs w:val="1"/>
                <w:color w:val="FFFFFF"/>
              </w:rPr>
              <w:t>For the Nine Months Ended December 31,</w:t>
            </w:r>
          </w:p>
        </w:tc>
        <w:tc>
          <w:tcPr>
            <w:tcW w:w="60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68"/>
        </w:trPr>
        <w:tc>
          <w:tcPr>
            <w:tcW w:w="7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77"/>
        </w:trPr>
        <w:tc>
          <w:tcPr>
            <w:tcW w:w="728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2880" w:type="dxa"/>
            <w:vAlign w:val="bottom"/>
            <w:tcBorders>
              <w:bottom w:val="single" w:sz="8" w:color="004483"/>
            </w:tcBorders>
            <w:gridSpan w:val="4"/>
          </w:tcPr>
          <w:p>
            <w:pPr>
              <w:jc w:val="right"/>
              <w:ind w:right="659"/>
              <w:spacing w:after="0"/>
              <w:rPr>
                <w:sz w:val="20"/>
                <w:szCs w:val="20"/>
                <w:color w:val="auto"/>
              </w:rPr>
            </w:pPr>
            <w:r>
              <w:rPr>
                <w:rFonts w:ascii="Arial" w:cs="Arial" w:eastAsia="Arial" w:hAnsi="Arial"/>
                <w:sz w:val="13"/>
                <w:szCs w:val="13"/>
                <w:color w:val="auto"/>
              </w:rPr>
              <w:t>(dollars in thousands)</w:t>
            </w:r>
          </w:p>
        </w:tc>
        <w:tc>
          <w:tcPr>
            <w:tcW w:w="6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004483"/>
              </w:rPr>
              <w:t>Land and Quarries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11,178</w:t>
            </w:r>
          </w:p>
        </w:tc>
        <w:tc>
          <w:tcPr>
            <w:tcW w:w="1480" w:type="dxa"/>
            <w:vAlign w:val="bottom"/>
            <w:gridSpan w:val="3"/>
          </w:tcPr>
          <w:p>
            <w:pPr>
              <w:jc w:val="right"/>
              <w:ind w:right="9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5,306</w:t>
            </w:r>
          </w:p>
        </w:tc>
        <w:tc>
          <w:tcPr>
            <w:tcW w:w="100" w:type="dxa"/>
            <w:vAlign w:val="bottom"/>
          </w:tcPr>
          <w:p>
            <w:pPr>
              <w:spacing w:after="0"/>
              <w:rPr>
                <w:sz w:val="18"/>
                <w:szCs w:val="18"/>
                <w:color w:val="auto"/>
              </w:rPr>
            </w:pPr>
          </w:p>
        </w:tc>
      </w:tr>
      <w:tr>
        <w:trPr>
          <w:trHeight w:val="210"/>
        </w:trPr>
        <w:tc>
          <w:tcPr>
            <w:tcW w:w="72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Plants</w:t>
            </w:r>
          </w:p>
        </w:tc>
        <w:tc>
          <w:tcPr>
            <w:tcW w:w="380" w:type="dxa"/>
            <w:vAlign w:val="bottom"/>
            <w:tcBorders>
              <w:top w:val="single" w:sz="8" w:color="A6A6A6"/>
              <w:bottom w:val="single" w:sz="8" w:color="A6A6A6"/>
            </w:tcBorders>
          </w:tcPr>
          <w:p>
            <w:pPr>
              <w:spacing w:after="0"/>
              <w:rPr>
                <w:sz w:val="18"/>
                <w:szCs w:val="18"/>
                <w:color w:val="auto"/>
              </w:rPr>
            </w:pPr>
          </w:p>
        </w:tc>
        <w:tc>
          <w:tcPr>
            <w:tcW w:w="14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33,650</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120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30,026</w:t>
            </w:r>
          </w:p>
        </w:tc>
        <w:tc>
          <w:tcPr>
            <w:tcW w:w="100" w:type="dxa"/>
            <w:vAlign w:val="bottom"/>
          </w:tcPr>
          <w:p>
            <w:pPr>
              <w:spacing w:after="0"/>
              <w:rPr>
                <w:sz w:val="18"/>
                <w:szCs w:val="18"/>
                <w:color w:val="auto"/>
              </w:rPr>
            </w:pPr>
          </w:p>
        </w:tc>
      </w:tr>
      <w:tr>
        <w:trPr>
          <w:trHeight w:val="239"/>
        </w:trPr>
        <w:tc>
          <w:tcPr>
            <w:tcW w:w="72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Buildings, Machinery, and Equipment</w:t>
            </w:r>
          </w:p>
        </w:tc>
        <w:tc>
          <w:tcPr>
            <w:tcW w:w="380" w:type="dxa"/>
            <w:vAlign w:val="bottom"/>
            <w:tcBorders>
              <w:bottom w:val="single" w:sz="8" w:color="004483"/>
            </w:tcBorders>
          </w:tcPr>
          <w:p>
            <w:pPr>
              <w:spacing w:after="0"/>
              <w:rPr>
                <w:sz w:val="20"/>
                <w:szCs w:val="20"/>
                <w:color w:val="auto"/>
              </w:rPr>
            </w:pPr>
          </w:p>
        </w:tc>
        <w:tc>
          <w:tcPr>
            <w:tcW w:w="14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16,123</w:t>
            </w:r>
          </w:p>
        </w:tc>
        <w:tc>
          <w:tcPr>
            <w:tcW w:w="120" w:type="dxa"/>
            <w:vAlign w:val="bottom"/>
          </w:tcPr>
          <w:p>
            <w:pPr>
              <w:spacing w:after="0"/>
              <w:rPr>
                <w:sz w:val="20"/>
                <w:szCs w:val="20"/>
                <w:color w:val="auto"/>
              </w:rPr>
            </w:pPr>
          </w:p>
        </w:tc>
        <w:tc>
          <w:tcPr>
            <w:tcW w:w="160" w:type="dxa"/>
            <w:vAlign w:val="bottom"/>
            <w:tcBorders>
              <w:bottom w:val="single" w:sz="8" w:color="A6A6A6"/>
            </w:tcBorders>
          </w:tcPr>
          <w:p>
            <w:pPr>
              <w:spacing w:after="0"/>
              <w:rPr>
                <w:sz w:val="20"/>
                <w:szCs w:val="20"/>
                <w:color w:val="auto"/>
              </w:rPr>
            </w:pPr>
          </w:p>
        </w:tc>
        <w:tc>
          <w:tcPr>
            <w:tcW w:w="1200" w:type="dxa"/>
            <w:vAlign w:val="bottom"/>
            <w:tcBorders>
              <w:bottom w:val="single" w:sz="8" w:color="004483"/>
            </w:tcBorders>
          </w:tcPr>
          <w:p>
            <w:pPr>
              <w:spacing w:after="0"/>
              <w:rPr>
                <w:sz w:val="20"/>
                <w:szCs w:val="20"/>
                <w:color w:val="auto"/>
              </w:rPr>
            </w:pPr>
          </w:p>
        </w:tc>
        <w:tc>
          <w:tcPr>
            <w:tcW w:w="6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10,209</w:t>
            </w:r>
          </w:p>
        </w:tc>
        <w:tc>
          <w:tcPr>
            <w:tcW w:w="100" w:type="dxa"/>
            <w:vAlign w:val="bottom"/>
          </w:tcPr>
          <w:p>
            <w:pPr>
              <w:spacing w:after="0"/>
              <w:rPr>
                <w:sz w:val="20"/>
                <w:szCs w:val="20"/>
                <w:color w:val="auto"/>
              </w:rPr>
            </w:pPr>
          </w:p>
        </w:tc>
      </w:tr>
      <w:tr>
        <w:trPr>
          <w:trHeight w:val="209"/>
        </w:trPr>
        <w:tc>
          <w:tcPr>
            <w:tcW w:w="7280" w:type="dxa"/>
            <w:vAlign w:val="bottom"/>
          </w:tcPr>
          <w:p>
            <w:pPr>
              <w:ind w:left="120"/>
              <w:spacing w:after="0"/>
              <w:rPr>
                <w:sz w:val="20"/>
                <w:szCs w:val="20"/>
                <w:color w:val="auto"/>
              </w:rPr>
            </w:pPr>
            <w:r>
              <w:rPr>
                <w:rFonts w:ascii="Arial" w:cs="Arial" w:eastAsia="Arial" w:hAnsi="Arial"/>
                <w:sz w:val="16"/>
                <w:szCs w:val="16"/>
                <w:b w:val="1"/>
                <w:bCs w:val="1"/>
                <w:color w:val="auto"/>
              </w:rPr>
              <w:t>Total Capital Expenditures</w:t>
            </w:r>
          </w:p>
        </w:tc>
        <w:tc>
          <w:tcPr>
            <w:tcW w:w="38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60,951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004483"/>
            </w:tcBorders>
          </w:tcPr>
          <w:p>
            <w:pPr>
              <w:jc w:val="right"/>
              <w:ind w:right="99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45,541</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4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004483"/>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Capital expenditures for fiscal 2023 are expected to range from $90.0 million to $100.0 million and will be allocated across both Heavy Materials and Light Materials sectors. These estimated capital expenditures will include maintenance capital expenditures and improvements, as well as other safety and regulatory projects.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FORWARD LOOKING STATEMENTS</w:t>
      </w:r>
    </w:p>
    <w:p>
      <w:pPr>
        <w:spacing w:after="0" w:line="12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public infrastructure expenditures; adverse weather conditions; the fact that our products are commodities and that prices for our products are subject to material fluctuation due to market conditions and other factors beyond our control; availability of raw materials; changes in the costs of energy, including, without limitation, electricity, natural gas, coal and oil, and the nature of our obligations to counterparties under energy supply contracts, such as those related to market conditions (such as fluctuations in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changes in economic conditions specific to any one or more of the Company’s markets; adverse impact of severe weather conditions (such as winter storms, tornados and hurricanes) on our facilities, operations and contractual arrangements with third parties; cyber-attacks or data security breaches; announced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and interest rates. For example, increases in interest rates, decreases in demand for construction materials or increases in the cost of energy (including, without limitation, electricity, natural gas, coal and oil) and the cost of our raw materials could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 impacts associated with natural disasters, pandemics or other unforeseen events, including, without limitation, any resurgence of the COVID-19 pandemic and responses thereto designed to contain its spread and mitigate its public health effects, as well as their impact on economic conditions, capital and financial markets. These and other factors are described in the Company’s Annual Report on Form 10-K for the fiscal year ended March 31, 2022.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38" w:name="page39"/>
    <w:bookmarkEnd w:id="38"/>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We have occasionally utilized derivative instruments, including interest rate swaps, in conjunction with our overall strategy to manage the debt outstanding that is subject to changes in interest rates. We had a $750.0 million Revolving Credit Facility at December 31, 2022, under which borrowings bear interest at a variable rate. A hypothetical 100 basis point increase in interest rates on the $130.0 million of borrowings under the Revolving Credit Facility and the $195.0 million of borrowings under the Term Loan at December 31, 2022, would increase interest expense by approximately $3.5 million on an annual basis. At present, we do not utilize derivative financial instruments.</w:t>
      </w:r>
    </w:p>
    <w:p>
      <w:pPr>
        <w:spacing w:after="0" w:line="97"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5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2" w:right="379" w:bottom="1440" w:gutter="0" w:footer="0" w:header="0"/>
        </w:sectPr>
      </w:pPr>
    </w:p>
    <w:bookmarkStart w:id="39" w:name="page40"/>
    <w:bookmarkEnd w:id="39"/>
    <w:p>
      <w:pPr>
        <w:spacing w:after="0"/>
        <w:rPr>
          <w:sz w:val="20"/>
          <w:szCs w:val="20"/>
          <w:color w:val="auto"/>
        </w:rPr>
      </w:pPr>
      <w:r>
        <w:rPr>
          <w:rFonts w:ascii="Arial" w:cs="Arial" w:eastAsia="Arial" w:hAnsi="Arial"/>
          <w:sz w:val="23"/>
          <w:szCs w:val="23"/>
          <w:b w:val="1"/>
          <w:bCs w:val="1"/>
          <w:color w:val="auto"/>
        </w:rPr>
        <w:t>PART II. OTHER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8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(P) in the Unaudited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5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For information regarding factors that could impact our results of operations, financial condition, and liquidity, see Part 1. Item 1A. Risk Factors in our Form 10-K for the fiscal year ended March 31, 2022, filed with the Securities and Exchange Commission on May 20, 2022.</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5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5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59" w:right="499" w:bottom="1440" w:gutter="0" w:footer="0" w:header="0"/>
        </w:sectPr>
      </w:pPr>
    </w:p>
    <w:bookmarkStart w:id="40" w:name="page41"/>
    <w:bookmarkEnd w:id="40"/>
    <w:p>
      <w:pPr>
        <w:spacing w:after="0"/>
        <w:rPr>
          <w:sz w:val="20"/>
          <w:szCs w:val="20"/>
          <w:color w:val="auto"/>
        </w:rPr>
      </w:pPr>
      <w:r>
        <w:rPr>
          <w:rFonts w:ascii="Arial" w:cs="Arial" w:eastAsia="Arial" w:hAnsi="Arial"/>
          <w:sz w:val="23"/>
          <w:szCs w:val="23"/>
          <w:b w:val="1"/>
          <w:bCs w:val="1"/>
          <w:color w:val="auto"/>
        </w:rPr>
        <w:t>Item 6. Exhibits</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w:t>
            </w:r>
          </w:p>
        </w:tc>
        <w:tc>
          <w:tcPr>
            <w:tcW w:w="9960" w:type="dxa"/>
            <w:vAlign w:val="bottom"/>
            <w:gridSpan w:val="10"/>
          </w:tcPr>
          <w:p>
            <w:pPr>
              <w:spacing w:after="0"/>
              <w:rPr>
                <w:rFonts w:ascii="Arial" w:cs="Arial" w:eastAsia="Arial" w:hAnsi="Arial"/>
                <w:sz w:val="18"/>
                <w:szCs w:val="18"/>
                <w:color w:val="auto"/>
              </w:rPr>
            </w:pPr>
            <w:hyperlink r:id="rId196">
              <w:r>
                <w:rPr>
                  <w:rFonts w:ascii="Arial" w:cs="Arial" w:eastAsia="Arial" w:hAnsi="Arial"/>
                  <w:sz w:val="18"/>
                  <w:szCs w:val="18"/>
                  <w:color w:val="auto"/>
                </w:rPr>
                <w:t>Second Amended and Restated Bylaws Eagle Materials Inc. filed as Exhibit 3.1 to the Company's Current Report on Form 8-</w:t>
              </w:r>
            </w:hyperlink>
          </w:p>
        </w:tc>
      </w:tr>
      <w:tr>
        <w:trPr>
          <w:trHeight w:val="183"/>
        </w:trPr>
        <w:tc>
          <w:tcPr>
            <w:tcW w:w="1220" w:type="dxa"/>
            <w:vAlign w:val="bottom"/>
          </w:tcPr>
          <w:p>
            <w:pPr>
              <w:spacing w:after="0"/>
              <w:rPr>
                <w:sz w:val="15"/>
                <w:szCs w:val="15"/>
                <w:color w:val="auto"/>
              </w:rPr>
            </w:pPr>
          </w:p>
        </w:tc>
        <w:tc>
          <w:tcPr>
            <w:tcW w:w="99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auto"/>
                <w:w w:val="99"/>
              </w:rPr>
            </w:pPr>
            <w:hyperlink r:id="rId196">
              <w:r>
                <w:rPr>
                  <w:rFonts w:ascii="Arial" w:cs="Arial" w:eastAsia="Arial" w:hAnsi="Arial"/>
                  <w:sz w:val="18"/>
                  <w:szCs w:val="18"/>
                  <w:color w:val="auto"/>
                  <w:w w:val="99"/>
                </w:rPr>
                <w:t>K filed with the Securities and Exchange Commission on November 7, 2022 (File No. 001-12984) and incorporated herein by</w:t>
              </w:r>
            </w:hyperlink>
          </w:p>
        </w:tc>
        <w:tc>
          <w:tcPr>
            <w:tcW w:w="40" w:type="dxa"/>
            <w:vAlign w:val="bottom"/>
            <w:tcBorders>
              <w:bottom w:val="single" w:sz="8" w:color="0000EE"/>
            </w:tcBorders>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9960" w:type="dxa"/>
            <w:vAlign w:val="bottom"/>
            <w:gridSpan w:val="10"/>
          </w:tcPr>
          <w:p>
            <w:pPr>
              <w:spacing w:after="0" w:line="182" w:lineRule="exact"/>
              <w:rPr>
                <w:rFonts w:ascii="Arial" w:cs="Arial" w:eastAsia="Arial" w:hAnsi="Arial"/>
                <w:sz w:val="18"/>
                <w:szCs w:val="18"/>
                <w:color w:val="auto"/>
              </w:rPr>
            </w:pPr>
            <w:hyperlink r:id="rId196">
              <w:r>
                <w:rPr>
                  <w:rFonts w:ascii="Arial" w:cs="Arial" w:eastAsia="Arial" w:hAnsi="Arial"/>
                  <w:sz w:val="18"/>
                  <w:szCs w:val="18"/>
                  <w:color w:val="auto"/>
                </w:rPr>
                <w:t>reference.</w:t>
              </w:r>
            </w:hyperlink>
          </w:p>
        </w:tc>
      </w:tr>
      <w:tr>
        <w:trPr>
          <w:trHeight w:val="20"/>
        </w:trPr>
        <w:tc>
          <w:tcPr>
            <w:tcW w:w="1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rPr>
              <w:t>Certification of the Chief Executive Officer of Eagle Materials Inc. pursuant to Rules 13a-14 and 15d-14 promulgated under</w:t>
            </w:r>
          </w:p>
        </w:tc>
        <w:tc>
          <w:tcPr>
            <w:tcW w:w="160" w:type="dxa"/>
            <w:vAlign w:val="bottom"/>
            <w:gridSpan w:val="3"/>
          </w:tcPr>
          <w:p>
            <w:pPr>
              <w:spacing w:after="0"/>
              <w:rPr>
                <w:sz w:val="24"/>
                <w:szCs w:val="24"/>
                <w:color w:val="auto"/>
              </w:rPr>
            </w:pPr>
          </w:p>
        </w:tc>
      </w:tr>
      <w:tr>
        <w:trPr>
          <w:trHeight w:val="183"/>
        </w:trPr>
        <w:tc>
          <w:tcPr>
            <w:tcW w:w="1220" w:type="dxa"/>
            <w:vAlign w:val="bottom"/>
          </w:tcPr>
          <w:p>
            <w:pPr>
              <w:spacing w:after="0"/>
              <w:rPr>
                <w:sz w:val="15"/>
                <w:szCs w:val="15"/>
                <w:color w:val="auto"/>
              </w:rPr>
            </w:pPr>
          </w:p>
        </w:tc>
        <w:tc>
          <w:tcPr>
            <w:tcW w:w="404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auto"/>
                <w:w w:val="99"/>
              </w:rPr>
              <w:t>the Securities Exchange Act of 1934, as amended.</w:t>
            </w:r>
          </w:p>
        </w:tc>
        <w:tc>
          <w:tcPr>
            <w:tcW w:w="5920" w:type="dxa"/>
            <w:vAlign w:val="bottom"/>
            <w:gridSpan w:val="5"/>
          </w:tcPr>
          <w:p>
            <w:pPr>
              <w:spacing w:after="0"/>
              <w:rPr>
                <w:sz w:val="15"/>
                <w:szCs w:val="15"/>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rPr>
              <w:t>Certification of the Chief Financial Officer of Eagle Materials Inc. pursuant to Rules 13a-14 and 15d-14 promulgated under</w:t>
            </w:r>
          </w:p>
        </w:tc>
        <w:tc>
          <w:tcPr>
            <w:tcW w:w="220" w:type="dxa"/>
            <w:vAlign w:val="bottom"/>
            <w:gridSpan w:val="4"/>
          </w:tcPr>
          <w:p>
            <w:pPr>
              <w:spacing w:after="0"/>
              <w:rPr>
                <w:sz w:val="24"/>
                <w:szCs w:val="24"/>
                <w:color w:val="auto"/>
              </w:rPr>
            </w:pPr>
          </w:p>
        </w:tc>
      </w:tr>
      <w:tr>
        <w:trPr>
          <w:trHeight w:val="183"/>
        </w:trPr>
        <w:tc>
          <w:tcPr>
            <w:tcW w:w="1220" w:type="dxa"/>
            <w:vAlign w:val="bottom"/>
          </w:tcPr>
          <w:p>
            <w:pPr>
              <w:spacing w:after="0"/>
              <w:rPr>
                <w:sz w:val="15"/>
                <w:szCs w:val="15"/>
                <w:color w:val="auto"/>
              </w:rPr>
            </w:pPr>
          </w:p>
        </w:tc>
        <w:tc>
          <w:tcPr>
            <w:tcW w:w="404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auto"/>
                <w:w w:val="99"/>
              </w:rPr>
              <w:t>the Securities Exchange Act of 1934, as amended.</w:t>
            </w:r>
          </w:p>
        </w:tc>
        <w:tc>
          <w:tcPr>
            <w:tcW w:w="5920" w:type="dxa"/>
            <w:vAlign w:val="bottom"/>
            <w:gridSpan w:val="5"/>
          </w:tcPr>
          <w:p>
            <w:pPr>
              <w:spacing w:after="0"/>
              <w:rPr>
                <w:sz w:val="15"/>
                <w:szCs w:val="15"/>
                <w:color w:val="auto"/>
              </w:rPr>
            </w:pPr>
          </w:p>
        </w:tc>
      </w:tr>
      <w:tr>
        <w:trPr>
          <w:trHeight w:val="317"/>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8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auto"/>
              </w:rPr>
              <w:t>Certification of the Chief Executive Officer of Eagle Materials Inc. pursuant to 18 U.S.C. Section 1350, as adopted pursuant</w:t>
            </w:r>
          </w:p>
        </w:tc>
        <w:tc>
          <w:tcPr>
            <w:tcW w:w="140" w:type="dxa"/>
            <w:vAlign w:val="bottom"/>
            <w:gridSpan w:val="2"/>
          </w:tcPr>
          <w:p>
            <w:pPr>
              <w:spacing w:after="0"/>
              <w:rPr>
                <w:sz w:val="24"/>
                <w:szCs w:val="24"/>
                <w:color w:val="auto"/>
              </w:rPr>
            </w:pPr>
          </w:p>
        </w:tc>
      </w:tr>
      <w:tr>
        <w:trPr>
          <w:trHeight w:val="183"/>
        </w:trPr>
        <w:tc>
          <w:tcPr>
            <w:tcW w:w="1220" w:type="dxa"/>
            <w:vAlign w:val="bottom"/>
          </w:tcPr>
          <w:p>
            <w:pPr>
              <w:spacing w:after="0"/>
              <w:rPr>
                <w:sz w:val="15"/>
                <w:szCs w:val="15"/>
                <w:color w:val="auto"/>
              </w:rPr>
            </w:pPr>
          </w:p>
        </w:tc>
        <w:tc>
          <w:tcPr>
            <w:tcW w:w="400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w w:val="99"/>
              </w:rPr>
              <w:t>to Section 906 of the Sarbanes-Oxley Act of 2002.</w:t>
            </w:r>
          </w:p>
        </w:tc>
        <w:tc>
          <w:tcPr>
            <w:tcW w:w="5960" w:type="dxa"/>
            <w:vAlign w:val="bottom"/>
            <w:gridSpan w:val="6"/>
          </w:tcPr>
          <w:p>
            <w:pPr>
              <w:spacing w:after="0"/>
              <w:rPr>
                <w:sz w:val="15"/>
                <w:szCs w:val="15"/>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rPr>
              <w:t>Certification of the Chief Financial Officer of Eagle Materials Inc. pursuant to 18 U.S.C. Section 1350, as adopted pursuant to</w:t>
            </w:r>
          </w:p>
        </w:tc>
      </w:tr>
      <w:tr>
        <w:trPr>
          <w:trHeight w:val="183"/>
        </w:trPr>
        <w:tc>
          <w:tcPr>
            <w:tcW w:w="1220" w:type="dxa"/>
            <w:vAlign w:val="bottom"/>
          </w:tcPr>
          <w:p>
            <w:pPr>
              <w:spacing w:after="0"/>
              <w:rPr>
                <w:sz w:val="15"/>
                <w:szCs w:val="15"/>
                <w:color w:val="auto"/>
              </w:rPr>
            </w:pPr>
          </w:p>
        </w:tc>
        <w:tc>
          <w:tcPr>
            <w:tcW w:w="380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auto"/>
                <w:w w:val="99"/>
              </w:rPr>
              <w:t>Section 906 of the Sarbanes-Oxley Act of 2002.</w:t>
            </w:r>
          </w:p>
        </w:tc>
        <w:tc>
          <w:tcPr>
            <w:tcW w:w="6160" w:type="dxa"/>
            <w:vAlign w:val="bottom"/>
            <w:gridSpan w:val="7"/>
          </w:tcPr>
          <w:p>
            <w:pPr>
              <w:spacing w:after="0"/>
              <w:rPr>
                <w:sz w:val="15"/>
                <w:szCs w:val="15"/>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95*</w:t>
            </w:r>
          </w:p>
        </w:tc>
        <w:tc>
          <w:tcPr>
            <w:tcW w:w="9960" w:type="dxa"/>
            <w:vAlign w:val="bottom"/>
            <w:gridSpan w:val="10"/>
          </w:tcPr>
          <w:p>
            <w:pPr>
              <w:spacing w:after="0"/>
              <w:rPr>
                <w:sz w:val="20"/>
                <w:szCs w:val="20"/>
                <w:color w:val="auto"/>
              </w:rPr>
            </w:pPr>
            <w:r>
              <w:rPr>
                <w:rFonts w:ascii="Arial" w:cs="Arial" w:eastAsia="Arial" w:hAnsi="Arial"/>
                <w:sz w:val="18"/>
                <w:szCs w:val="18"/>
                <w:color w:val="auto"/>
              </w:rPr>
              <w:t>Mine Safety Disclosure.</w:t>
            </w:r>
          </w:p>
        </w:tc>
      </w:tr>
      <w:tr>
        <w:trPr>
          <w:trHeight w:val="20"/>
        </w:trPr>
        <w:tc>
          <w:tcPr>
            <w:tcW w:w="1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80" w:type="dxa"/>
            <w:vAlign w:val="bottom"/>
            <w:gridSpan w:val="8"/>
          </w:tcPr>
          <w:p>
            <w:pPr>
              <w:spacing w:after="0" w:line="20" w:lineRule="exact"/>
              <w:rPr>
                <w:sz w:val="1"/>
                <w:szCs w:val="1"/>
                <w:color w:val="auto"/>
              </w:rPr>
            </w:pPr>
          </w:p>
        </w:tc>
      </w:tr>
      <w:tr>
        <w:trPr>
          <w:trHeight w:val="546"/>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17"/>
        </w:trPr>
        <w:tc>
          <w:tcPr>
            <w:tcW w:w="1220" w:type="dxa"/>
            <w:vAlign w:val="bottom"/>
          </w:tcPr>
          <w:p>
            <w:pPr>
              <w:spacing w:after="0"/>
              <w:rPr>
                <w:sz w:val="18"/>
                <w:szCs w:val="18"/>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540"/>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540"/>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540"/>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540"/>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323" w:lineRule="exact"/>
        <w:rPr>
          <w:sz w:val="20"/>
          <w:szCs w:val="20"/>
          <w:color w:val="auto"/>
        </w:rPr>
      </w:pPr>
    </w:p>
    <w:p>
      <w:pPr>
        <w:ind w:right="2640" w:firstLine="21"/>
        <w:spacing w:after="0" w:line="481" w:lineRule="auto"/>
        <w:tabs>
          <w:tab w:leader="none" w:pos="12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3742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2" w:right="37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23"/>
          <w:szCs w:val="23"/>
          <w:b w:val="1"/>
          <w:bCs w:val="1"/>
          <w:color w:val="auto"/>
        </w:rPr>
        <w:t>SIGNATURES</w:t>
      </w:r>
    </w:p>
    <w:p>
      <w:pPr>
        <w:spacing w:after="0" w:line="15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ind w:left="20"/>
        <w:spacing w:after="0"/>
        <w:tabs>
          <w:tab w:leader="none" w:pos="8000" w:val="left"/>
        </w:tabs>
        <w:rPr>
          <w:sz w:val="20"/>
          <w:szCs w:val="20"/>
          <w:color w:val="auto"/>
        </w:rPr>
      </w:pPr>
      <w:r>
        <w:rPr>
          <w:rFonts w:ascii="Arial" w:cs="Arial" w:eastAsia="Arial" w:hAnsi="Arial"/>
          <w:sz w:val="18"/>
          <w:szCs w:val="18"/>
          <w:color w:val="auto"/>
        </w:rPr>
        <w:t>January 26, 2023</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Michael R. Haack</w:t>
      </w:r>
    </w:p>
    <w:p>
      <w:pPr>
        <w:jc w:val="center"/>
        <w:ind w:left="67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66" w:lineRule="exact"/>
        <w:rPr>
          <w:sz w:val="20"/>
          <w:szCs w:val="20"/>
          <w:color w:val="auto"/>
        </w:rPr>
      </w:pPr>
    </w:p>
    <w:p>
      <w:pPr>
        <w:ind w:left="20"/>
        <w:spacing w:after="0"/>
        <w:tabs>
          <w:tab w:leader="none" w:pos="8080" w:val="left"/>
        </w:tabs>
        <w:rPr>
          <w:sz w:val="20"/>
          <w:szCs w:val="20"/>
          <w:color w:val="auto"/>
        </w:rPr>
      </w:pPr>
      <w:r>
        <w:rPr>
          <w:rFonts w:ascii="Arial" w:cs="Arial" w:eastAsia="Arial" w:hAnsi="Arial"/>
          <w:sz w:val="18"/>
          <w:szCs w:val="18"/>
          <w:color w:val="auto"/>
        </w:rPr>
        <w:t>January 26, 2023</w:t>
      </w:r>
      <w:r>
        <w:rPr>
          <w:sz w:val="20"/>
          <w:szCs w:val="20"/>
          <w:color w:val="auto"/>
        </w:rPr>
        <w:tab/>
      </w:r>
      <w:r>
        <w:rPr>
          <w:rFonts w:ascii="Arial" w:cs="Arial" w:eastAsia="Arial" w:hAnsi="Arial"/>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2"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D. Craig Kesler</w:t>
      </w:r>
    </w:p>
    <w:p>
      <w:pPr>
        <w:jc w:val="center"/>
        <w:ind w:left="6740"/>
        <w:spacing w:after="0" w:line="234" w:lineRule="auto"/>
        <w:rPr>
          <w:sz w:val="20"/>
          <w:szCs w:val="20"/>
          <w:color w:val="auto"/>
        </w:rPr>
      </w:pPr>
      <w:r>
        <w:rPr>
          <w:rFonts w:ascii="Arial" w:cs="Arial" w:eastAsia="Arial" w:hAnsi="Arial"/>
          <w:sz w:val="18"/>
          <w:szCs w:val="18"/>
          <w:color w:val="auto"/>
        </w:rPr>
        <w:t>Executive Vice President – Finance and</w:t>
      </w:r>
    </w:p>
    <w:p>
      <w:pPr>
        <w:jc w:val="center"/>
        <w:ind w:left="6740"/>
        <w:spacing w:after="0" w:line="235" w:lineRule="auto"/>
        <w:rPr>
          <w:sz w:val="20"/>
          <w:szCs w:val="20"/>
          <w:color w:val="auto"/>
        </w:rPr>
      </w:pPr>
      <w:r>
        <w:rPr>
          <w:rFonts w:ascii="Arial" w:cs="Arial" w:eastAsia="Arial" w:hAnsi="Arial"/>
          <w:sz w:val="18"/>
          <w:szCs w:val="18"/>
          <w:color w:val="auto"/>
        </w:rPr>
        <w:t>Administration and Chief Financial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8040" w:val="left"/>
        </w:tabs>
        <w:rPr>
          <w:sz w:val="20"/>
          <w:szCs w:val="20"/>
          <w:color w:val="auto"/>
        </w:rPr>
      </w:pPr>
      <w:r>
        <w:rPr>
          <w:rFonts w:ascii="Arial" w:cs="Arial" w:eastAsia="Arial" w:hAnsi="Arial"/>
          <w:sz w:val="18"/>
          <w:szCs w:val="18"/>
          <w:color w:val="auto"/>
        </w:rPr>
        <w:t>January 26, 2023</w:t>
      </w:r>
      <w:r>
        <w:rPr>
          <w:sz w:val="20"/>
          <w:szCs w:val="20"/>
          <w:color w:val="auto"/>
        </w:rPr>
        <w:tab/>
      </w:r>
      <w:r>
        <w:rPr>
          <w:rFonts w:ascii="Arial" w:cs="Arial" w:eastAsia="Arial" w:hAnsi="Arial"/>
          <w:sz w:val="17"/>
          <w:szCs w:val="17"/>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6350</wp:posOffset>
            </wp:positionV>
            <wp:extent cx="28371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8"/>
          <w:szCs w:val="18"/>
          <w:color w:val="auto"/>
        </w:rPr>
        <w:t>William R. Devlin</w:t>
      </w:r>
    </w:p>
    <w:p>
      <w:pPr>
        <w:jc w:val="center"/>
        <w:ind w:left="6760"/>
        <w:spacing w:after="0" w:line="234" w:lineRule="auto"/>
        <w:rPr>
          <w:sz w:val="20"/>
          <w:szCs w:val="20"/>
          <w:color w:val="auto"/>
        </w:rPr>
      </w:pPr>
      <w:r>
        <w:rPr>
          <w:rFonts w:ascii="Arial" w:cs="Arial" w:eastAsia="Arial" w:hAnsi="Arial"/>
          <w:sz w:val="18"/>
          <w:szCs w:val="18"/>
          <w:color w:val="auto"/>
        </w:rPr>
        <w:t>Senior Vice President – Controller and</w:t>
      </w:r>
    </w:p>
    <w:p>
      <w:pPr>
        <w:jc w:val="center"/>
        <w:ind w:left="676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59" w:right="459" w:bottom="1440" w:gutter="0" w:footer="0" w:header="0"/>
        </w:sectPr>
      </w:pPr>
    </w:p>
    <w:bookmarkStart w:id="42" w:name="page43"/>
    <w:bookmarkEnd w:id="4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Haack, certify that:</w:t>
      </w:r>
    </w:p>
    <w:p>
      <w:pPr>
        <w:spacing w:after="0" w:line="11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17" w:lineRule="exact"/>
        <w:rPr>
          <w:rFonts w:ascii="Arial" w:cs="Arial" w:eastAsia="Arial" w:hAnsi="Arial"/>
          <w:sz w:val="18"/>
          <w:szCs w:val="18"/>
          <w:color w:val="auto"/>
        </w:rPr>
      </w:pPr>
    </w:p>
    <w:p>
      <w:pPr>
        <w:ind w:firstLine="8"/>
        <w:spacing w:after="0" w:line="342" w:lineRule="auto"/>
        <w:tabs>
          <w:tab w:leader="none" w:pos="2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2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8"/>
        <w:spacing w:after="0" w:line="263" w:lineRule="auto"/>
        <w:tabs>
          <w:tab w:leader="none" w:pos="1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8"/>
        <w:spacing w:after="0" w:line="277" w:lineRule="auto"/>
        <w:tabs>
          <w:tab w:leader="none" w:pos="1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firstLine="8"/>
        <w:spacing w:after="0" w:line="308" w:lineRule="auto"/>
        <w:tabs>
          <w:tab w:leader="none" w:pos="19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firstLine="8"/>
        <w:spacing w:after="0" w:line="277"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77" w:lineRule="auto"/>
        <w:tabs>
          <w:tab w:leader="none" w:pos="2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26, 2023</w:t>
      </w:r>
    </w:p>
    <w:p>
      <w:pPr>
        <w:spacing w:after="0" w:line="252"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Haack</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-130175</wp:posOffset>
            </wp:positionV>
            <wp:extent cx="25971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 Craig Kesler, certify that:</w:t>
      </w:r>
    </w:p>
    <w:p>
      <w:pPr>
        <w:spacing w:after="0" w:line="11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17" w:lineRule="exact"/>
        <w:rPr>
          <w:rFonts w:ascii="Arial" w:cs="Arial" w:eastAsia="Arial" w:hAnsi="Arial"/>
          <w:sz w:val="18"/>
          <w:szCs w:val="18"/>
          <w:color w:val="auto"/>
        </w:rPr>
      </w:pPr>
    </w:p>
    <w:p>
      <w:pPr>
        <w:ind w:firstLine="8"/>
        <w:spacing w:after="0" w:line="342" w:lineRule="auto"/>
        <w:tabs>
          <w:tab w:leader="none" w:pos="2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2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8"/>
        <w:spacing w:after="0" w:line="263" w:lineRule="auto"/>
        <w:tabs>
          <w:tab w:leader="none" w:pos="1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8"/>
        <w:spacing w:after="0" w:line="277" w:lineRule="auto"/>
        <w:tabs>
          <w:tab w:leader="none" w:pos="1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firstLine="8"/>
        <w:spacing w:after="0" w:line="308" w:lineRule="auto"/>
        <w:tabs>
          <w:tab w:leader="none" w:pos="1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firstLine="8"/>
        <w:spacing w:after="0" w:line="277" w:lineRule="auto"/>
        <w:tabs>
          <w:tab w:leader="none" w:pos="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77" w:lineRule="auto"/>
        <w:tabs>
          <w:tab w:leader="none" w:pos="2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26, 2023</w:t>
      </w:r>
    </w:p>
    <w:p>
      <w:pPr>
        <w:spacing w:after="0" w:line="239"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66040</wp:posOffset>
            </wp:positionV>
            <wp:extent cx="26060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 Craig Kesler</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8"/>
          <w:szCs w:val="18"/>
          <w:color w:val="auto"/>
        </w:rPr>
        <w:t>In connection with the Quarterly Report of Eagle Materials Inc. and subsidiaries (the “Company”) on Form 10-Q for the period ended December 31, 2022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640" w:hanging="37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77"/>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26, 2023</w:t>
      </w:r>
    </w:p>
    <w:p>
      <w:pPr>
        <w:spacing w:after="0" w:line="239"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66040</wp:posOffset>
            </wp:positionV>
            <wp:extent cx="26060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Michael R. Haack</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1026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6"/>
          <w:szCs w:val="16"/>
          <w:color w:val="auto"/>
        </w:rPr>
        <w:t>In connection with the Quarterly Report of Eagle Materials Inc. and subsidiaries (the “Company”) on Form 10-Q for the period ended December 31, 2022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41" w:lineRule="exact"/>
        <w:rPr>
          <w:sz w:val="20"/>
          <w:szCs w:val="20"/>
          <w:color w:val="auto"/>
        </w:rPr>
      </w:pPr>
    </w:p>
    <w:p>
      <w:pPr>
        <w:ind w:left="640" w:hanging="377"/>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77"/>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26, 2023</w:t>
      </w:r>
    </w:p>
    <w:p>
      <w:pPr>
        <w:spacing w:after="0" w:line="239"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66040</wp:posOffset>
            </wp:positionV>
            <wp:extent cx="26060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 Craig Kesler</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-102235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-85090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-67945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-33655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i w:val="1"/>
          <w:i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-113030</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-78740</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-61595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-44450</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-27305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57785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74930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92075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109220</wp:posOffset>
            </wp:positionV>
            <wp:extent cx="889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69" w:lineRule="exact"/>
        <w:rPr>
          <w:sz w:val="20"/>
          <w:szCs w:val="20"/>
          <w:color w:val="auto"/>
        </w:rPr>
      </w:pPr>
    </w:p>
    <w:p>
      <w:pPr>
        <w:ind w:left="112" w:right="100"/>
        <w:spacing w:after="0" w:line="268" w:lineRule="auto"/>
        <w:rPr>
          <w:sz w:val="20"/>
          <w:szCs w:val="20"/>
          <w:color w:val="auto"/>
        </w:rPr>
      </w:pPr>
      <w:r>
        <w:rPr>
          <w:rFonts w:ascii="Arial" w:cs="Arial" w:eastAsia="Arial" w:hAnsi="Arial"/>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three-month period ended December 31, 2022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-758825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-741680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-724535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-707390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-690245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-673100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-655955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-638810</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-621665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-604520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-587375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-570230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-553085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-535940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-518795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-484505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-467360</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-450215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-433070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-415925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-398780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-381635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-364490</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-347345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-313055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-295910</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-278765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-261620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-244475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-227330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-210185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-193040</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-158750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-107315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-90170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11132"/>
          </w:cols>
          <w:pgMar w:left="328" w:top="148" w:right="439" w:bottom="1440" w:gutter="0" w:footer="0" w:header="0"/>
        </w:sectPr>
      </w:pPr>
    </w:p>
    <w:p>
      <w:pPr>
        <w:spacing w:after="0" w:line="200" w:lineRule="exact"/>
        <w:rPr>
          <w:sz w:val="20"/>
          <w:szCs w:val="20"/>
          <w:color w:val="auto"/>
        </w:rPr>
      </w:pPr>
    </w:p>
    <w:p>
      <w:pPr>
        <w:spacing w:after="0" w:line="382" w:lineRule="exact"/>
        <w:rPr>
          <w:sz w:val="20"/>
          <w:szCs w:val="20"/>
          <w:color w:val="auto"/>
        </w:rPr>
      </w:pPr>
    </w:p>
    <w:tbl>
      <w:tblPr>
        <w:tblLayout w:type="fixed"/>
        <w:tblInd w:w="112"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Section</w:t>
            </w:r>
          </w:p>
        </w:tc>
        <w:tc>
          <w:tcPr>
            <w:tcW w:w="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Section</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jc w:val="center"/>
              <w:ind w:left="8"/>
              <w:spacing w:after="0"/>
              <w:rPr>
                <w:sz w:val="20"/>
                <w:szCs w:val="20"/>
                <w:color w:val="auto"/>
              </w:rPr>
            </w:pPr>
            <w:r>
              <w:rPr>
                <w:rFonts w:ascii="Arial" w:cs="Arial" w:eastAsia="Arial" w:hAnsi="Arial"/>
                <w:sz w:val="14"/>
                <w:szCs w:val="14"/>
                <w:color w:val="auto"/>
                <w:w w:val="94"/>
              </w:rPr>
              <w:t>Total Dollar</w:t>
            </w:r>
          </w:p>
        </w:tc>
      </w:tr>
      <w:tr>
        <w:trPr>
          <w:trHeight w:val="149"/>
        </w:trPr>
        <w:tc>
          <w:tcPr>
            <w:tcW w:w="20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104</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w:t>
            </w:r>
          </w:p>
        </w:tc>
        <w:tc>
          <w:tcPr>
            <w:tcW w:w="800" w:type="dxa"/>
            <w:vAlign w:val="bottom"/>
          </w:tcPr>
          <w:p>
            <w:pPr>
              <w:jc w:val="center"/>
              <w:ind w:left="8"/>
              <w:spacing w:after="0" w:line="149" w:lineRule="exact"/>
              <w:rPr>
                <w:sz w:val="20"/>
                <w:szCs w:val="20"/>
                <w:color w:val="auto"/>
              </w:rPr>
            </w:pPr>
            <w:r>
              <w:rPr>
                <w:rFonts w:ascii="Arial" w:cs="Arial" w:eastAsia="Arial" w:hAnsi="Arial"/>
                <w:sz w:val="14"/>
                <w:szCs w:val="14"/>
                <w:color w:val="auto"/>
                <w:w w:val="93"/>
              </w:rPr>
              <w:t>Value of</w:t>
            </w:r>
          </w:p>
        </w:tc>
      </w:tr>
      <w:tr>
        <w:trPr>
          <w:trHeight w:val="148"/>
        </w:trPr>
        <w:tc>
          <w:tcPr>
            <w:tcW w:w="20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rPr>
              <w:t>n</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auto"/>
              </w:rPr>
              <w:t>Citation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76"/>
              </w:rPr>
              <w:t>n</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MSHA</w:t>
            </w: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Mine or Operating Name/MSHA</w:t>
            </w:r>
          </w:p>
        </w:tc>
        <w:tc>
          <w:tcPr>
            <w:tcW w:w="700" w:type="dxa"/>
            <w:vAlign w:val="bottom"/>
          </w:tcPr>
          <w:p>
            <w:pPr>
              <w:ind w:left="120"/>
              <w:spacing w:after="0" w:line="149" w:lineRule="exact"/>
              <w:rPr>
                <w:sz w:val="20"/>
                <w:szCs w:val="20"/>
                <w:color w:val="auto"/>
              </w:rPr>
            </w:pPr>
            <w:r>
              <w:rPr>
                <w:rFonts w:ascii="Arial" w:cs="Arial" w:eastAsia="Arial" w:hAnsi="Arial"/>
                <w:sz w:val="14"/>
                <w:szCs w:val="14"/>
                <w:color w:val="auto"/>
              </w:rPr>
              <w:t>Citation</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s and</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Violation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800" w:type="dxa"/>
            <w:vAlign w:val="bottom"/>
          </w:tcPr>
          <w:p>
            <w:pPr>
              <w:jc w:val="center"/>
              <w:ind w:left="48"/>
              <w:spacing w:after="0" w:line="149" w:lineRule="exact"/>
              <w:rPr>
                <w:sz w:val="20"/>
                <w:szCs w:val="20"/>
                <w:color w:val="auto"/>
              </w:rPr>
            </w:pPr>
            <w:r>
              <w:rPr>
                <w:rFonts w:ascii="Arial" w:cs="Arial" w:eastAsia="Arial" w:hAnsi="Arial"/>
                <w:sz w:val="14"/>
                <w:szCs w:val="14"/>
                <w:color w:val="auto"/>
                <w:w w:val="89"/>
              </w:rPr>
              <w:t>Assessment</w:t>
            </w:r>
          </w:p>
        </w:tc>
      </w:tr>
      <w:tr>
        <w:trPr>
          <w:trHeight w:val="182"/>
        </w:trPr>
        <w:tc>
          <w:tcPr>
            <w:tcW w:w="2040" w:type="dxa"/>
            <w:vAlign w:val="bottom"/>
          </w:tcPr>
          <w:p>
            <w:pPr>
              <w:spacing w:after="0"/>
              <w:rPr>
                <w:sz w:val="20"/>
                <w:szCs w:val="20"/>
                <w:color w:val="auto"/>
              </w:rPr>
            </w:pPr>
            <w:r>
              <w:rPr>
                <w:rFonts w:ascii="Arial" w:cs="Arial" w:eastAsia="Arial" w:hAnsi="Arial"/>
                <w:sz w:val="14"/>
                <w:szCs w:val="14"/>
                <w:color w:val="auto"/>
              </w:rPr>
              <w:t>Identification Number</w:t>
            </w: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s</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740" w:type="dxa"/>
            <w:vAlign w:val="bottom"/>
          </w:tcPr>
          <w:p>
            <w:pPr>
              <w:jc w:val="center"/>
              <w:spacing w:after="0"/>
              <w:rPr>
                <w:sz w:val="20"/>
                <w:szCs w:val="20"/>
                <w:color w:val="auto"/>
              </w:rPr>
            </w:pPr>
            <w:r>
              <w:rPr>
                <w:rFonts w:ascii="Arial" w:cs="Arial" w:eastAsia="Arial" w:hAnsi="Arial"/>
                <w:sz w:val="14"/>
                <w:szCs w:val="14"/>
                <w:color w:val="auto"/>
                <w:w w:val="85"/>
              </w:rPr>
              <w:t>s</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Orders</w:t>
            </w:r>
          </w:p>
        </w:tc>
        <w:tc>
          <w:tcPr>
            <w:tcW w:w="800" w:type="dxa"/>
            <w:vAlign w:val="bottom"/>
          </w:tcPr>
          <w:p>
            <w:pPr>
              <w:jc w:val="center"/>
              <w:ind w:left="28"/>
              <w:spacing w:after="0"/>
              <w:rPr>
                <w:sz w:val="20"/>
                <w:szCs w:val="20"/>
                <w:color w:val="auto"/>
              </w:rPr>
            </w:pPr>
            <w:r>
              <w:rPr>
                <w:rFonts w:ascii="Arial" w:cs="Arial" w:eastAsia="Arial" w:hAnsi="Arial"/>
                <w:sz w:val="14"/>
                <w:szCs w:val="14"/>
                <w:color w:val="auto"/>
                <w:w w:val="87"/>
              </w:rPr>
              <w:t>s Proposed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-866140</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-848995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-831850</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-814705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-797560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-780415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-763270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-746125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-728980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-711835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-694690</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-677545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-660400</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-643255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-626110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-608965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-591820</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-574675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-557530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-540385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-523240</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-506095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-488950</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-471805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-454660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-437515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-420370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-403225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-386080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-368935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-351790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-334645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-300355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-283210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-266065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-248920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-197485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-111760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-77470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-60325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1371600" cy="274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Received</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2"/>
              </w:rPr>
              <w:t>Received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Potential</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2"/>
              </w:rPr>
              <w:t>Pattern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to Have</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70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6"/>
              </w:rPr>
              <w:t>Total</w:t>
            </w:r>
          </w:p>
        </w:tc>
        <w:tc>
          <w:tcPr>
            <w:tcW w:w="860" w:type="dxa"/>
            <w:vAlign w:val="bottom"/>
          </w:tcPr>
          <w:p>
            <w:pPr>
              <w:ind w:left="120"/>
              <w:spacing w:after="0" w:line="149" w:lineRule="exact"/>
              <w:rPr>
                <w:sz w:val="20"/>
                <w:szCs w:val="20"/>
                <w:color w:val="auto"/>
              </w:rPr>
            </w:pPr>
            <w:r>
              <w:rPr>
                <w:rFonts w:ascii="Arial" w:cs="Arial" w:eastAsia="Arial" w:hAnsi="Arial"/>
                <w:sz w:val="14"/>
                <w:szCs w:val="14"/>
                <w:color w:val="auto"/>
              </w:rPr>
              <w:t>Violations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Pattern</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66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Legal</w:t>
            </w:r>
          </w:p>
        </w:tc>
      </w:tr>
      <w:tr>
        <w:trPr>
          <w:trHeight w:val="149"/>
        </w:trPr>
        <w:tc>
          <w:tcPr>
            <w:tcW w:w="70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2"/>
              </w:rPr>
              <w:t>Number</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66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Actions</w:t>
            </w:r>
          </w:p>
        </w:tc>
      </w:tr>
      <w:tr>
        <w:trPr>
          <w:trHeight w:val="148"/>
        </w:trPr>
        <w:tc>
          <w:tcPr>
            <w:tcW w:w="70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of Mining</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of Last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66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0"/>
              </w:rPr>
              <w:t>Resolve</w:t>
            </w:r>
          </w:p>
        </w:tc>
      </w:tr>
      <w:tr>
        <w:trPr>
          <w:trHeight w:val="148"/>
        </w:trPr>
        <w:tc>
          <w:tcPr>
            <w:tcW w:w="7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1"/>
              </w:rPr>
              <w:t>Related</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104(e)</w:t>
            </w:r>
          </w:p>
        </w:tc>
        <w:tc>
          <w:tcPr>
            <w:tcW w:w="820" w:type="dxa"/>
            <w:vAlign w:val="bottom"/>
          </w:tcPr>
          <w:p>
            <w:pPr>
              <w:jc w:val="center"/>
              <w:ind w:left="8"/>
              <w:spacing w:after="0" w:line="149" w:lineRule="exact"/>
              <w:rPr>
                <w:sz w:val="20"/>
                <w:szCs w:val="20"/>
                <w:color w:val="auto"/>
              </w:rPr>
            </w:pPr>
            <w:r>
              <w:rPr>
                <w:rFonts w:ascii="Arial" w:cs="Arial" w:eastAsia="Arial" w:hAnsi="Arial"/>
                <w:sz w:val="14"/>
                <w:szCs w:val="14"/>
                <w:color w:val="auto"/>
                <w:w w:val="93"/>
              </w:rPr>
              <w:t>104(e)</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3"/>
              </w:rPr>
              <w:t>Day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66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8"/>
              </w:rPr>
              <w:t>d During</w:t>
            </w:r>
          </w:p>
        </w:tc>
      </w:tr>
      <w:tr>
        <w:trPr>
          <w:trHeight w:val="182"/>
        </w:trPr>
        <w:tc>
          <w:tcPr>
            <w:tcW w:w="700" w:type="dxa"/>
            <w:vAlign w:val="bottom"/>
          </w:tcPr>
          <w:p>
            <w:pPr>
              <w:ind w:left="20"/>
              <w:spacing w:after="0"/>
              <w:rPr>
                <w:sz w:val="20"/>
                <w:szCs w:val="20"/>
                <w:color w:val="auto"/>
              </w:rPr>
            </w:pPr>
            <w:r>
              <w:rPr>
                <w:rFonts w:ascii="Arial" w:cs="Arial" w:eastAsia="Arial" w:hAnsi="Arial"/>
                <w:sz w:val="14"/>
                <w:szCs w:val="14"/>
                <w:color w:val="auto"/>
              </w:rPr>
              <w:t>Fatalities</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(yes/no)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0"/>
              </w:rPr>
              <w:t>(yes/no)</w:t>
            </w:r>
          </w:p>
        </w:tc>
        <w:tc>
          <w:tcPr>
            <w:tcW w:w="880" w:type="dxa"/>
            <w:vAlign w:val="bottom"/>
          </w:tcPr>
          <w:p>
            <w:pPr>
              <w:ind w:left="260"/>
              <w:spacing w:after="0"/>
              <w:rPr>
                <w:sz w:val="20"/>
                <w:szCs w:val="20"/>
                <w:color w:val="auto"/>
              </w:rPr>
            </w:pPr>
            <w:r>
              <w:rPr>
                <w:rFonts w:ascii="Arial" w:cs="Arial" w:eastAsia="Arial" w:hAnsi="Arial"/>
                <w:sz w:val="14"/>
                <w:szCs w:val="14"/>
                <w:color w:val="auto"/>
              </w:rPr>
              <w:t>Period</w:t>
            </w:r>
          </w:p>
        </w:tc>
        <w:tc>
          <w:tcPr>
            <w:tcW w:w="700" w:type="dxa"/>
            <w:vAlign w:val="bottom"/>
          </w:tcPr>
          <w:p>
            <w:pPr>
              <w:ind w:left="180"/>
              <w:spacing w:after="0"/>
              <w:rPr>
                <w:sz w:val="20"/>
                <w:szCs w:val="20"/>
                <w:color w:val="auto"/>
              </w:rPr>
            </w:pPr>
            <w:r>
              <w:rPr>
                <w:rFonts w:ascii="Arial" w:cs="Arial" w:eastAsia="Arial" w:hAnsi="Arial"/>
                <w:sz w:val="14"/>
                <w:szCs w:val="14"/>
                <w:color w:val="auto"/>
              </w:rPr>
              <w:t>Period</w:t>
            </w:r>
          </w:p>
        </w:tc>
        <w:tc>
          <w:tcPr>
            <w:tcW w:w="660" w:type="dxa"/>
            <w:vAlign w:val="bottom"/>
          </w:tcPr>
          <w:p>
            <w:pPr>
              <w:jc w:val="center"/>
              <w:ind w:left="68"/>
              <w:spacing w:after="0"/>
              <w:rPr>
                <w:sz w:val="20"/>
                <w:szCs w:val="20"/>
                <w:color w:val="auto"/>
              </w:rPr>
            </w:pPr>
            <w:r>
              <w:rPr>
                <w:rFonts w:ascii="Arial" w:cs="Arial" w:eastAsia="Arial" w:hAnsi="Arial"/>
                <w:sz w:val="14"/>
                <w:szCs w:val="14"/>
                <w:color w:val="auto"/>
                <w:w w:val="88"/>
              </w:rPr>
              <w:t>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-866140</wp:posOffset>
            </wp:positionV>
            <wp:extent cx="82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-848995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-831850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-814705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-797560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-780415</wp:posOffset>
            </wp:positionV>
            <wp:extent cx="82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-763270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-746125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-728980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-711835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-694690</wp:posOffset>
            </wp:positionV>
            <wp:extent cx="82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-677545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-660400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-643255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-626110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-608965</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-591820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-574675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-557530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-540385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-523240</wp:posOffset>
            </wp:positionV>
            <wp:extent cx="82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-506095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-488950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-471805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-454660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-437515</wp:posOffset>
            </wp:positionV>
            <wp:extent cx="82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-420370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-403225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-386080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-368935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-351790</wp:posOffset>
            </wp:positionV>
            <wp:extent cx="82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-334645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-317500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-300355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-283210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-266065</wp:posOffset>
            </wp:positionV>
            <wp:extent cx="82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-248920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-231775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-214630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-197485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-180340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-163195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-146050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-128905</wp:posOffset>
            </wp:positionV>
            <wp:extent cx="82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-111760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-94615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-77470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-60325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-43180</wp:posOffset>
            </wp:positionV>
            <wp:extent cx="825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-26035</wp:posOffset>
            </wp:positionV>
            <wp:extent cx="5760720" cy="2743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57607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272" w:space="220"/>
            <w:col w:w="4640"/>
          </w:cols>
          <w:pgMar w:left="328" w:top="148" w:right="439" w:bottom="1440" w:gutter="0" w:footer="0" w:header="0"/>
          <w:type w:val="continuous"/>
        </w:sectPr>
      </w:pPr>
    </w:p>
    <w:p>
      <w:pPr>
        <w:ind w:left="112" w:right="620"/>
        <w:spacing w:after="0" w:line="290" w:lineRule="auto"/>
        <w:rPr>
          <w:sz w:val="20"/>
          <w:szCs w:val="20"/>
          <w:color w:val="auto"/>
        </w:rPr>
      </w:pPr>
      <w:r>
        <w:rPr>
          <w:rFonts w:ascii="Arial" w:cs="Arial" w:eastAsia="Arial" w:hAnsi="Arial"/>
          <w:sz w:val="13"/>
          <w:szCs w:val="13"/>
          <w:color w:val="auto"/>
        </w:rPr>
        <w:t>3D Concrete LLC Lander, NV (2602434)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0" w:lineRule="exact"/>
        <w:rPr>
          <w:sz w:val="20"/>
          <w:szCs w:val="20"/>
          <w:color w:val="auto"/>
        </w:rPr>
      </w:pPr>
    </w:p>
    <w:p>
      <w:pPr>
        <w:ind w:left="112" w:right="500"/>
        <w:spacing w:after="0" w:line="290" w:lineRule="auto"/>
        <w:rPr>
          <w:sz w:val="20"/>
          <w:szCs w:val="20"/>
          <w:color w:val="auto"/>
        </w:rPr>
      </w:pPr>
      <w:r>
        <w:rPr>
          <w:rFonts w:ascii="Arial" w:cs="Arial" w:eastAsia="Arial" w:hAnsi="Arial"/>
          <w:sz w:val="13"/>
          <w:szCs w:val="13"/>
          <w:color w:val="auto"/>
        </w:rPr>
        <w:t>3D Concrete LLC Lyon, Nevada (2602412)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-191135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-88265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-71120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rPr>
          <w:sz w:val="20"/>
          <w:szCs w:val="20"/>
          <w:color w:val="auto"/>
        </w:rPr>
      </w:pPr>
      <w:r>
        <w:rPr>
          <w:rFonts w:ascii="Arial" w:cs="Arial" w:eastAsia="Arial" w:hAnsi="Arial"/>
          <w:sz w:val="14"/>
          <w:szCs w:val="14"/>
          <w:color w:val="auto"/>
        </w:rPr>
        <w:t>American Gypsum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371600" cy="3003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1371600" cy="300355"/>
                    </a:xfrm>
                    <a:prstGeom prst="rect">
                      <a:avLst/>
                    </a:prstGeom>
                    <a:noFill/>
                  </pic:spPr>
                </pic:pic>
              </a:graphicData>
            </a:graphic>
          </wp:anchor>
        </w:drawing>
      </w:r>
    </w:p>
    <w:p>
      <w:pPr>
        <w:ind w:left="112"/>
        <w:spacing w:after="0" w:line="221" w:lineRule="auto"/>
        <w:rPr>
          <w:sz w:val="20"/>
          <w:szCs w:val="20"/>
          <w:color w:val="auto"/>
        </w:rPr>
      </w:pPr>
      <w:r>
        <w:rPr>
          <w:rFonts w:ascii="Arial" w:cs="Arial" w:eastAsia="Arial" w:hAnsi="Arial"/>
          <w:sz w:val="14"/>
          <w:szCs w:val="14"/>
          <w:color w:val="auto"/>
        </w:rPr>
        <w:t>LLC</w:t>
      </w:r>
    </w:p>
    <w:p>
      <w:pPr>
        <w:ind w:left="112"/>
        <w:spacing w:after="0"/>
        <w:rPr>
          <w:sz w:val="20"/>
          <w:szCs w:val="20"/>
          <w:color w:val="auto"/>
        </w:rPr>
      </w:pPr>
      <w:r>
        <w:rPr>
          <w:rFonts w:ascii="Arial" w:cs="Arial" w:eastAsia="Arial" w:hAnsi="Arial"/>
          <w:sz w:val="14"/>
          <w:szCs w:val="14"/>
          <w:color w:val="auto"/>
        </w:rPr>
        <w:t>Albuquerque, NM (2900181)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rPr>
          <w:sz w:val="20"/>
          <w:szCs w:val="20"/>
          <w:color w:val="auto"/>
        </w:rPr>
      </w:pPr>
      <w:r>
        <w:rPr>
          <w:rFonts w:ascii="Arial" w:cs="Arial" w:eastAsia="Arial" w:hAnsi="Arial"/>
          <w:sz w:val="14"/>
          <w:szCs w:val="14"/>
          <w:color w:val="auto"/>
        </w:rPr>
        <w:t>American Gypsum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line="221" w:lineRule="auto"/>
        <w:rPr>
          <w:sz w:val="20"/>
          <w:szCs w:val="20"/>
          <w:color w:val="auto"/>
        </w:rPr>
      </w:pPr>
      <w:r>
        <w:rPr>
          <w:rFonts w:ascii="Arial" w:cs="Arial" w:eastAsia="Arial" w:hAnsi="Arial"/>
          <w:sz w:val="14"/>
          <w:szCs w:val="14"/>
          <w:color w:val="auto"/>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-72390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-20955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112"/>
        <w:spacing w:after="0"/>
        <w:rPr>
          <w:sz w:val="20"/>
          <w:szCs w:val="20"/>
          <w:color w:val="auto"/>
        </w:rPr>
      </w:pPr>
      <w:r>
        <w:rPr>
          <w:rFonts w:ascii="Arial" w:cs="Arial" w:eastAsia="Arial" w:hAnsi="Arial"/>
          <w:sz w:val="14"/>
          <w:szCs w:val="14"/>
          <w:color w:val="auto"/>
        </w:rPr>
        <w:t>Duke, OK (3400256)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-71755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1371600" cy="3257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1371600" cy="325755"/>
                    </a:xfrm>
                    <a:prstGeom prst="rect">
                      <a:avLst/>
                    </a:prstGeom>
                    <a:noFill/>
                  </pic:spPr>
                </pic:pic>
              </a:graphicData>
            </a:graphic>
          </wp:anchor>
        </w:drawing>
      </w:r>
    </w:p>
    <w:p>
      <w:pPr>
        <w:ind w:left="112"/>
        <w:spacing w:after="0"/>
        <w:rPr>
          <w:sz w:val="20"/>
          <w:szCs w:val="20"/>
          <w:color w:val="auto"/>
        </w:rPr>
      </w:pPr>
      <w:r>
        <w:rPr>
          <w:rFonts w:ascii="Arial" w:cs="Arial" w:eastAsia="Arial" w:hAnsi="Arial"/>
          <w:sz w:val="14"/>
          <w:szCs w:val="14"/>
          <w:color w:val="auto"/>
        </w:rPr>
        <w:t>American Gypsum Company</w:t>
      </w:r>
    </w:p>
    <w:p>
      <w:pPr>
        <w:ind w:left="112"/>
        <w:spacing w:after="0" w:line="221" w:lineRule="auto"/>
        <w:rPr>
          <w:sz w:val="20"/>
          <w:szCs w:val="20"/>
          <w:color w:val="auto"/>
        </w:rPr>
      </w:pPr>
      <w:r>
        <w:rPr>
          <w:rFonts w:ascii="Arial" w:cs="Arial" w:eastAsia="Arial" w:hAnsi="Arial"/>
          <w:sz w:val="14"/>
          <w:szCs w:val="14"/>
          <w:color w:val="auto"/>
        </w:rPr>
        <w:t>LLC</w:t>
      </w:r>
    </w:p>
    <w:p>
      <w:pPr>
        <w:ind w:left="112"/>
        <w:spacing w:after="0"/>
        <w:rPr>
          <w:sz w:val="20"/>
          <w:szCs w:val="20"/>
          <w:color w:val="auto"/>
        </w:rPr>
      </w:pPr>
      <w:r>
        <w:rPr>
          <w:rFonts w:ascii="Arial" w:cs="Arial" w:eastAsia="Arial" w:hAnsi="Arial"/>
          <w:sz w:val="14"/>
          <w:szCs w:val="14"/>
          <w:color w:val="auto"/>
        </w:rPr>
        <w:t>Eagle, CO (0503997)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0" w:lineRule="exact"/>
        <w:rPr>
          <w:sz w:val="20"/>
          <w:szCs w:val="20"/>
          <w:color w:val="auto"/>
        </w:rPr>
      </w:pPr>
    </w:p>
    <w:p>
      <w:pPr>
        <w:ind w:left="112" w:right="640"/>
        <w:spacing w:after="0" w:line="290" w:lineRule="auto"/>
        <w:rPr>
          <w:sz w:val="20"/>
          <w:szCs w:val="20"/>
          <w:color w:val="auto"/>
        </w:rPr>
      </w:pPr>
      <w:r>
        <w:rPr>
          <w:rFonts w:ascii="Arial" w:cs="Arial" w:eastAsia="Arial" w:hAnsi="Arial"/>
          <w:sz w:val="13"/>
          <w:szCs w:val="13"/>
          <w:color w:val="auto"/>
        </w:rPr>
        <w:t>Centex Materials LLC Buda, TX (4102241)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-191135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-88265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-71120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rPr>
          <w:sz w:val="20"/>
          <w:szCs w:val="20"/>
          <w:color w:val="auto"/>
        </w:rPr>
      </w:pPr>
      <w:r>
        <w:rPr>
          <w:rFonts w:ascii="Arial" w:cs="Arial" w:eastAsia="Arial" w:hAnsi="Arial"/>
          <w:sz w:val="13"/>
          <w:szCs w:val="13"/>
          <w:color w:val="auto"/>
        </w:rPr>
        <w:t>Central Plains Cement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1371600" cy="3003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1371600" cy="300355"/>
                    </a:xfrm>
                    <a:prstGeom prst="rect">
                      <a:avLst/>
                    </a:prstGeom>
                    <a:noFill/>
                  </pic:spPr>
                </pic:pic>
              </a:graphicData>
            </a:graphic>
          </wp:anchor>
        </w:drawing>
      </w:r>
    </w:p>
    <w:p>
      <w:pPr>
        <w:ind w:left="112"/>
        <w:spacing w:after="0" w:line="237" w:lineRule="auto"/>
        <w:rPr>
          <w:sz w:val="20"/>
          <w:szCs w:val="20"/>
          <w:color w:val="auto"/>
        </w:rPr>
      </w:pPr>
      <w:r>
        <w:rPr>
          <w:rFonts w:ascii="Arial" w:cs="Arial" w:eastAsia="Arial" w:hAnsi="Arial"/>
          <w:sz w:val="14"/>
          <w:szCs w:val="14"/>
          <w:color w:val="auto"/>
        </w:rPr>
        <w:t>LLC</w:t>
      </w:r>
    </w:p>
    <w:p>
      <w:pPr>
        <w:spacing w:after="0" w:line="1" w:lineRule="exact"/>
        <w:rPr>
          <w:sz w:val="20"/>
          <w:szCs w:val="20"/>
          <w:color w:val="auto"/>
        </w:rPr>
      </w:pPr>
    </w:p>
    <w:p>
      <w:pPr>
        <w:ind w:left="112"/>
        <w:spacing w:after="0"/>
        <w:rPr>
          <w:sz w:val="20"/>
          <w:szCs w:val="20"/>
          <w:color w:val="auto"/>
        </w:rPr>
      </w:pPr>
      <w:r>
        <w:rPr>
          <w:rFonts w:ascii="Arial" w:cs="Arial" w:eastAsia="Arial" w:hAnsi="Arial"/>
          <w:sz w:val="14"/>
          <w:szCs w:val="14"/>
          <w:color w:val="auto"/>
        </w:rPr>
        <w:t>Sugar Creek, MO (2302171)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rPr>
          <w:sz w:val="20"/>
          <w:szCs w:val="20"/>
          <w:color w:val="auto"/>
        </w:rPr>
      </w:pPr>
      <w:r>
        <w:rPr>
          <w:rFonts w:ascii="Arial" w:cs="Arial" w:eastAsia="Arial" w:hAnsi="Arial"/>
          <w:sz w:val="13"/>
          <w:szCs w:val="13"/>
          <w:color w:val="auto"/>
        </w:rPr>
        <w:t>Central Plains Cement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-60960</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-9525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line="227" w:lineRule="auto"/>
        <w:rPr>
          <w:sz w:val="20"/>
          <w:szCs w:val="20"/>
          <w:color w:val="auto"/>
        </w:rPr>
      </w:pPr>
      <w:r>
        <w:rPr>
          <w:rFonts w:ascii="Arial" w:cs="Arial" w:eastAsia="Arial" w:hAnsi="Arial"/>
          <w:sz w:val="14"/>
          <w:szCs w:val="14"/>
          <w:color w:val="auto"/>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-71755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12"/>
        <w:spacing w:after="0"/>
        <w:rPr>
          <w:sz w:val="20"/>
          <w:szCs w:val="20"/>
          <w:color w:val="auto"/>
        </w:rPr>
      </w:pPr>
      <w:r>
        <w:rPr>
          <w:rFonts w:ascii="Arial" w:cs="Arial" w:eastAsia="Arial" w:hAnsi="Arial"/>
          <w:sz w:val="14"/>
          <w:szCs w:val="14"/>
          <w:color w:val="auto"/>
        </w:rPr>
        <w:t>Tulsa, OK (3400026)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-71755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1371600" cy="2743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spacing w:after="0" w:line="10" w:lineRule="exact"/>
        <w:rPr>
          <w:sz w:val="20"/>
          <w:szCs w:val="20"/>
          <w:color w:val="auto"/>
        </w:rPr>
      </w:pPr>
    </w:p>
    <w:p>
      <w:pPr>
        <w:ind w:left="112" w:right="60"/>
        <w:spacing w:after="0" w:line="290" w:lineRule="auto"/>
        <w:rPr>
          <w:sz w:val="20"/>
          <w:szCs w:val="20"/>
          <w:color w:val="auto"/>
        </w:rPr>
      </w:pPr>
      <w:r>
        <w:rPr>
          <w:rFonts w:ascii="Arial" w:cs="Arial" w:eastAsia="Arial" w:hAnsi="Arial"/>
          <w:sz w:val="13"/>
          <w:szCs w:val="13"/>
          <w:color w:val="auto"/>
        </w:rPr>
        <w:t>Fairborn Cement Company LLC Greene County, OH (3300161)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0" w:lineRule="exact"/>
        <w:rPr>
          <w:sz w:val="20"/>
          <w:szCs w:val="20"/>
          <w:color w:val="auto"/>
        </w:rPr>
      </w:pPr>
    </w:p>
    <w:p>
      <w:pPr>
        <w:ind w:left="112" w:right="140"/>
        <w:spacing w:after="0" w:line="253" w:lineRule="auto"/>
        <w:rPr>
          <w:sz w:val="20"/>
          <w:szCs w:val="20"/>
          <w:color w:val="auto"/>
        </w:rPr>
      </w:pPr>
      <w:r>
        <w:rPr>
          <w:rFonts w:ascii="Arial" w:cs="Arial" w:eastAsia="Arial" w:hAnsi="Arial"/>
          <w:sz w:val="14"/>
          <w:szCs w:val="14"/>
          <w:color w:val="auto"/>
        </w:rPr>
        <w:t>Illinois Cement Company LLC LaSalle, IL (1100003)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-125730</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-74295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1371600" cy="2743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spacing w:after="0" w:line="32" w:lineRule="exact"/>
        <w:rPr>
          <w:sz w:val="20"/>
          <w:szCs w:val="20"/>
          <w:color w:val="auto"/>
        </w:rPr>
      </w:pPr>
    </w:p>
    <w:p>
      <w:pPr>
        <w:ind w:left="112" w:right="80"/>
        <w:spacing w:after="0" w:line="253" w:lineRule="auto"/>
        <w:rPr>
          <w:sz w:val="20"/>
          <w:szCs w:val="20"/>
          <w:color w:val="auto"/>
        </w:rPr>
      </w:pPr>
      <w:r>
        <w:rPr>
          <w:rFonts w:ascii="Arial" w:cs="Arial" w:eastAsia="Arial" w:hAnsi="Arial"/>
          <w:sz w:val="14"/>
          <w:szCs w:val="14"/>
          <w:color w:val="auto"/>
        </w:rPr>
        <w:t>Kosmos Cement Company LLC Jefferson, KY (1504469)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2" w:lineRule="exact"/>
        <w:rPr>
          <w:sz w:val="20"/>
          <w:szCs w:val="20"/>
          <w:color w:val="auto"/>
        </w:rPr>
      </w:pPr>
    </w:p>
    <w:p>
      <w:pPr>
        <w:ind w:left="112"/>
        <w:spacing w:after="0" w:line="253" w:lineRule="auto"/>
        <w:rPr>
          <w:sz w:val="20"/>
          <w:szCs w:val="20"/>
          <w:color w:val="auto"/>
        </w:rPr>
      </w:pPr>
      <w:r>
        <w:rPr>
          <w:rFonts w:ascii="Arial" w:cs="Arial" w:eastAsia="Arial" w:hAnsi="Arial"/>
          <w:sz w:val="14"/>
          <w:szCs w:val="14"/>
          <w:color w:val="auto"/>
        </w:rPr>
        <w:t>Mountain Cement Company LLC Laramie, WY (4800007)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-125730</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-74295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1371600" cy="2743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spacing w:after="0" w:line="32" w:lineRule="exact"/>
        <w:rPr>
          <w:sz w:val="20"/>
          <w:szCs w:val="20"/>
          <w:color w:val="auto"/>
        </w:rPr>
      </w:pPr>
    </w:p>
    <w:p>
      <w:pPr>
        <w:ind w:left="112" w:right="120"/>
        <w:spacing w:after="0" w:line="253" w:lineRule="auto"/>
        <w:rPr>
          <w:sz w:val="20"/>
          <w:szCs w:val="20"/>
          <w:color w:val="auto"/>
        </w:rPr>
      </w:pPr>
      <w:r>
        <w:rPr>
          <w:rFonts w:ascii="Arial" w:cs="Arial" w:eastAsia="Arial" w:hAnsi="Arial"/>
          <w:sz w:val="14"/>
          <w:szCs w:val="14"/>
          <w:color w:val="auto"/>
        </w:rPr>
        <w:t>Nevada Cement Company LLC Fernley, NV (2600015)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431290" cy="1200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143129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0</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0</w:t>
            </w:r>
          </w:p>
        </w:tc>
      </w:tr>
      <w:tr>
        <w:trPr>
          <w:trHeight w:val="392"/>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0</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0</w:t>
            </w:r>
          </w:p>
        </w:tc>
      </w:tr>
      <w:tr>
        <w:trPr>
          <w:trHeight w:val="432"/>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0</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473"/>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0</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0</w:t>
            </w:r>
          </w:p>
        </w:tc>
      </w:tr>
      <w:tr>
        <w:trPr>
          <w:trHeight w:val="473"/>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0</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0</w:t>
            </w:r>
          </w:p>
        </w:tc>
      </w:tr>
      <w:tr>
        <w:trPr>
          <w:trHeight w:val="432"/>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0</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0</w:t>
            </w:r>
          </w:p>
        </w:tc>
      </w:tr>
      <w:tr>
        <w:trPr>
          <w:trHeight w:val="432"/>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6</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0</w:t>
            </w:r>
          </w:p>
        </w:tc>
      </w:tr>
      <w:tr>
        <w:trPr>
          <w:trHeight w:val="473"/>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0</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0</w:t>
            </w:r>
          </w:p>
        </w:tc>
      </w:tr>
      <w:tr>
        <w:trPr>
          <w:trHeight w:val="432"/>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0</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0</w:t>
            </w:r>
          </w:p>
        </w:tc>
      </w:tr>
      <w:tr>
        <w:trPr>
          <w:trHeight w:val="392"/>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0</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0</w:t>
            </w:r>
          </w:p>
        </w:tc>
      </w:tr>
      <w:tr>
        <w:trPr>
          <w:trHeight w:val="391"/>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5</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0</w:t>
            </w:r>
          </w:p>
        </w:tc>
      </w:tr>
      <w:tr>
        <w:trPr>
          <w:trHeight w:val="392"/>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1</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391"/>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0</w:t>
            </w: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179070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179070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-94615</wp:posOffset>
            </wp:positionH>
            <wp:positionV relativeFrom="paragraph">
              <wp:posOffset>179070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179070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179070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179070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179070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179070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179070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179070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179070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179070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179070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179070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179070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179070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179070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179070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179070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179070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179070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179070</wp:posOffset>
            </wp:positionV>
            <wp:extent cx="228028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14"/>
                <w:szCs w:val="14"/>
                <w:color w:val="auto"/>
              </w:rPr>
              <w:t>0</w:t>
            </w:r>
          </w:p>
        </w:tc>
      </w:tr>
      <w:tr>
        <w:trPr>
          <w:trHeight w:val="392"/>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14"/>
                <w:szCs w:val="14"/>
                <w:color w:val="auto"/>
              </w:rPr>
              <w:t>0</w:t>
            </w:r>
          </w:p>
        </w:tc>
      </w:tr>
      <w:tr>
        <w:trPr>
          <w:trHeight w:val="432"/>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28"/>
                <w:szCs w:val="28"/>
                <w:color w:val="auto"/>
                <w:w w:val="70"/>
                <w:vertAlign w:val="subscript"/>
              </w:rPr>
              <w:t>1</w:t>
            </w:r>
            <w:r>
              <w:rPr>
                <w:rFonts w:ascii="Arial" w:cs="Arial" w:eastAsia="Arial" w:hAnsi="Arial"/>
                <w:sz w:val="10"/>
                <w:szCs w:val="10"/>
                <w:color w:val="auto"/>
                <w:w w:val="70"/>
              </w:rPr>
              <w:t>(1)</w:t>
            </w:r>
          </w:p>
        </w:tc>
      </w:tr>
      <w:tr>
        <w:trPr>
          <w:trHeight w:val="473"/>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14"/>
                <w:szCs w:val="14"/>
                <w:color w:val="auto"/>
              </w:rPr>
              <w:t>0</w:t>
            </w:r>
          </w:p>
        </w:tc>
      </w:tr>
      <w:tr>
        <w:trPr>
          <w:trHeight w:val="473"/>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14"/>
                <w:szCs w:val="14"/>
                <w:color w:val="auto"/>
              </w:rPr>
              <w:t>0</w:t>
            </w:r>
          </w:p>
        </w:tc>
      </w:tr>
      <w:tr>
        <w:trPr>
          <w:trHeight w:val="432"/>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14"/>
                <w:szCs w:val="14"/>
                <w:color w:val="auto"/>
              </w:rPr>
              <w:t>0</w:t>
            </w:r>
          </w:p>
        </w:tc>
      </w:tr>
      <w:tr>
        <w:trPr>
          <w:trHeight w:val="432"/>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28"/>
                <w:szCs w:val="28"/>
                <w:color w:val="auto"/>
                <w:w w:val="70"/>
                <w:vertAlign w:val="subscript"/>
              </w:rPr>
              <w:t>3</w:t>
            </w:r>
            <w:r>
              <w:rPr>
                <w:rFonts w:ascii="Arial" w:cs="Arial" w:eastAsia="Arial" w:hAnsi="Arial"/>
                <w:sz w:val="10"/>
                <w:szCs w:val="10"/>
                <w:color w:val="auto"/>
                <w:w w:val="70"/>
              </w:rPr>
              <w:t>(1)</w:t>
            </w:r>
          </w:p>
        </w:tc>
      </w:tr>
      <w:tr>
        <w:trPr>
          <w:trHeight w:val="473"/>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14"/>
                <w:szCs w:val="14"/>
                <w:color w:val="auto"/>
              </w:rPr>
              <w:t>0</w:t>
            </w:r>
          </w:p>
        </w:tc>
      </w:tr>
      <w:tr>
        <w:trPr>
          <w:trHeight w:val="432"/>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14"/>
                <w:szCs w:val="14"/>
                <w:color w:val="auto"/>
              </w:rPr>
              <w:t>0</w:t>
            </w:r>
          </w:p>
        </w:tc>
      </w:tr>
      <w:tr>
        <w:trPr>
          <w:trHeight w:val="392"/>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14"/>
                <w:szCs w:val="14"/>
                <w:color w:val="auto"/>
              </w:rPr>
              <w:t>0</w:t>
            </w:r>
          </w:p>
        </w:tc>
      </w:tr>
      <w:tr>
        <w:trPr>
          <w:trHeight w:val="391"/>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14"/>
                <w:szCs w:val="14"/>
                <w:color w:val="auto"/>
              </w:rPr>
              <w:t>0</w:t>
            </w:r>
          </w:p>
        </w:tc>
      </w:tr>
      <w:tr>
        <w:trPr>
          <w:trHeight w:val="392"/>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28"/>
                <w:szCs w:val="28"/>
                <w:color w:val="auto"/>
                <w:w w:val="70"/>
                <w:vertAlign w:val="subscript"/>
              </w:rPr>
              <w:t>1</w:t>
            </w:r>
            <w:r>
              <w:rPr>
                <w:rFonts w:ascii="Arial" w:cs="Arial" w:eastAsia="Arial" w:hAnsi="Arial"/>
                <w:sz w:val="10"/>
                <w:szCs w:val="10"/>
                <w:color w:val="auto"/>
                <w:w w:val="70"/>
              </w:rPr>
              <w:t>(1)</w:t>
            </w:r>
          </w:p>
        </w:tc>
      </w:tr>
      <w:tr>
        <w:trPr>
          <w:trHeight w:val="391"/>
        </w:trPr>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0</w:t>
            </w:r>
          </w:p>
        </w:tc>
        <w:tc>
          <w:tcPr>
            <w:tcW w:w="880" w:type="dxa"/>
            <w:vAlign w:val="bottom"/>
          </w:tcPr>
          <w:p>
            <w:pPr>
              <w:ind w:left="380"/>
              <w:spacing w:after="0"/>
              <w:rPr>
                <w:sz w:val="20"/>
                <w:szCs w:val="20"/>
                <w:color w:val="auto"/>
              </w:rPr>
            </w:pPr>
            <w:r>
              <w:rPr>
                <w:rFonts w:ascii="Arial" w:cs="Arial" w:eastAsia="Arial" w:hAnsi="Arial"/>
                <w:sz w:val="14"/>
                <w:szCs w:val="14"/>
                <w:color w:val="auto"/>
              </w:rPr>
              <w:t>no</w:t>
            </w:r>
          </w:p>
        </w:tc>
        <w:tc>
          <w:tcPr>
            <w:tcW w:w="860" w:type="dxa"/>
            <w:vAlign w:val="bottom"/>
          </w:tcPr>
          <w:p>
            <w:pPr>
              <w:ind w:left="360"/>
              <w:spacing w:after="0"/>
              <w:rPr>
                <w:sz w:val="20"/>
                <w:szCs w:val="20"/>
                <w:color w:val="auto"/>
              </w:rPr>
            </w:pPr>
            <w:r>
              <w:rPr>
                <w:rFonts w:ascii="Arial" w:cs="Arial" w:eastAsia="Arial" w:hAnsi="Arial"/>
                <w:sz w:val="14"/>
                <w:szCs w:val="14"/>
                <w:color w:val="auto"/>
              </w:rPr>
              <w:t>no</w:t>
            </w: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20" w:type="dxa"/>
            <w:vAlign w:val="bottom"/>
          </w:tcPr>
          <w:p>
            <w:pPr>
              <w:ind w:left="340"/>
              <w:spacing w:after="0"/>
              <w:rPr>
                <w:sz w:val="20"/>
                <w:szCs w:val="20"/>
                <w:color w:val="auto"/>
              </w:rPr>
            </w:pPr>
            <w:r>
              <w:rPr>
                <w:rFonts w:ascii="Arial" w:cs="Arial" w:eastAsia="Arial" w:hAnsi="Arial"/>
                <w:sz w:val="14"/>
                <w:szCs w:val="14"/>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-3171825</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-3154680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-3137535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-3120390</wp:posOffset>
            </wp:positionV>
            <wp:extent cx="825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-3103245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-3086100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-3068955</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-3051810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-3034665</wp:posOffset>
            </wp:positionV>
            <wp:extent cx="825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-3017520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-3000375</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-2983230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-2966085</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-2948940</wp:posOffset>
            </wp:positionV>
            <wp:extent cx="5760720" cy="31375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5760720" cy="313753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-2948940</wp:posOffset>
            </wp:positionV>
            <wp:extent cx="5760720" cy="31375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5760720" cy="313753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3">
            <w:col w:w="2052" w:space="420"/>
            <w:col w:w="3640" w:space="640"/>
            <w:col w:w="4380"/>
          </w:cols>
          <w:pgMar w:left="328" w:top="148" w:right="439" w:bottom="1440" w:gutter="0" w:footer="0" w:header="0"/>
          <w:type w:val="continuous"/>
        </w:sectPr>
      </w:pPr>
    </w:p>
    <w:p>
      <w:pPr>
        <w:spacing w:after="0" w:line="95" w:lineRule="exact"/>
        <w:rPr>
          <w:sz w:val="20"/>
          <w:szCs w:val="20"/>
          <w:color w:val="auto"/>
        </w:rPr>
      </w:pPr>
    </w:p>
    <w:p>
      <w:pPr>
        <w:ind w:left="152" w:hanging="152"/>
        <w:spacing w:after="0"/>
        <w:tabs>
          <w:tab w:leader="none" w:pos="152"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48" w:right="439" w:bottom="1440" w:gutter="0" w:footer="0" w:header="0"/>
          <w:type w:val="continuous"/>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21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upperLetter"/>
      <w:start w:val="2"/>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lowerRoman"/>
      <w:start w:val="3"/>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lvl w:ilvl="1">
      <w:lvlJc w:val="left"/>
      <w:lvlText w:val="%2"/>
      <w:numFmt w:val="decimal"/>
      <w:start w:val="104"/>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decimal"/>
      <w:start w:val="5"/>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5"/>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Roman"/>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196" Type="http://schemas.openxmlformats.org/officeDocument/2006/relationships/hyperlink" Target="https://www.sec.gov/Archives/edgar/data/918646/000119312522279133/d38563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2023-01-26T17:13:19Z</dcterms:created>
  <dcterms:modified xsi:type="dcterms:W3CDTF">2023-01-26T17:13:19Z</dcterms:modified>
</cp:coreProperties>
</file>