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EAGLE MATERIALS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291465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471805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74"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205740</wp:posOffset>
            </wp:positionV>
            <wp:extent cx="176657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65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3811 Turtle Creek Blvd, Suite 1100</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Dallas, Texas 75219-4487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It is my pleasure to invite you to our Annual Meeting of Stockholders, which will be held on Thursday, August 4, 2011, at the Sheraton Suites Market Center, 2101 North Stemmons Freeway, Dallas, Texas 75207, at 8:00 a.m. We hope that you will attend the meeting, but we encourage you to vote by proxy whether or not you plan to attend the meeting in person.</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year we are pleased to be taking advantage of the Securities and Exchange Commission rules that allow companies to furnish their proxy materials over the Internet. As a result, beginning on June 24, 2011, we are mailing to many of our stockholders a Notice Regarding the Availability of Proxy Materials, or Notice, instead of a paper copy of the materials for the Annual Meeting. The Notice contains instructions on how to access the proxy materials over the Internet and vote online, as well as how stockholders can elect to receive paper copies of the materials. We believe that this process should expedite stockholders’ receipt of proxy materials and provide stockholders with the information they need, while being consistent with our objective of conserving our natural resources and reducing the costs of printing and distributing our proxy materials.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If you attend the Annual Meeting and desire to vote your shares personally rather than by proxy, you may withdraw your proxy at any time before it is exercised.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very important, whether you own one share or many.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interest in Eagle.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87503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Steven R. Rowley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3811 Turtle Creek Blvd, Suite 1100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75219-4487</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August 4,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annual meeting of stockholders of Eagle Materials Inc., which we refer to as the “Company,” will be held at the Sheraton Suites Market Center, located at 2101 North Stemmons Freeway, Dallas, Texas 75207 at 8:00 a.m., local time, on Thursday, August 4, 2011. At the meeting, stockholders will vote on:</w:t>
      </w:r>
    </w:p>
    <w:p>
      <w:pPr>
        <w:spacing w:after="0" w:line="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three Class II directors identified in the accompanying proxy statement, each to hold office for three years.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resolution regarding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Recommending, by advisory vote, the frequency of future advisory votes on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the expected appointment of Ernst &amp; Young LLP as the Company’s independent auditors for the fiscal year ending March 31, 2012.</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matters properly brought before the annual meeting, or any adjournment thereof.</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Board of Directors has fixed the close of business on June 9, 2011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10"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 additional copies of the proxy statement, please contact: Eagle Materials Inc., Attention:</w:t>
      </w:r>
      <w:r>
        <w:rPr>
          <w:rFonts w:ascii="Arial" w:cs="Arial" w:eastAsia="Arial" w:hAnsi="Arial"/>
          <w:sz w:val="16"/>
          <w:szCs w:val="16"/>
          <w:b w:val="1"/>
          <w:bCs w:val="1"/>
          <w:color w:val="auto"/>
        </w:rPr>
        <w:t xml:space="preserve"> </w:t>
      </w:r>
      <w:r>
        <w:rPr>
          <w:rFonts w:ascii="Arial" w:cs="Arial" w:eastAsia="Arial" w:hAnsi="Arial"/>
          <w:sz w:val="16"/>
          <w:szCs w:val="16"/>
          <w:color w:val="auto"/>
        </w:rPr>
        <w:t>James H. Graass, Secretary, 3811 Turtle Creek Blvd., Suite 1100, Dallas, Texas 75219-4487 (telephone: (214) 432-2000).</w:t>
      </w:r>
    </w:p>
    <w:p>
      <w:pPr>
        <w:spacing w:after="0" w:line="10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16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2011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 OF STOCKHOLDERS TO BE HELD ON AUGUST 4, 2011.</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2011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4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INTRODUCTION</w:t>
              </w:r>
            </w:hyperlink>
          </w:p>
        </w:tc>
        <w:tc>
          <w:tcPr>
            <w:tcW w:w="9620" w:type="dxa"/>
            <w:vAlign w:val="bottom"/>
            <w:gridSpan w:val="4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Date, Time and Place of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Purposes of the Annual Meeting and Recommendations of our Board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ABOUT THE MEETING</w:t>
              </w:r>
            </w:hyperlink>
          </w:p>
        </w:tc>
        <w:tc>
          <w:tcPr>
            <w:tcW w:w="9100" w:type="dxa"/>
            <w:vAlign w:val="bottom"/>
            <w:gridSpan w:val="3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Who Can Vote</w:t>
              </w:r>
            </w:hyperlink>
          </w:p>
        </w:tc>
        <w:tc>
          <w:tcPr>
            <w:tcW w:w="9500" w:type="dxa"/>
            <w:vAlign w:val="bottom"/>
            <w:gridSpan w:val="4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Proxies Will be Voted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to Revoke Your Proxy</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Quorum and Required Vote</w:t>
              </w:r>
            </w:hyperlink>
          </w:p>
        </w:tc>
        <w:tc>
          <w:tcPr>
            <w:tcW w:w="850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Expenses of Soliciting 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How You Can Vote</w:t>
              </w:r>
            </w:hyperlink>
          </w:p>
        </w:tc>
        <w:tc>
          <w:tcPr>
            <w:tcW w:w="838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606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PROPOSAL NO. 1: ELECTION OF DIRECTORS AND RELATED MATTERS</w:t>
              </w:r>
            </w:hyperlink>
          </w:p>
        </w:tc>
        <w:tc>
          <w:tcPr>
            <w:tcW w:w="49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General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84"/>
              </w:rPr>
            </w:pPr>
            <w:hyperlink w:anchor="page9">
              <w:r>
                <w:rPr>
                  <w:rFonts w:ascii="Arial" w:cs="Arial" w:eastAsia="Arial" w:hAnsi="Arial"/>
                  <w:sz w:val="18"/>
                  <w:szCs w:val="18"/>
                  <w:b w:val="1"/>
                  <w:bCs w:val="1"/>
                  <w:color w:val="0000EE"/>
                  <w:w w:val="84"/>
                </w:rPr>
                <w:t>Director Independence</w:t>
              </w:r>
            </w:hyperlink>
          </w:p>
        </w:tc>
        <w:tc>
          <w:tcPr>
            <w:tcW w:w="892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3"/>
              </w:rPr>
            </w:pPr>
            <w:hyperlink w:anchor="page10">
              <w:r>
                <w:rPr>
                  <w:rFonts w:ascii="Arial" w:cs="Arial" w:eastAsia="Arial" w:hAnsi="Arial"/>
                  <w:sz w:val="18"/>
                  <w:szCs w:val="18"/>
                  <w:b w:val="1"/>
                  <w:bCs w:val="1"/>
                  <w:color w:val="0000EE"/>
                  <w:w w:val="83"/>
                </w:rPr>
                <w:t>Nominees</w:t>
              </w:r>
            </w:hyperlink>
          </w:p>
        </w:tc>
        <w:tc>
          <w:tcPr>
            <w:tcW w:w="9860" w:type="dxa"/>
            <w:vAlign w:val="bottom"/>
            <w:gridSpan w:val="4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6"/>
              </w:rPr>
            </w:pPr>
            <w:hyperlink w:anchor="page10">
              <w:r>
                <w:rPr>
                  <w:rFonts w:ascii="Arial" w:cs="Arial" w:eastAsia="Arial" w:hAnsi="Arial"/>
                  <w:sz w:val="18"/>
                  <w:szCs w:val="18"/>
                  <w:b w:val="1"/>
                  <w:bCs w:val="1"/>
                  <w:color w:val="0000EE"/>
                  <w:w w:val="86"/>
                </w:rPr>
                <w:t>Recommendation of the Board</w:t>
              </w:r>
            </w:hyperlink>
          </w:p>
        </w:tc>
        <w:tc>
          <w:tcPr>
            <w:tcW w:w="830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Director Qualifications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Board Meetings and Attendance Records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040" w:type="dxa"/>
            <w:vAlign w:val="bottom"/>
            <w:gridSpan w:val="48"/>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BOARD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Non-Employee Director Compensation for Fiscal Year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32"/>
          </w:tcPr>
          <w:p>
            <w:pPr>
              <w:spacing w:after="0" w:line="196" w:lineRule="exact"/>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Board Leadership Structure and Role in Risk Oversight</w:t>
              </w:r>
            </w:hyperlink>
          </w:p>
        </w:tc>
        <w:tc>
          <w:tcPr>
            <w:tcW w:w="240" w:type="dxa"/>
            <w:vAlign w:val="bottom"/>
            <w:tcBorders>
              <w:top w:val="single" w:sz="8" w:color="0000EE"/>
            </w:tcBorders>
            <w:gridSpan w:val="2"/>
          </w:tcPr>
          <w:p>
            <w:pPr>
              <w:spacing w:after="0"/>
              <w:rPr>
                <w:sz w:val="17"/>
                <w:szCs w:val="17"/>
                <w:color w:val="auto"/>
              </w:rPr>
            </w:pPr>
          </w:p>
        </w:tc>
        <w:tc>
          <w:tcPr>
            <w:tcW w:w="616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0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Compensation Committee Interlocks and Insider Participation</w:t>
              </w:r>
            </w:hyperlink>
          </w:p>
        </w:tc>
        <w:tc>
          <w:tcPr>
            <w:tcW w:w="59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How to Contact Our Board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EXECUTIVE OFFICERS WHO ARE NOT DIRECTORS</w:t>
              </w:r>
            </w:hyperlink>
          </w:p>
        </w:tc>
        <w:tc>
          <w:tcPr>
            <w:tcW w:w="66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340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COMPENSATION COMMITTEE REPORT</w:t>
              </w:r>
            </w:hyperlink>
          </w:p>
        </w:tc>
        <w:tc>
          <w:tcPr>
            <w:tcW w:w="764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r>
      <w:tr>
        <w:trPr>
          <w:trHeight w:val="196"/>
        </w:trPr>
        <w:tc>
          <w:tcPr>
            <w:tcW w:w="11040" w:type="dxa"/>
            <w:vAlign w:val="bottom"/>
            <w:gridSpan w:val="48"/>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b w:val="1"/>
                <w:bCs w:val="1"/>
                <w:color w:val="0000EE"/>
                <w:w w:val="87"/>
              </w:rPr>
            </w:pPr>
            <w:hyperlink w:anchor="page21">
              <w:r>
                <w:rPr>
                  <w:rFonts w:ascii="Arial" w:cs="Arial" w:eastAsia="Arial" w:hAnsi="Arial"/>
                  <w:sz w:val="18"/>
                  <w:szCs w:val="18"/>
                  <w:b w:val="1"/>
                  <w:bCs w:val="1"/>
                  <w:color w:val="0000EE"/>
                  <w:w w:val="87"/>
                </w:rPr>
                <w:t>Executive Summary</w:t>
              </w:r>
            </w:hyperlink>
          </w:p>
        </w:tc>
        <w:tc>
          <w:tcPr>
            <w:tcW w:w="1940" w:type="dxa"/>
            <w:vAlign w:val="bottom"/>
            <w:tcBorders>
              <w:top w:val="single" w:sz="8" w:color="0000EE"/>
            </w:tcBorders>
            <w:gridSpan w:val="17"/>
          </w:tcPr>
          <w:p>
            <w:pPr>
              <w:spacing w:after="0"/>
              <w:rPr>
                <w:sz w:val="17"/>
                <w:szCs w:val="17"/>
                <w:color w:val="auto"/>
              </w:rPr>
            </w:pPr>
          </w:p>
        </w:tc>
        <w:tc>
          <w:tcPr>
            <w:tcW w:w="714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Named Executive Officers</w:t>
              </w:r>
            </w:hyperlink>
          </w:p>
        </w:tc>
        <w:tc>
          <w:tcPr>
            <w:tcW w:w="862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85"/>
              </w:rPr>
            </w:pPr>
            <w:hyperlink w:anchor="page24">
              <w:r>
                <w:rPr>
                  <w:rFonts w:ascii="Arial" w:cs="Arial" w:eastAsia="Arial" w:hAnsi="Arial"/>
                  <w:sz w:val="18"/>
                  <w:szCs w:val="18"/>
                  <w:b w:val="1"/>
                  <w:bCs w:val="1"/>
                  <w:color w:val="0000EE"/>
                  <w:w w:val="85"/>
                </w:rPr>
                <w:t>Compensation Philosophy</w:t>
              </w:r>
            </w:hyperlink>
          </w:p>
        </w:tc>
        <w:tc>
          <w:tcPr>
            <w:tcW w:w="8640" w:type="dxa"/>
            <w:vAlign w:val="bottom"/>
            <w:gridSpan w:val="3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60" w:type="dxa"/>
            <w:vAlign w:val="bottom"/>
            <w:tcBorders>
              <w:bottom w:val="single" w:sz="8" w:color="0000EE"/>
            </w:tcBorders>
            <w:gridSpan w:val="41"/>
          </w:tcPr>
          <w:p>
            <w:pPr>
              <w:spacing w:after="0" w:line="196" w:lineRule="exact"/>
              <w:rPr>
                <w:rFonts w:ascii="Arial" w:cs="Arial" w:eastAsia="Arial" w:hAnsi="Arial"/>
                <w:sz w:val="18"/>
                <w:szCs w:val="18"/>
                <w:b w:val="1"/>
                <w:bCs w:val="1"/>
                <w:color w:val="0000EE"/>
                <w:w w:val="87"/>
              </w:rPr>
            </w:pPr>
            <w:hyperlink w:anchor="page25">
              <w:r>
                <w:rPr>
                  <w:rFonts w:ascii="Arial" w:cs="Arial" w:eastAsia="Arial" w:hAnsi="Arial"/>
                  <w:sz w:val="18"/>
                  <w:szCs w:val="18"/>
                  <w:b w:val="1"/>
                  <w:bCs w:val="1"/>
                  <w:color w:val="0000EE"/>
                  <w:w w:val="87"/>
                </w:rPr>
                <w:t>Role of the Compensation Committee and Management in Executive Compensation</w:t>
              </w:r>
            </w:hyperlink>
          </w:p>
        </w:tc>
        <w:tc>
          <w:tcPr>
            <w:tcW w:w="43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7"/>
              </w:rPr>
            </w:pPr>
            <w:hyperlink w:anchor="page26">
              <w:r>
                <w:rPr>
                  <w:rFonts w:ascii="Arial" w:cs="Arial" w:eastAsia="Arial" w:hAnsi="Arial"/>
                  <w:sz w:val="18"/>
                  <w:szCs w:val="18"/>
                  <w:b w:val="1"/>
                  <w:bCs w:val="1"/>
                  <w:color w:val="0000EE"/>
                  <w:w w:val="87"/>
                </w:rPr>
                <w:t>Benchmarking</w:t>
              </w:r>
            </w:hyperlink>
          </w:p>
        </w:tc>
        <w:tc>
          <w:tcPr>
            <w:tcW w:w="9480" w:type="dxa"/>
            <w:vAlign w:val="bottom"/>
            <w:gridSpan w:val="4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Elements of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Change in Control Benefits</w:t>
              </w:r>
            </w:hyperlink>
          </w:p>
        </w:tc>
        <w:tc>
          <w:tcPr>
            <w:tcW w:w="7820" w:type="dxa"/>
            <w:vAlign w:val="bottom"/>
            <w:gridSpan w:val="2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86"/>
              </w:rPr>
            </w:pPr>
            <w:hyperlink w:anchor="page37">
              <w:r>
                <w:rPr>
                  <w:rFonts w:ascii="Arial" w:cs="Arial" w:eastAsia="Arial" w:hAnsi="Arial"/>
                  <w:sz w:val="18"/>
                  <w:szCs w:val="18"/>
                  <w:b w:val="1"/>
                  <w:bCs w:val="1"/>
                  <w:color w:val="0000EE"/>
                  <w:w w:val="86"/>
                </w:rPr>
                <w:t>Stock Ownership Guidelines</w:t>
              </w:r>
            </w:hyperlink>
          </w:p>
        </w:tc>
        <w:tc>
          <w:tcPr>
            <w:tcW w:w="846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6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w w:val="88"/>
              </w:rPr>
            </w:pPr>
            <w:hyperlink w:anchor="page37">
              <w:r>
                <w:rPr>
                  <w:rFonts w:ascii="Arial" w:cs="Arial" w:eastAsia="Arial" w:hAnsi="Arial"/>
                  <w:sz w:val="18"/>
                  <w:szCs w:val="18"/>
                  <w:b w:val="1"/>
                  <w:bCs w:val="1"/>
                  <w:color w:val="0000EE"/>
                  <w:w w:val="88"/>
                </w:rPr>
                <w:t>Limitations on Tax Deductibility of Compensation</w:t>
              </w:r>
            </w:hyperlink>
          </w:p>
        </w:tc>
        <w:tc>
          <w:tcPr>
            <w:tcW w:w="68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196"/>
        </w:trPr>
        <w:tc>
          <w:tcPr>
            <w:tcW w:w="254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EXECUTIVE COMPENSATION</w:t>
              </w:r>
            </w:hyperlink>
          </w:p>
        </w:tc>
        <w:tc>
          <w:tcPr>
            <w:tcW w:w="850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Summary Compensation Table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w w:val="90"/>
              </w:rPr>
            </w:pPr>
            <w:hyperlink w:anchor="page40">
              <w:r>
                <w:rPr>
                  <w:rFonts w:ascii="Arial" w:cs="Arial" w:eastAsia="Arial" w:hAnsi="Arial"/>
                  <w:sz w:val="18"/>
                  <w:szCs w:val="18"/>
                  <w:b w:val="1"/>
                  <w:bCs w:val="1"/>
                  <w:color w:val="0000EE"/>
                  <w:w w:val="90"/>
                </w:rPr>
                <w:t>Grants of Plan-Based Awards</w:t>
              </w:r>
            </w:hyperlink>
          </w:p>
        </w:tc>
        <w:tc>
          <w:tcPr>
            <w:tcW w:w="828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bottom w:val="single" w:sz="8" w:color="0000EE"/>
            </w:tcBorders>
            <w:gridSpan w:val="28"/>
          </w:tcPr>
          <w:p>
            <w:pPr>
              <w:spacing w:after="0" w:line="196" w:lineRule="exact"/>
              <w:rPr>
                <w:rFonts w:ascii="Arial" w:cs="Arial" w:eastAsia="Arial" w:hAnsi="Arial"/>
                <w:sz w:val="18"/>
                <w:szCs w:val="18"/>
                <w:b w:val="1"/>
                <w:bCs w:val="1"/>
                <w:color w:val="0000EE"/>
                <w:w w:val="88"/>
              </w:rPr>
            </w:pPr>
            <w:hyperlink w:anchor="page41">
              <w:r>
                <w:rPr>
                  <w:rFonts w:ascii="Arial" w:cs="Arial" w:eastAsia="Arial" w:hAnsi="Arial"/>
                  <w:sz w:val="18"/>
                  <w:szCs w:val="18"/>
                  <w:b w:val="1"/>
                  <w:bCs w:val="1"/>
                  <w:color w:val="0000EE"/>
                  <w:w w:val="88"/>
                </w:rPr>
                <w:t>Outstanding Equity Awards at Fiscal Year-End</w:t>
              </w:r>
            </w:hyperlink>
          </w:p>
        </w:tc>
        <w:tc>
          <w:tcPr>
            <w:tcW w:w="706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5"/>
              </w:rPr>
            </w:pPr>
            <w:hyperlink w:anchor="page43">
              <w:r>
                <w:rPr>
                  <w:rFonts w:ascii="Arial" w:cs="Arial" w:eastAsia="Arial" w:hAnsi="Arial"/>
                  <w:sz w:val="18"/>
                  <w:szCs w:val="18"/>
                  <w:b w:val="1"/>
                  <w:bCs w:val="1"/>
                  <w:color w:val="0000EE"/>
                  <w:w w:val="85"/>
                </w:rPr>
                <w:t>Option Exercises and Stock Vested</w:t>
              </w:r>
            </w:hyperlink>
          </w:p>
        </w:tc>
        <w:tc>
          <w:tcPr>
            <w:tcW w:w="800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Nonqualified Deferred Compensation in FY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040" w:type="dxa"/>
            <w:vAlign w:val="bottom"/>
            <w:gridSpan w:val="48"/>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POTENTIAL PAYMENTS UPON TERMINATION OR CHANGE IN CONTROL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196"/>
        </w:trPr>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760" w:type="dxa"/>
            <w:vAlign w:val="bottom"/>
            <w:tcBorders>
              <w:top w:val="single" w:sz="8" w:color="0000EE"/>
            </w:tcBorders>
            <w:gridSpan w:val="39"/>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Payments Made Upon Any Termination</w:t>
              </w:r>
            </w:hyperlink>
          </w:p>
        </w:tc>
        <w:tc>
          <w:tcPr>
            <w:tcW w:w="48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7"/>
              </w:rPr>
            </w:pPr>
            <w:hyperlink w:anchor="page48">
              <w:r>
                <w:rPr>
                  <w:rFonts w:ascii="Arial" w:cs="Arial" w:eastAsia="Arial" w:hAnsi="Arial"/>
                  <w:sz w:val="18"/>
                  <w:szCs w:val="18"/>
                  <w:b w:val="1"/>
                  <w:bCs w:val="1"/>
                  <w:color w:val="0000EE"/>
                  <w:w w:val="97"/>
                </w:rPr>
                <w:t>STOCK OWNERSHIP</w:t>
              </w:r>
            </w:hyperlink>
          </w:p>
        </w:tc>
        <w:tc>
          <w:tcPr>
            <w:tcW w:w="928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Management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Certain Beneficial Owners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7"/>
              </w:rPr>
            </w:pPr>
            <w:hyperlink w:anchor="page50">
              <w:r>
                <w:rPr>
                  <w:rFonts w:ascii="Arial" w:cs="Arial" w:eastAsia="Arial" w:hAnsi="Arial"/>
                  <w:sz w:val="18"/>
                  <w:szCs w:val="18"/>
                  <w:b w:val="1"/>
                  <w:bCs w:val="1"/>
                  <w:color w:val="0000EE"/>
                  <w:w w:val="87"/>
                </w:rPr>
                <w:t>Section 16(a) Beneficial Ownership Reporting Compliance</w:t>
              </w:r>
            </w:hyperlink>
          </w:p>
        </w:tc>
        <w:tc>
          <w:tcPr>
            <w:tcW w:w="62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6"/>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Code of Conduct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44</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260" w:type="dxa"/>
            <w:vAlign w:val="bottom"/>
            <w:tcBorders>
              <w:bottom w:val="single" w:sz="8" w:color="0000EE"/>
            </w:tcBorders>
            <w:gridSpan w:val="46"/>
          </w:tcPr>
          <w:p>
            <w:pPr>
              <w:spacing w:after="0" w:line="196" w:lineRule="exact"/>
              <w:rPr>
                <w:rFonts w:ascii="Arial" w:cs="Arial" w:eastAsia="Arial" w:hAnsi="Arial"/>
                <w:sz w:val="18"/>
                <w:szCs w:val="18"/>
                <w:b w:val="1"/>
                <w:bCs w:val="1"/>
                <w:color w:val="0000EE"/>
                <w:w w:val="97"/>
              </w:rPr>
            </w:pPr>
            <w:hyperlink w:anchor="page51">
              <w:r>
                <w:rPr>
                  <w:rFonts w:ascii="Arial" w:cs="Arial" w:eastAsia="Arial" w:hAnsi="Arial"/>
                  <w:sz w:val="18"/>
                  <w:szCs w:val="18"/>
                  <w:b w:val="1"/>
                  <w:bCs w:val="1"/>
                  <w:color w:val="0000EE"/>
                  <w:w w:val="97"/>
                </w:rPr>
                <w:t>PROPOSAL NO. 2: ADVISORY VOTE ON COMPENSATION OF OUR NAMED EXECUTIVE OFFICERS</w:t>
              </w:r>
            </w:hyperlink>
          </w:p>
        </w:tc>
        <w:tc>
          <w:tcPr>
            <w:tcW w:w="2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6"/>
              </w:rPr>
            </w:pPr>
            <w:hyperlink w:anchor="page51">
              <w:r>
                <w:rPr>
                  <w:rFonts w:ascii="Arial" w:cs="Arial" w:eastAsia="Arial" w:hAnsi="Arial"/>
                  <w:sz w:val="18"/>
                  <w:szCs w:val="18"/>
                  <w:b w:val="1"/>
                  <w:bCs w:val="1"/>
                  <w:color w:val="0000EE"/>
                  <w:w w:val="86"/>
                </w:rPr>
                <w:t>Recommendation of the Board</w:t>
              </w:r>
            </w:hyperlink>
          </w:p>
        </w:tc>
        <w:tc>
          <w:tcPr>
            <w:tcW w:w="830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w:t>
            </w:r>
          </w:p>
        </w:tc>
      </w:tr>
      <w:tr>
        <w:trPr>
          <w:trHeight w:val="196"/>
        </w:trPr>
        <w:tc>
          <w:tcPr>
            <w:tcW w:w="11040" w:type="dxa"/>
            <w:vAlign w:val="bottom"/>
            <w:gridSpan w:val="48"/>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PROPOSAL NO. 3: ADVISORY VOTE REGARDING FREQUENCY OF FUTURE ADVISORY VOTES ON THE COMPENSATION OF</w:t>
              </w:r>
            </w:hyperlink>
          </w:p>
        </w:tc>
        <w:tc>
          <w:tcPr>
            <w:tcW w:w="28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40" w:type="dxa"/>
            <w:vAlign w:val="bottom"/>
            <w:tcBorders>
              <w:top w:val="single" w:sz="8" w:color="0000EE"/>
            </w:tcBorders>
            <w:gridSpan w:val="46"/>
          </w:tcPr>
          <w:p>
            <w:pPr>
              <w:spacing w:after="0" w:line="19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OUR NAMED EXECUTIVE OFFICERS</w:t>
              </w:r>
            </w:hyperlink>
          </w:p>
        </w:tc>
        <w:tc>
          <w:tcPr>
            <w:tcW w:w="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r>
      <w:tr>
        <w:trPr>
          <w:trHeight w:val="196"/>
        </w:trPr>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b w:val="1"/>
                <w:bCs w:val="1"/>
                <w:color w:val="0000EE"/>
                <w:w w:val="86"/>
              </w:rPr>
            </w:pPr>
            <w:hyperlink w:anchor="page52">
              <w:r>
                <w:rPr>
                  <w:rFonts w:ascii="Arial" w:cs="Arial" w:eastAsia="Arial" w:hAnsi="Arial"/>
                  <w:sz w:val="18"/>
                  <w:szCs w:val="18"/>
                  <w:b w:val="1"/>
                  <w:bCs w:val="1"/>
                  <w:color w:val="0000EE"/>
                  <w:w w:val="86"/>
                </w:rPr>
                <w:t>Recommendation of the Board</w:t>
              </w:r>
            </w:hyperlink>
          </w:p>
        </w:tc>
        <w:tc>
          <w:tcPr>
            <w:tcW w:w="600" w:type="dxa"/>
            <w:vAlign w:val="bottom"/>
            <w:tcBorders>
              <w:top w:val="single" w:sz="8" w:color="0000EE"/>
            </w:tcBorders>
            <w:gridSpan w:val="4"/>
          </w:tcPr>
          <w:p>
            <w:pPr>
              <w:spacing w:after="0"/>
              <w:rPr>
                <w:sz w:val="17"/>
                <w:szCs w:val="17"/>
                <w:color w:val="auto"/>
              </w:rPr>
            </w:pPr>
          </w:p>
        </w:tc>
        <w:tc>
          <w:tcPr>
            <w:tcW w:w="77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r>
      <w:tr>
        <w:trPr>
          <w:trHeight w:val="196"/>
        </w:trPr>
        <w:tc>
          <w:tcPr>
            <w:tcW w:w="11040" w:type="dxa"/>
            <w:vAlign w:val="bottom"/>
            <w:gridSpan w:val="48"/>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PROPOSAL NO. 4: APPROVAL OF EXPECTED APPOINTMENT OF INDEPENDENT AUDITORS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r>
      <w:tr>
        <w:trPr>
          <w:trHeight w:val="196"/>
        </w:trPr>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80" w:type="dxa"/>
            <w:vAlign w:val="bottom"/>
            <w:tcBorders>
              <w:top w:val="single" w:sz="8" w:color="0000EE"/>
            </w:tcBorders>
            <w:gridSpan w:val="43"/>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General</w:t>
              </w:r>
            </w:hyperlink>
          </w:p>
        </w:tc>
        <w:tc>
          <w:tcPr>
            <w:tcW w:w="33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gridSpan w:val="13"/>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86"/>
              </w:rPr>
            </w:pPr>
            <w:hyperlink w:anchor="page53">
              <w:r>
                <w:rPr>
                  <w:rFonts w:ascii="Arial" w:cs="Arial" w:eastAsia="Arial" w:hAnsi="Arial"/>
                  <w:sz w:val="18"/>
                  <w:szCs w:val="18"/>
                  <w:b w:val="1"/>
                  <w:bCs w:val="1"/>
                  <w:color w:val="0000EE"/>
                  <w:w w:val="86"/>
                </w:rPr>
                <w:t>Recommendation of the Board</w:t>
              </w:r>
            </w:hyperlink>
          </w:p>
        </w:tc>
        <w:tc>
          <w:tcPr>
            <w:tcW w:w="830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r>
      <w:tr>
        <w:trPr>
          <w:trHeight w:val="196"/>
        </w:trPr>
        <w:tc>
          <w:tcPr>
            <w:tcW w:w="530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54">
              <w:r>
                <w:rPr>
                  <w:rFonts w:ascii="Arial" w:cs="Arial" w:eastAsia="Arial" w:hAnsi="Arial"/>
                  <w:sz w:val="18"/>
                  <w:szCs w:val="18"/>
                  <w:b w:val="1"/>
                  <w:bCs w:val="1"/>
                  <w:color w:val="0000EE"/>
                  <w:w w:val="98"/>
                </w:rPr>
                <w:t>RELATIONSHIP WITH INDEPENDENT PUBLIC ACCOUNTANTS</w:t>
              </w:r>
            </w:hyperlink>
          </w:p>
        </w:tc>
        <w:tc>
          <w:tcPr>
            <w:tcW w:w="57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196"/>
        </w:trPr>
        <w:tc>
          <w:tcPr>
            <w:tcW w:w="25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AUDIT COMMITTEE REPORT</w:t>
              </w:r>
            </w:hyperlink>
          </w:p>
        </w:tc>
        <w:tc>
          <w:tcPr>
            <w:tcW w:w="8520" w:type="dxa"/>
            <w:vAlign w:val="bottom"/>
            <w:gridSpan w:val="3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196"/>
        </w:trPr>
        <w:tc>
          <w:tcPr>
            <w:tcW w:w="6800" w:type="dxa"/>
            <w:vAlign w:val="bottom"/>
            <w:tcBorders>
              <w:bottom w:val="single" w:sz="8" w:color="0000EE"/>
            </w:tcBorders>
            <w:gridSpan w:val="44"/>
          </w:tcPr>
          <w:p>
            <w:pPr>
              <w:spacing w:after="0" w:line="196" w:lineRule="exact"/>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OTHER MATTERS WHICH MAY BE PRESENTED FOR ACTION AT THE MEETING</w:t>
              </w:r>
            </w:hyperlink>
          </w:p>
        </w:tc>
        <w:tc>
          <w:tcPr>
            <w:tcW w:w="42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196"/>
        </w:trPr>
        <w:tc>
          <w:tcPr>
            <w:tcW w:w="11040" w:type="dxa"/>
            <w:vAlign w:val="bottom"/>
            <w:gridSpan w:val="48"/>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DELIVERY OF DOCUMENTS TO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20"/>
        </w:trPr>
        <w:tc>
          <w:tcPr>
            <w:tcW w:w="4200" w:type="dxa"/>
            <w:vAlign w:val="bottom"/>
            <w:gridSpan w:val="32"/>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0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7"/>
              </w:rPr>
            </w:pPr>
            <w:hyperlink w:anchor="page55">
              <w:r>
                <w:rPr>
                  <w:rFonts w:ascii="Arial" w:cs="Arial" w:eastAsia="Arial" w:hAnsi="Arial"/>
                  <w:sz w:val="18"/>
                  <w:szCs w:val="18"/>
                  <w:b w:val="1"/>
                  <w:bCs w:val="1"/>
                  <w:color w:val="0000EE"/>
                  <w:w w:val="97"/>
                </w:rPr>
                <w:t>DEADLINE FOR RECEIPT OF STOCKHOLDER PROPOSALS</w:t>
              </w:r>
            </w:hyperlink>
          </w:p>
        </w:tc>
        <w:tc>
          <w:tcPr>
            <w:tcW w:w="60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3811 Turtle Creek Blvd.,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75219-4487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24,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2011 annual meeting of our stockholders will be held at the Sheraton Suites Market Center, located at 2101 North Stemmons Freeway, Dallas, Texas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75207 at 8:00 a.m., local time, on Thursday, August 4,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90" w:lineRule="exact"/>
        <w:rPr>
          <w:sz w:val="20"/>
          <w:szCs w:val="20"/>
          <w:color w:val="auto"/>
        </w:rPr>
      </w:pPr>
    </w:p>
    <w:p>
      <w:pPr>
        <w:ind w:left="900" w:right="1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three Class II directors identified in this proxy statement, each to hold office for a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three years.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Board of Directors recommends that you vote “for” the election of its three nominees for director named in this proxy statement.</w:t>
      </w:r>
    </w:p>
    <w:p>
      <w:pPr>
        <w:spacing w:after="0" w:line="119" w:lineRule="exact"/>
        <w:rPr>
          <w:sz w:val="20"/>
          <w:szCs w:val="20"/>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Advisory Vote on Compensation of our Named Executive Officers. </w:t>
      </w:r>
      <w:r>
        <w:rPr>
          <w:rFonts w:ascii="Arial" w:cs="Arial" w:eastAsia="Arial" w:hAnsi="Arial"/>
          <w:sz w:val="18"/>
          <w:szCs w:val="18"/>
          <w:color w:val="auto"/>
        </w:rPr>
        <w:t>We are asking you to approve a non-binding advisory resolution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our named executive officers as reported in this proxy statement.</w:t>
      </w:r>
    </w:p>
    <w:p>
      <w:pPr>
        <w:spacing w:after="0" w:line="45" w:lineRule="exact"/>
        <w:rPr>
          <w:sz w:val="20"/>
          <w:szCs w:val="20"/>
          <w:color w:val="auto"/>
        </w:rPr>
      </w:pPr>
    </w:p>
    <w:p>
      <w:pPr>
        <w:ind w:left="920" w:right="34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45" w:lineRule="exact"/>
        <w:rPr>
          <w:sz w:val="20"/>
          <w:szCs w:val="20"/>
          <w:color w:val="auto"/>
        </w:rPr>
      </w:pPr>
    </w:p>
    <w:p>
      <w:pPr>
        <w:ind w:left="900" w:right="220" w:hanging="446"/>
        <w:spacing w:after="0" w:line="33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Advisory Vote Regarding Frequency of Future Advisory Votes on the Compensation of our Named Executive Officers. </w:t>
      </w:r>
      <w:r>
        <w:rPr>
          <w:rFonts w:ascii="Arial" w:cs="Arial" w:eastAsia="Arial" w:hAnsi="Arial"/>
          <w:sz w:val="16"/>
          <w:szCs w:val="16"/>
          <w:color w:val="auto"/>
        </w:rPr>
        <w:t>We are asking you to make a</w:t>
      </w:r>
      <w:r>
        <w:rPr>
          <w:rFonts w:ascii="Arial" w:cs="Arial" w:eastAsia="Arial" w:hAnsi="Arial"/>
          <w:sz w:val="16"/>
          <w:szCs w:val="16"/>
          <w:i w:val="1"/>
          <w:iCs w:val="1"/>
          <w:color w:val="auto"/>
        </w:rPr>
        <w:t xml:space="preserve"> </w:t>
      </w:r>
      <w:r>
        <w:rPr>
          <w:rFonts w:ascii="Arial" w:cs="Arial" w:eastAsia="Arial" w:hAnsi="Arial"/>
          <w:sz w:val="16"/>
          <w:szCs w:val="16"/>
          <w:color w:val="auto"/>
        </w:rPr>
        <w:t>non-binding recommendation regarding the frequency of future advisory votes on the compensation of our named executive officers.</w:t>
      </w:r>
    </w:p>
    <w:p>
      <w:pPr>
        <w:spacing w:after="0" w:line="1" w:lineRule="exact"/>
        <w:rPr>
          <w:sz w:val="20"/>
          <w:szCs w:val="20"/>
          <w:color w:val="auto"/>
        </w:rPr>
      </w:pPr>
    </w:p>
    <w:p>
      <w:pPr>
        <w:ind w:left="920" w:right="440"/>
        <w:spacing w:after="0" w:line="275" w:lineRule="auto"/>
        <w:rPr>
          <w:sz w:val="20"/>
          <w:szCs w:val="20"/>
          <w:color w:val="auto"/>
        </w:rPr>
      </w:pPr>
      <w:r>
        <w:rPr>
          <w:rFonts w:ascii="Arial" w:cs="Arial" w:eastAsia="Arial" w:hAnsi="Arial"/>
          <w:sz w:val="18"/>
          <w:szCs w:val="18"/>
          <w:b w:val="1"/>
          <w:bCs w:val="1"/>
          <w:color w:val="auto"/>
        </w:rPr>
        <w:t>Our Board of Directors does not make a recommendation regarding the frequency of future advisory votes on the compensation of our named executive officers.</w:t>
      </w:r>
    </w:p>
    <w:p>
      <w:pPr>
        <w:spacing w:after="0" w:line="45" w:lineRule="exact"/>
        <w:rPr>
          <w:sz w:val="20"/>
          <w:szCs w:val="20"/>
          <w:color w:val="auto"/>
        </w:rPr>
      </w:pPr>
    </w:p>
    <w:p>
      <w:pPr>
        <w:ind w:left="900" w:right="2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Approval of the Expected Appointment of Ernst &amp; Young LLP. </w:t>
      </w:r>
      <w:r>
        <w:rPr>
          <w:rFonts w:ascii="Arial" w:cs="Arial" w:eastAsia="Arial" w:hAnsi="Arial"/>
          <w:sz w:val="18"/>
          <w:szCs w:val="18"/>
          <w:color w:val="auto"/>
        </w:rPr>
        <w:t>We are asking you to approve the expected appointment by our Audit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Ernst &amp; Young LLP as the Company’s independent auditors for the fiscal year ending March 31, 2012.</w:t>
      </w:r>
    </w:p>
    <w:p>
      <w:pPr>
        <w:spacing w:after="0" w:line="45" w:lineRule="exact"/>
        <w:rPr>
          <w:sz w:val="20"/>
          <w:szCs w:val="20"/>
          <w:color w:val="auto"/>
        </w:rPr>
      </w:pPr>
    </w:p>
    <w:p>
      <w:pPr>
        <w:ind w:left="92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2012.</w:t>
      </w:r>
    </w:p>
    <w:p>
      <w:pPr>
        <w:spacing w:after="0" w:line="45" w:lineRule="exact"/>
        <w:rPr>
          <w:sz w:val="20"/>
          <w:szCs w:val="20"/>
          <w:color w:val="auto"/>
        </w:rPr>
      </w:pPr>
    </w:p>
    <w:p>
      <w:pPr>
        <w:ind w:left="900" w:right="8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through (4) above.</w:t>
      </w:r>
    </w:p>
    <w:p>
      <w:pPr>
        <w:spacing w:after="0" w:line="188"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STOCKHOLDERS TO BE HELD ON AUGUST 4, 2011.</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Our proxy statement and 2011 annual report to stockholders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9, 2011. In this proxy statement, we refer to this date as the “record date.” As of the record date, there were 44,491,938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6"/>
              </w:rPr>
              <w:t>Effect of Abstentions and</w:t>
            </w:r>
          </w:p>
        </w:tc>
      </w:tr>
      <w:tr>
        <w:trPr>
          <w:trHeight w:val="175"/>
        </w:trPr>
        <w:tc>
          <w:tcPr>
            <w:tcW w:w="20" w:type="dxa"/>
            <w:vAlign w:val="bottom"/>
          </w:tcPr>
          <w:p>
            <w:pPr>
              <w:spacing w:after="0"/>
              <w:rPr>
                <w:sz w:val="15"/>
                <w:szCs w:val="15"/>
                <w:color w:val="auto"/>
              </w:rPr>
            </w:pPr>
          </w:p>
        </w:tc>
        <w:tc>
          <w:tcPr>
            <w:tcW w:w="39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Proposal</w:t>
            </w:r>
          </w:p>
        </w:tc>
        <w:tc>
          <w:tcPr>
            <w:tcW w:w="120" w:type="dxa"/>
            <w:vAlign w:val="bottom"/>
          </w:tcPr>
          <w:p>
            <w:pPr>
              <w:spacing w:after="0"/>
              <w:rPr>
                <w:sz w:val="15"/>
                <w:szCs w:val="15"/>
                <w:color w:val="auto"/>
              </w:rPr>
            </w:pPr>
          </w:p>
        </w:tc>
        <w:tc>
          <w:tcPr>
            <w:tcW w:w="366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Required Vote</w:t>
            </w:r>
          </w:p>
        </w:tc>
        <w:tc>
          <w:tcPr>
            <w:tcW w:w="1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Election of Directors</w:t>
            </w: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Plurality of votes cast</w:t>
            </w:r>
          </w:p>
        </w:tc>
        <w:tc>
          <w:tcPr>
            <w:tcW w:w="1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No effect on outcome of vote</w:t>
            </w:r>
          </w:p>
        </w:tc>
      </w:tr>
      <w:tr>
        <w:trPr>
          <w:trHeight w:val="309"/>
        </w:trPr>
        <w:tc>
          <w:tcPr>
            <w:tcW w:w="4000" w:type="dxa"/>
            <w:vAlign w:val="bottom"/>
            <w:gridSpan w:val="2"/>
          </w:tcPr>
          <w:p>
            <w:pPr>
              <w:spacing w:after="0"/>
              <w:rPr>
                <w:sz w:val="20"/>
                <w:szCs w:val="20"/>
                <w:color w:val="auto"/>
              </w:rPr>
            </w:pPr>
            <w:r>
              <w:rPr>
                <w:rFonts w:ascii="Arial" w:cs="Arial" w:eastAsia="Arial" w:hAnsi="Arial"/>
                <w:sz w:val="18"/>
                <w:szCs w:val="18"/>
                <w:color w:val="auto"/>
                <w:w w:val="89"/>
              </w:rPr>
              <w:t>Advisory vote on compensation of our named executive</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Majority of votes cast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No effect on outcome of vote</w:t>
            </w: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officers</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68" w:lineRule="auto"/>
        <w:rPr>
          <w:sz w:val="20"/>
          <w:szCs w:val="20"/>
          <w:color w:val="auto"/>
        </w:rPr>
      </w:pPr>
      <w:r>
        <w:rPr>
          <w:rFonts w:ascii="Arial" w:cs="Arial" w:eastAsia="Arial" w:hAnsi="Arial"/>
          <w:sz w:val="18"/>
          <w:szCs w:val="18"/>
          <w:color w:val="auto"/>
        </w:rPr>
        <w:t>Advisory recommendation regarding frequency of future votes on compensation</w:t>
      </w:r>
    </w:p>
    <w:p>
      <w:pPr>
        <w:spacing w:after="0" w:line="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of the expected appointment of Ernst &amp; Young LLP as our independent auditors for the fiscal year ending March 31, 2012</w:t>
      </w:r>
    </w:p>
    <w:p>
      <w:pPr>
        <w:spacing w:after="0" w:line="20" w:lineRule="exact"/>
        <w:rPr>
          <w:sz w:val="20"/>
          <w:szCs w:val="20"/>
          <w:color w:val="auto"/>
        </w:rPr>
      </w:pPr>
      <w:r>
        <w:rPr>
          <w:sz w:val="20"/>
          <w:szCs w:val="20"/>
          <w:color w:val="auto"/>
        </w:rPr>
        <w:br w:type="column"/>
      </w:r>
    </w:p>
    <w:p>
      <w:pPr>
        <w:spacing w:after="0"/>
        <w:tabs>
          <w:tab w:leader="none" w:pos="3760" w:val="left"/>
        </w:tabs>
        <w:rPr>
          <w:sz w:val="20"/>
          <w:szCs w:val="20"/>
          <w:color w:val="auto"/>
        </w:rPr>
      </w:pPr>
      <w:r>
        <w:rPr>
          <w:rFonts w:ascii="Arial" w:cs="Arial" w:eastAsia="Arial" w:hAnsi="Arial"/>
          <w:sz w:val="18"/>
          <w:szCs w:val="18"/>
          <w:color w:val="auto"/>
        </w:rPr>
        <w:t>The frequency receiving the greatest number of</w:t>
      </w:r>
      <w:r>
        <w:rPr>
          <w:sz w:val="20"/>
          <w:szCs w:val="20"/>
          <w:color w:val="auto"/>
        </w:rPr>
        <w:tab/>
      </w:r>
      <w:r>
        <w:rPr>
          <w:rFonts w:ascii="Arial" w:cs="Arial" w:eastAsia="Arial" w:hAnsi="Arial"/>
          <w:sz w:val="16"/>
          <w:szCs w:val="16"/>
          <w:color w:val="auto"/>
        </w:rPr>
        <w:t>No effect on outcome of vote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votes</w:t>
      </w:r>
    </w:p>
    <w:p>
      <w:pPr>
        <w:spacing w:after="0" w:line="111"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Affirmative vote of a majority of the shares of</w:t>
      </w:r>
      <w:r>
        <w:rPr>
          <w:sz w:val="20"/>
          <w:szCs w:val="20"/>
          <w:color w:val="auto"/>
        </w:rPr>
        <w:tab/>
      </w:r>
      <w:r>
        <w:rPr>
          <w:rFonts w:ascii="Arial" w:cs="Arial" w:eastAsia="Arial" w:hAnsi="Arial"/>
          <w:sz w:val="15"/>
          <w:szCs w:val="15"/>
          <w:color w:val="auto"/>
        </w:rPr>
        <w:t>Same effect as votes against proposal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Common Stock present in person or represented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at the meeting</w:t>
      </w:r>
    </w:p>
    <w:p>
      <w:pPr>
        <w:spacing w:after="0" w:line="164" w:lineRule="exact"/>
        <w:rPr>
          <w:sz w:val="20"/>
          <w:szCs w:val="20"/>
          <w:color w:val="auto"/>
        </w:rPr>
      </w:pPr>
    </w:p>
    <w:p>
      <w:pPr>
        <w:sectPr>
          <w:pgSz w:w="11900" w:h="16838" w:orient="portrait"/>
          <w:cols w:equalWidth="0" w:num="2">
            <w:col w:w="4000" w:space="120"/>
            <w:col w:w="7300"/>
          </w:cols>
          <w:pgMar w:left="240" w:top="459" w:right="239" w:bottom="1440" w:gutter="0" w:footer="0" w:header="0"/>
          <w:type w:val="continuous"/>
        </w:sectPr>
      </w:pPr>
    </w:p>
    <w:p>
      <w:pPr>
        <w:jc w:val="both"/>
        <w:ind w:right="180" w:firstLine="456"/>
        <w:spacing w:after="0" w:line="298" w:lineRule="auto"/>
        <w:rPr>
          <w:sz w:val="20"/>
          <w:szCs w:val="20"/>
          <w:color w:val="auto"/>
        </w:rPr>
      </w:pPr>
      <w:r>
        <w:rPr>
          <w:rFonts w:ascii="Arial" w:cs="Arial" w:eastAsia="Arial" w:hAnsi="Arial"/>
          <w:sz w:val="16"/>
          <w:szCs w:val="16"/>
          <w:color w:val="auto"/>
        </w:rPr>
        <w:t>In the past, brokers had discretion to vote in the election of directors if they did not receive instructions from the beneficial owner. Due to a change in the rules of the NYSE, the election of directors is no longer considered a “routine” matter and thus brokers no longer have this discretionary authority. The votes on the advisory votes regarding executive compensation and the frequency of future votes on compensation are also not considered “routine,” and brokers may not vote your shares with respect to such matters without instructions from you.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$9,000,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 can vote your shares at the meeting, by telephone, over the Internet or by completing, signing, dating and returning your proxy in the enclosed envelope.</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240" w:top="459" w:right="8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1: ELECTION OF DIRECTORS AND RELATED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5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Members of our Board of Directors are divided into three classes based on their term of office (Class I, II and III). The directors in each such class hold office for staggered terms of three years each. At present, we have three Class I directors, three Class II directors and three Class III directors. Our Board has determined that the Board shall consist of nine directors. Effective at the 2011 annual meeting, Mr. Maresh is expected to retire from service as a Class I director in accordance with our director retirement policy. The Board has no immediate plans to fill Mr. Maresh’s seat once he retires.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composition of our Board after the annual meeting, assuming the election of the proposed slate of director nominees and the retirement of Mr. Maresh:</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Directors</w:t>
            </w:r>
          </w:p>
        </w:tc>
        <w:tc>
          <w:tcPr>
            <w:tcW w:w="240" w:type="dxa"/>
            <w:vAlign w:val="bottom"/>
          </w:tcPr>
          <w:p>
            <w:pPr>
              <w:spacing w:after="0"/>
              <w:rPr>
                <w:sz w:val="14"/>
                <w:szCs w:val="14"/>
                <w:color w:val="auto"/>
              </w:rPr>
            </w:pPr>
          </w:p>
        </w:tc>
      </w:tr>
      <w:tr>
        <w:trPr>
          <w:trHeight w:val="309"/>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w w:val="96"/>
              </w:rPr>
              <w:t xml:space="preserve">Class I: </w:t>
            </w:r>
            <w:r>
              <w:rPr>
                <w:rFonts w:ascii="Arial" w:cs="Arial" w:eastAsia="Arial" w:hAnsi="Arial"/>
                <w:sz w:val="18"/>
                <w:szCs w:val="18"/>
                <w:color w:val="auto"/>
                <w:w w:val="96"/>
              </w:rPr>
              <w:t>Term expires at the 2013 annual meeting and every three years</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rPr>
              <w:t>Robert L. Clarke</w:t>
            </w:r>
          </w:p>
        </w:tc>
      </w:tr>
      <w:tr>
        <w:trPr>
          <w:trHeight w:val="222"/>
        </w:trPr>
        <w:tc>
          <w:tcPr>
            <w:tcW w:w="55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7"/>
              </w:rPr>
              <w:t>Steven R. Rowley</w:t>
            </w:r>
          </w:p>
        </w:tc>
      </w:tr>
      <w:tr>
        <w:trPr>
          <w:trHeight w:val="331"/>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w w:val="95"/>
              </w:rPr>
              <w:t xml:space="preserve">Class II: </w:t>
            </w:r>
            <w:r>
              <w:rPr>
                <w:rFonts w:ascii="Arial" w:cs="Arial" w:eastAsia="Arial" w:hAnsi="Arial"/>
                <w:sz w:val="18"/>
                <w:szCs w:val="18"/>
                <w:color w:val="auto"/>
                <w:w w:val="95"/>
              </w:rPr>
              <w:t>Term expires at the 2014 annual meeting and every three years</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1"/>
              </w:rPr>
              <w:t>Laurence E. Hirsch</w:t>
            </w: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1"/>
              </w:rPr>
              <w:t>Michael R. Nicolais</w:t>
            </w: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2"/>
              </w:rPr>
              <w:t>Richard R. Stewart</w:t>
            </w:r>
          </w:p>
        </w:tc>
      </w:tr>
      <w:tr>
        <w:trPr>
          <w:trHeight w:val="331"/>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w w:val="94"/>
              </w:rPr>
              <w:t xml:space="preserve">Class III: </w:t>
            </w:r>
            <w:r>
              <w:rPr>
                <w:rFonts w:ascii="Arial" w:cs="Arial" w:eastAsia="Arial" w:hAnsi="Arial"/>
                <w:sz w:val="18"/>
                <w:szCs w:val="18"/>
                <w:color w:val="auto"/>
                <w:w w:val="94"/>
              </w:rPr>
              <w:t>Term expires at the 2012 annual meeting and every three years</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8"/>
              </w:rPr>
              <w:t>F. William Barnett</w:t>
            </w: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w w:val="93"/>
              </w:rPr>
              <w:t>Ed H. Bowman, Jr.</w:t>
            </w:r>
          </w:p>
        </w:tc>
      </w:tr>
      <w:tr>
        <w:trPr>
          <w:trHeight w:val="222"/>
        </w:trPr>
        <w:tc>
          <w:tcPr>
            <w:tcW w:w="2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rPr>
              <w:t>David W. Quinn</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Rowley, are “independent” within the meaning of the independence requirements of the Securities Exchange Act of 1934, as amended, which we refer to as the “Exchange Act,” and the corporate governance rules of the NYSE.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determining that eight of our nine directors are “independent,” our Board of Directors considered the following facts:</w:t>
      </w:r>
    </w:p>
    <w:p>
      <w:pPr>
        <w:spacing w:after="0" w:line="90" w:lineRule="exact"/>
        <w:rPr>
          <w:sz w:val="20"/>
          <w:szCs w:val="20"/>
          <w:color w:val="auto"/>
        </w:rPr>
      </w:pPr>
    </w:p>
    <w:p>
      <w:pPr>
        <w:ind w:left="900" w:right="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Messrs. F. William Barnett, Ed H. Bowman, Jr., Robert L. Clarke, Frank W. Maresh and Richard R. Stewart have no relationship with the Company that potentially affects their independence.</w:t>
      </w:r>
    </w:p>
    <w:p>
      <w:pPr>
        <w:spacing w:after="0" w:line="50" w:lineRule="exact"/>
        <w:rPr>
          <w:rFonts w:ascii="Arial" w:cs="Arial" w:eastAsia="Arial" w:hAnsi="Arial"/>
          <w:sz w:val="18"/>
          <w:szCs w:val="18"/>
          <w:color w:val="auto"/>
        </w:rPr>
      </w:pPr>
    </w:p>
    <w:p>
      <w:pPr>
        <w:ind w:left="900" w:right="20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From 1987 until his retirement in March 2002, Mr. David W. Quinn was an officer of Centex Corporation, our former parent, which we refer to as “Centex.” Because it has been over five years since his retirement as an officer of Centex and in light of the absence of any other material relationship with the Company (other than as a director of the Company), our Board of Directors has determined that Mr. Quinn has no material relationship with the Company.</w:t>
      </w:r>
    </w:p>
    <w:p>
      <w:pPr>
        <w:spacing w:after="0" w:line="62" w:lineRule="exact"/>
        <w:rPr>
          <w:rFonts w:ascii="Arial" w:cs="Arial" w:eastAsia="Arial" w:hAnsi="Arial"/>
          <w:sz w:val="18"/>
          <w:szCs w:val="18"/>
          <w:color w:val="auto"/>
        </w:rPr>
      </w:pPr>
    </w:p>
    <w:p>
      <w:pPr>
        <w:ind w:left="900" w:right="180" w:hanging="446"/>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From 1985 until his retirement in March 2004, Mr. Laurence E. Hirsch was an officer of Centex. Mr. Hirsch was also our interim Chief Executive Officer for approximately six months from April 2003 until September 2003 prior to the appointment of Mr. Rowley as Chief Executive Officer in September 2003. Because it has been over five years since Mr. Hirsch retired from Centex or served as an officer of the Company on an interim basis, our Board determined that Mr. Hirsch has no material relationship with the Company (other than as a director of the Company).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Partners,” a private investment partnership of which Mr. Hirsch is the sole equity owner. In view of, among other things: (1) the fact that Mr. Nicolais has never served as an officer or employee of the Company or any of its parents or subsidiaries; (2) the employment relationship between Mr. Nicolais and Highlander Partners commenced after the completion of the spin-off of the Company from Centex and after the date Mr. Hirsch retired as an executive officer and director of Centex; (3) the investment services provided by Mr. Nicolais to Highlander Partners are largely unrelated to the Company (except to the extent that such services involve investment services relating to a portion of the shares of our Common Stock beneficially owned by Mr. Hirsch); and (4) the fact that, as described above, our Board of Directors has determined that Mr. Hirsch himself has no material relationship with the Company, our Board of Directors determined that Mr. Nicolais has no material relationship with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of the nominees listed below is currently a member of our Board of Directors. Each of these nominees has been recommended for nomination by our Governance Committee (with Mr. Nicolais abstaining as to his own nomination)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A plurality of votes cast by the holders of our Common Stock will be required to elect the nominees for director.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nominees listed below to serve as Class II directors for a three-year term ending at our 2014 annual meeting of stockholders: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Laurence E. Hirsch</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R. Nicolais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R. Stewart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Set forth below is information about the nominees standing for election at our 2011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to serve as a director of the Company.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Director Whose Terms Expire at our 2011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 Directors)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c>
          <w:tcPr>
            <w:tcW w:w="120" w:type="dxa"/>
            <w:vAlign w:val="bottom"/>
          </w:tcPr>
          <w:p>
            <w:pPr>
              <w:spacing w:after="0"/>
              <w:rPr>
                <w:sz w:val="14"/>
                <w:szCs w:val="14"/>
                <w:color w:val="auto"/>
              </w:rPr>
            </w:pPr>
          </w:p>
        </w:tc>
        <w:tc>
          <w:tcPr>
            <w:tcW w:w="8080" w:type="dxa"/>
            <w:vAlign w:val="bottom"/>
          </w:tcPr>
          <w:p>
            <w:pPr>
              <w:ind w:left="2660"/>
              <w:spacing w:after="0"/>
              <w:rPr>
                <w:sz w:val="20"/>
                <w:szCs w:val="20"/>
                <w:color w:val="auto"/>
              </w:rPr>
            </w:pPr>
            <w:r>
              <w:rPr>
                <w:rFonts w:ascii="Arial" w:cs="Arial" w:eastAsia="Arial" w:hAnsi="Arial"/>
                <w:sz w:val="14"/>
                <w:szCs w:val="14"/>
                <w:b w:val="1"/>
                <w:bCs w:val="1"/>
                <w:color w:val="auto"/>
              </w:rPr>
              <w:t>Business Experience and Principal Occupation;</w:t>
            </w:r>
          </w:p>
        </w:tc>
      </w:t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8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Elected</w:t>
            </w:r>
          </w:p>
        </w:tc>
        <w:tc>
          <w:tcPr>
            <w:tcW w:w="120" w:type="dxa"/>
            <w:vAlign w:val="bottom"/>
          </w:tcPr>
          <w:p>
            <w:pPr>
              <w:spacing w:after="0"/>
              <w:rPr>
                <w:sz w:val="15"/>
                <w:szCs w:val="15"/>
                <w:color w:val="auto"/>
              </w:rPr>
            </w:pPr>
          </w:p>
        </w:tc>
        <w:tc>
          <w:tcPr>
            <w:tcW w:w="808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r>
      <w:tr>
        <w:trPr>
          <w:trHeight w:val="30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Laurence E. Hirsch</w:t>
            </w:r>
          </w:p>
        </w:tc>
        <w:tc>
          <w:tcPr>
            <w:tcW w:w="360" w:type="dxa"/>
            <w:vAlign w:val="bottom"/>
          </w:tcPr>
          <w:p>
            <w:pPr>
              <w:jc w:val="right"/>
              <w:ind w:right="22"/>
              <w:spacing w:after="0"/>
              <w:rPr>
                <w:sz w:val="20"/>
                <w:szCs w:val="20"/>
                <w:color w:val="auto"/>
              </w:rPr>
            </w:pPr>
            <w:r>
              <w:rPr>
                <w:rFonts w:ascii="Arial" w:cs="Arial" w:eastAsia="Arial" w:hAnsi="Arial"/>
                <w:sz w:val="18"/>
                <w:szCs w:val="18"/>
                <w:color w:val="auto"/>
              </w:rPr>
              <w:t>65</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1985</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Mr. Hirsch is chairman of Highlander Partners, an investment partnership. He has served as chairman of our Board</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of Directors from July 1999 to the present and also served in that capacity from January 1994 through December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1997. He was our interim Chief Executive Officer from April 2003 through September 2003. Mr. Hirsch is a</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member of the Executive Committee of our Board of Directors. Until his retirement on March 31, 2004,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Hirsch served Centex Corporation in various capacities, including as a director beginning in 1985, as Chief</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Executive Officer beginning in July 1988 and as chairman of its board of directors beginning in July 1991.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Hirsch served as a director of Belo Corp. from August 1999 through January 2008 and continued as a director of</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A. H. Belo until May 2011. Mr. Hirsch currently serves as a director of the Federal Home Loan Mortgage Corp.</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(Freddie Mac) and is also Chairman of the Center for European Policy Analysis.</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Mr. Hirsch brings to the Board his extensive executive experience gained through his service as the CEO of a</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public company. In addition, Mr. Hirsch brings extensive knowledge of the Company through having served as our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Chairman for most of the last 15 years. Mr. Hirsch also brings valuable experience as an executive officer within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the construction products industry and his knowledge of corporate governance and financial oversight gained from</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his membership on the boards of other public companies.</w:t>
            </w:r>
          </w:p>
        </w:tc>
      </w:tr>
      <w:tr>
        <w:trPr>
          <w:trHeight w:val="378"/>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0" w:type="dxa"/>
            <w:vAlign w:val="bottom"/>
            <w:gridSpan w:val="2"/>
          </w:tcPr>
          <w:p>
            <w:pPr>
              <w:jc w:val="right"/>
              <w:ind w:right="5575"/>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Michael R. Nicolais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53</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2001</w:t>
            </w: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In April 2004, Mr. Nicolais became president of Highlander Partners. From August 2002 until March 2004,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Nicolais served as managing director of Stephens, Inc., an investment banking firm. Prior to joining Stephens, Inc.,</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he was a partner in the private investment firm of Olivhan Investments, L.P. from March 2001 until August 2002.</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From August 1986 to December 2000, he was employed by Donaldson, Lufkin &amp; Jenrette Securities Corporation’s</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Investment Banking Division, most recently in the position of Managing Director and co-head of that firm’s Dallas</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office. Mr. Nicolais has been a member of our Board of Directors since 2001. He also serves as a member of the</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Compensation Committee and the Governance Committee.</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Mr. Nicolais brings to the Board, the Governance Committee and the Compensation Committee his extensive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knowledge of capital markets, financial analysis and financial oversight gained through his experience as an</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 banker and investment manager.</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Richard R. Stewart</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61</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From 1998 until 2006 Mr. Stewart served as President and CEO of GE Aero Energy, a division of GE Power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Systems and as an officer of General Electric Company. Mr. Stewart retired from General Electric in 2006.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Stewart’s career at General Electric began in 1998 as a result of General Electric’s acquisition of the gas turbine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business of Stewart &amp; Stevenson Services, Inc. Mr. Stewart began his career at Stewart &amp; Stevenson in 1972 and</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while at Stewart &amp; Stevenson served in various positions including as Group President and member of the board</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of directors. Mr. Stewart also served as a director of Plug Power Inc. from July of 2003 to March of 2006.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Stewart became a director of Kirby Corporation in 2008 and a director of Lufkin Industries, Inc. in 2009. Mr.</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Stewart serves as chairman of the Compensation Committee of our Board of Directors.</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Mr. Stewart brings to the Board and the Compensation Committee his proven leadership and business experience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as the former CEO of a manufacturing company. Mr. Stewart also brings corporate governance and compensation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experience gained from membership on the boards of other public companies and as an officer with General</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Electric.</w:t>
            </w:r>
          </w:p>
        </w:tc>
      </w:tr>
      <w:tr>
        <w:trPr>
          <w:trHeight w:val="54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0" w:type="dxa"/>
            <w:vAlign w:val="bottom"/>
            <w:gridSpan w:val="3"/>
          </w:tcPr>
          <w:p>
            <w:pPr>
              <w:ind w:left="620"/>
              <w:spacing w:after="0"/>
              <w:rPr>
                <w:sz w:val="20"/>
                <w:szCs w:val="20"/>
                <w:color w:val="auto"/>
              </w:rPr>
            </w:pPr>
            <w:r>
              <w:rPr>
                <w:rFonts w:ascii="Arial" w:cs="Arial" w:eastAsia="Arial" w:hAnsi="Arial"/>
                <w:sz w:val="18"/>
                <w:szCs w:val="18"/>
                <w:b w:val="1"/>
                <w:bCs w:val="1"/>
                <w:color w:val="auto"/>
              </w:rPr>
              <w:t>Continuing Directors Whose Terms Expire at our 2012 Annual Meeting</w:t>
            </w:r>
          </w:p>
        </w:tc>
      </w:tr>
      <w:tr>
        <w:trPr>
          <w:trHeight w:val="228"/>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ind w:left="1620"/>
              <w:spacing w:after="0"/>
              <w:rPr>
                <w:sz w:val="20"/>
                <w:szCs w:val="20"/>
                <w:color w:val="auto"/>
              </w:rPr>
            </w:pPr>
            <w:r>
              <w:rPr>
                <w:rFonts w:ascii="Arial" w:cs="Arial" w:eastAsia="Arial" w:hAnsi="Arial"/>
                <w:sz w:val="18"/>
                <w:szCs w:val="18"/>
                <w:b w:val="1"/>
                <w:bCs w:val="1"/>
                <w:color w:val="auto"/>
              </w:rPr>
              <w:t>(Class III Directors)</w:t>
            </w:r>
          </w:p>
        </w:tc>
      </w:tr>
      <w:tr>
        <w:trPr>
          <w:trHeight w:val="340"/>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c>
          <w:tcPr>
            <w:tcW w:w="120" w:type="dxa"/>
            <w:vAlign w:val="bottom"/>
          </w:tcPr>
          <w:p>
            <w:pPr>
              <w:spacing w:after="0"/>
              <w:rPr>
                <w:sz w:val="24"/>
                <w:szCs w:val="24"/>
                <w:color w:val="auto"/>
              </w:rPr>
            </w:pPr>
          </w:p>
        </w:tc>
        <w:tc>
          <w:tcPr>
            <w:tcW w:w="8080" w:type="dxa"/>
            <w:vAlign w:val="bottom"/>
          </w:tcPr>
          <w:p>
            <w:pPr>
              <w:ind w:left="2660"/>
              <w:spacing w:after="0"/>
              <w:rPr>
                <w:sz w:val="20"/>
                <w:szCs w:val="20"/>
                <w:color w:val="auto"/>
              </w:rPr>
            </w:pPr>
            <w:r>
              <w:rPr>
                <w:rFonts w:ascii="Arial" w:cs="Arial" w:eastAsia="Arial" w:hAnsi="Arial"/>
                <w:sz w:val="14"/>
                <w:szCs w:val="14"/>
                <w:b w:val="1"/>
                <w:bCs w:val="1"/>
                <w:color w:val="auto"/>
              </w:rPr>
              <w:t>Business Experience and Principal Occupation;</w:t>
            </w:r>
          </w:p>
        </w:tc>
      </w:t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8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Elected</w:t>
            </w:r>
          </w:p>
        </w:tc>
        <w:tc>
          <w:tcPr>
            <w:tcW w:w="120" w:type="dxa"/>
            <w:vAlign w:val="bottom"/>
          </w:tcPr>
          <w:p>
            <w:pPr>
              <w:spacing w:after="0"/>
              <w:rPr>
                <w:sz w:val="15"/>
                <w:szCs w:val="15"/>
                <w:color w:val="auto"/>
              </w:rPr>
            </w:pPr>
          </w:p>
        </w:tc>
        <w:tc>
          <w:tcPr>
            <w:tcW w:w="808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r>
      <w:tr>
        <w:trPr>
          <w:trHeight w:val="30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F. William Barnett</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64</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2003</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Mr. Barnett retired in 2003 from his position as a Director in the Dallas office of McKinsey &amp; Company, Inc., an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international consulting firm, after 23 years of employment, where he led the firm’s Strategy Practice. Mr. Barnett</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also served as a director of Papa Johns International, Inc. from 2003 until March 2009, and has been an Adjunct</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4"/>
              </w:rPr>
              <w:t>Professor at the Yale School of Management and the Jesse H. Jones Graduate School of Business at Rice</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University. Mr. Barnett currently chairs our Governance Committee.</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8"/>
              </w:rPr>
              <w:t>Mr. Barnett brings to the Board and the Governance Committee his corporate governance and strategy</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development and implementation experience gained from his long career in management consulting and his</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service on another board.</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Ed H. Bowman, Jr.</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64</w:t>
            </w:r>
          </w:p>
        </w:tc>
        <w:tc>
          <w:tcPr>
            <w:tcW w:w="900" w:type="dxa"/>
            <w:vAlign w:val="bottom"/>
            <w:gridSpan w:val="2"/>
          </w:tcPr>
          <w:p>
            <w:pPr>
              <w:jc w:val="center"/>
              <w:ind w:left="32"/>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2"/>
              </w:rPr>
              <w:t>Mr. Bowman is Chief Executive Officer, President and a director of SourceHOV, where he has served as CEO</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since 1996. Prior to 1996, Mr. Bowman was a senior executive at First Data Corporation. Mr. Bowman joined our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Board in May 2011 (after the end of fiscal 2011). Mr. Bowman serves on the advisory board of the J. Mack</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Robinson College of Business at Georgia State University and the Board of the Dallas Regional Chamber of</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Commerce.</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6"/>
              </w:rPr>
              <w:t>Mr. Bowman brings to the Board his proven leadership and business experience as the sitting CEO of an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expanding company. Mr. Bowman also brings corporate governance, finance and compensation knowledge gained</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from his experience at other public companies.</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David W. Quinn</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69</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1994</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Mr. Quinn served as a director of Centex from 1989 until its merger with Pulte in 2009, as Vice Chairman of the</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7"/>
              </w:rPr>
              <w:t>Board of Directors of Centex from May 1996 to March 2002, as Executive Vice President of Centex from</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February 1987 to May 1996, and Chief Financial Officer of Centex from February 1987 until June 1997 and again</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from October 1997 until May 2000. Mr. Quinn is the chairman of the Audit Committee of our Board of Directors.</w:t>
            </w:r>
          </w:p>
        </w:tc>
      </w:tr>
    </w:tbl>
    <w:p>
      <w:pPr>
        <w:spacing w:after="0" w:line="75" w:lineRule="exact"/>
        <w:rPr>
          <w:sz w:val="20"/>
          <w:szCs w:val="20"/>
          <w:color w:val="auto"/>
        </w:rPr>
      </w:pPr>
    </w:p>
    <w:p>
      <w:pPr>
        <w:ind w:left="3340"/>
        <w:spacing w:after="0" w:line="298" w:lineRule="auto"/>
        <w:rPr>
          <w:sz w:val="20"/>
          <w:szCs w:val="20"/>
          <w:color w:val="auto"/>
        </w:rPr>
      </w:pPr>
      <w:r>
        <w:rPr>
          <w:rFonts w:ascii="Arial" w:cs="Arial" w:eastAsia="Arial" w:hAnsi="Arial"/>
          <w:sz w:val="16"/>
          <w:szCs w:val="16"/>
          <w:color w:val="auto"/>
        </w:rPr>
        <w:t>Mr. Quinn brings to the Board and the Audit Committee his extensive management, financial and audit experience gained from his 17 years as CFO and/or Vice Chairman of the Company’s former parent company and through prior experience as a partner with a major accounting firm. Mr. Quinn also brings corporate governance experience gained from membership on the boards of other public and private companies.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Terms Expire at our 2013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 Directors)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Year First</w:t>
            </w:r>
          </w:p>
        </w:tc>
        <w:tc>
          <w:tcPr>
            <w:tcW w:w="120" w:type="dxa"/>
            <w:vAlign w:val="bottom"/>
          </w:tcPr>
          <w:p>
            <w:pPr>
              <w:spacing w:after="0"/>
              <w:rPr>
                <w:sz w:val="14"/>
                <w:szCs w:val="14"/>
                <w:color w:val="auto"/>
              </w:rPr>
            </w:pPr>
          </w:p>
        </w:tc>
        <w:tc>
          <w:tcPr>
            <w:tcW w:w="8080" w:type="dxa"/>
            <w:vAlign w:val="bottom"/>
          </w:tcPr>
          <w:p>
            <w:pPr>
              <w:ind w:left="2660"/>
              <w:spacing w:after="0"/>
              <w:rPr>
                <w:sz w:val="20"/>
                <w:szCs w:val="20"/>
                <w:color w:val="auto"/>
              </w:rPr>
            </w:pPr>
            <w:r>
              <w:rPr>
                <w:rFonts w:ascii="Arial" w:cs="Arial" w:eastAsia="Arial" w:hAnsi="Arial"/>
                <w:sz w:val="14"/>
                <w:szCs w:val="14"/>
                <w:b w:val="1"/>
                <w:bCs w:val="1"/>
                <w:color w:val="auto"/>
              </w:rPr>
              <w:t>Business Experience and Principal Occupation;</w:t>
            </w:r>
          </w:p>
        </w:tc>
      </w:t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58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Elected</w:t>
            </w:r>
          </w:p>
        </w:tc>
        <w:tc>
          <w:tcPr>
            <w:tcW w:w="120" w:type="dxa"/>
            <w:vAlign w:val="bottom"/>
          </w:tcPr>
          <w:p>
            <w:pPr>
              <w:spacing w:after="0"/>
              <w:rPr>
                <w:sz w:val="15"/>
                <w:szCs w:val="15"/>
                <w:color w:val="auto"/>
              </w:rPr>
            </w:pPr>
          </w:p>
        </w:tc>
        <w:tc>
          <w:tcPr>
            <w:tcW w:w="808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r>
      <w:tr>
        <w:trPr>
          <w:trHeight w:val="30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Robert L. Clarke</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68</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1994</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Mr. Clarke was a partner in the law firm of Bracewell &amp; Giuliani LLP (formerly known as Bracewell &amp; Patterson)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from 1971 to December 1985, returned to the firm as a partner in March 1992 and currently is a senior partner in</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that firm. From December 1985 to February 1992, he was Comptroller of the Currency of the United States. Mr.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0"/>
              </w:rPr>
              <w:t>Clarke is a director of Stewart Information Services Corporation. Mr. Clarke is a member of the Audit Committee</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and Compensation Committee of our Board of Directors.</w:t>
            </w:r>
          </w:p>
        </w:tc>
      </w:tr>
      <w:tr>
        <w:trPr>
          <w:trHeight w:val="291"/>
        </w:trPr>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Mr. Clarke brings to the Board, the Audit Committee and the Compensation Committee extensive financial and</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8"/>
              </w:rPr>
              <w:t>legal experience and knowledge of corporate governance and financial oversight gained from his long legal career,</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1"/>
              </w:rPr>
              <w:t>his membership on the boards of other public companies and his service as Comptroller of the Currency of the</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Steven R. Rowley</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58</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2003</w:t>
            </w:r>
          </w:p>
        </w:tc>
        <w:tc>
          <w:tcPr>
            <w:tcW w:w="1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Mr. Rowley has been the Company’s President and Chief Executive Officer and a member of our Board of</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Directors since September 2003. Mr. Rowley is also a member of the Executive Committee of our Board of</w:t>
            </w:r>
          </w:p>
        </w:tc>
      </w:tr>
      <w:tr>
        <w:trPr>
          <w:trHeight w:val="216"/>
        </w:trPr>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3"/>
              </w:rPr>
              <w:t>Directors. Mr. Rowley joined the Company in 1991 as a plant manager at its Nevada cement operations and</w:t>
            </w:r>
          </w:p>
        </w:tc>
      </w:tr>
      <w:tr>
        <w:trPr>
          <w:trHeight w:val="222"/>
        </w:trPr>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89"/>
              </w:rPr>
              <w:t>subsequently became Executive Vice President of the Company’s Illinois Cement Company subsidiary in June of</w:t>
            </w:r>
          </w:p>
        </w:tc>
      </w:tr>
    </w:tbl>
    <w:p>
      <w:pPr>
        <w:jc w:val="both"/>
        <w:ind w:left="3340" w:right="220"/>
        <w:spacing w:after="0" w:line="255" w:lineRule="auto"/>
        <w:rPr>
          <w:sz w:val="20"/>
          <w:szCs w:val="20"/>
          <w:color w:val="auto"/>
        </w:rPr>
      </w:pPr>
      <w:r>
        <w:rPr>
          <w:rFonts w:ascii="Arial" w:cs="Arial" w:eastAsia="Arial" w:hAnsi="Arial"/>
          <w:sz w:val="18"/>
          <w:szCs w:val="18"/>
          <w:color w:val="auto"/>
        </w:rPr>
        <w:t>1995. Mr. Rowley was named the Company’s Executive Vice President-Cement in 1998. In 2001, Mr. Rowley’s operational responsibilities were expanded to include concrete and aggregates. Mr. Rowley was the Company’s Chief Operating Officer from October 2002 until September 2003.</w:t>
      </w:r>
    </w:p>
    <w:p>
      <w:pPr>
        <w:spacing w:after="0" w:line="63" w:lineRule="exact"/>
        <w:rPr>
          <w:sz w:val="20"/>
          <w:szCs w:val="20"/>
          <w:color w:val="auto"/>
        </w:rPr>
      </w:pPr>
    </w:p>
    <w:p>
      <w:pPr>
        <w:ind w:left="3340" w:right="300"/>
        <w:spacing w:after="0" w:line="268" w:lineRule="auto"/>
        <w:rPr>
          <w:sz w:val="20"/>
          <w:szCs w:val="20"/>
          <w:color w:val="auto"/>
        </w:rPr>
      </w:pPr>
      <w:r>
        <w:rPr>
          <w:rFonts w:ascii="Arial" w:cs="Arial" w:eastAsia="Arial" w:hAnsi="Arial"/>
          <w:sz w:val="18"/>
          <w:szCs w:val="18"/>
          <w:color w:val="auto"/>
        </w:rPr>
        <w:t>Mr. Rowley brings to the Board his extensive executive and operations experience in the construction products industry, including 20 years of service with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the Company’s fiscal year ended March 31, 2011, our Board of Directors held four regularly scheduled meetings and one special meeting. During such fiscal year, all of the incumbent directors attended at least 75% of the meetings of the Board and the committees of the Board on which they served, except for Mr. Clarke, who missed the May 2010 meetings of the Audit Committee, Compensation Committee and Board due to illness. In accordance with our informal policy, we anticipate that all continuing directors and nominees will attend our 2011 annual stockholders meeting. All of our directors attended our 2010 annual meeting. We strongly encourage all directors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COMPENSATION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Board compensation is generally set for the next 12 months at our Board of Directors meeting following our annual meeting of stockholders. In August 2010, our Board of Directors approved the same compensation levels paid last year by adopting a director compensation structure in which directors who are not employees of the Company or any of our subsidiaries received compensation for their services during the next 12 months (for the period from August 2010 through July 2011) by electing one of the following two compensation package alternatives: (1) total compensation valued at $150,000 per year, of which $75,000 is paid in cash and the remainder is provided in the form of an equity grant valued at $75,000; or (2) an equity grant valued at $170,000. The equity grant under either alternative is comprised of options to purchase Common Stock. In accordance with the terms of the Eagle Materials Inc. Incentive Plan, the exercise price of stock options is set at the average of the high and low price of the Common Stock on the NYSE on the date of grant. The number of option shares is determined as of the date of grant by using the Black-Scholes method. All options are fully exercisable when granted and have a seven-year term.</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Non-employee directors who chair committees of the Board of Directors receive additional annual compensation. The Governance Committee Chair receives a fee of $10,000 per year. The chairs of the Audit Committee and the Compensation Committee each receive a fee of $15,000 per year. The Chairman of the Board receives a fee of $50,000 per year. Chairpersons who elect to receive all Board compensation in the form of equity may also elect to receive this additional compensation in the form of options to purchase Common Stock, in which case a 26.67% premium is added to such fees when valuing the number of options to be received by such chairperson.</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directors hold restricted stock units, which we refer to as “RSUs,” granted as part of director compensation in prior fiscal years (which includes all directors other than Ed Bowman and Richard Stewart), these directors will accrue dividend equivalent units as and when the Company issues a cash dividend on the Common Stock in accordance with the terms of the RSUs.</w:t>
      </w:r>
    </w:p>
    <w:p>
      <w:pPr>
        <w:spacing w:after="0" w:line="140" w:lineRule="exact"/>
        <w:rPr>
          <w:sz w:val="20"/>
          <w:szCs w:val="20"/>
          <w:color w:val="auto"/>
        </w:rPr>
      </w:pPr>
    </w:p>
    <w:p>
      <w:pPr>
        <w:jc w:val="right"/>
        <w:ind w:right="5660"/>
        <w:spacing w:after="0"/>
        <w:rPr>
          <w:sz w:val="20"/>
          <w:szCs w:val="20"/>
          <w:color w:val="auto"/>
        </w:rPr>
      </w:pPr>
      <w:r>
        <w:rPr>
          <w:rFonts w:ascii="Arial" w:cs="Arial" w:eastAsia="Arial" w:hAnsi="Arial"/>
          <w:sz w:val="16"/>
          <w:szCs w:val="16"/>
          <w:color w:val="auto"/>
        </w:rPr>
        <w:t>All directors are reimbursed for reasonable expenses of attending meetings.</w:t>
      </w:r>
    </w:p>
    <w:p>
      <w:pPr>
        <w:spacing w:after="0" w:line="181"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Non-Employee Director Compensation for Fiscal Year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compensation paid by the Company to our non-employee directors for the fiscal year ended March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 Pension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or</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4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All Other</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1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7"/>
              </w:rPr>
              <w:t>Paid in</w:t>
            </w:r>
          </w:p>
        </w:tc>
        <w:tc>
          <w:tcPr>
            <w:tcW w:w="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4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Deferred</w:t>
            </w:r>
          </w:p>
        </w:tc>
        <w:tc>
          <w:tcPr>
            <w:tcW w:w="42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420" w:type="dxa"/>
            <w:vAlign w:val="bottom"/>
          </w:tcPr>
          <w:p>
            <w:pPr>
              <w:spacing w:after="0"/>
              <w:rPr>
                <w:sz w:val="11"/>
                <w:szCs w:val="11"/>
                <w:color w:val="auto"/>
              </w:rPr>
            </w:pPr>
          </w:p>
        </w:tc>
        <w:tc>
          <w:tcPr>
            <w:tcW w:w="760" w:type="dxa"/>
            <w:vAlign w:val="bottom"/>
            <w:gridSpan w:val="2"/>
          </w:tcPr>
          <w:p>
            <w:pPr>
              <w:ind w:left="18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Cash</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33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126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8"/>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10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r>
              <w:rPr>
                <w:rFonts w:ascii="Arial" w:cs="Arial" w:eastAsia="Arial" w:hAnsi="Arial"/>
                <w:sz w:val="11"/>
                <w:szCs w:val="11"/>
                <w:color w:val="auto"/>
              </w:rPr>
              <w:t>(3)</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$182,667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278"/>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Ed H. Bowman, Jr.</w:t>
            </w:r>
            <w:r>
              <w:rPr>
                <w:rFonts w:ascii="Arial" w:cs="Arial" w:eastAsia="Arial" w:hAnsi="Arial"/>
                <w:sz w:val="11"/>
                <w:szCs w:val="11"/>
                <w:color w:val="auto"/>
              </w:rPr>
              <w:t>(4)</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68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278"/>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4"/>
                <w:szCs w:val="24"/>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278"/>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(6)</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233,335</w:t>
            </w:r>
          </w:p>
        </w:tc>
        <w:tc>
          <w:tcPr>
            <w:tcW w:w="4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278"/>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233,335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Maresh</w:t>
            </w:r>
            <w:r>
              <w:rPr>
                <w:rFonts w:ascii="Arial" w:cs="Arial" w:eastAsia="Arial" w:hAnsi="Arial"/>
                <w:sz w:val="11"/>
                <w:szCs w:val="11"/>
                <w:color w:val="auto"/>
              </w:rPr>
              <w:t>(7)</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  75,000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left="258"/>
              <w:spacing w:after="0"/>
              <w:rPr>
                <w:sz w:val="20"/>
                <w:szCs w:val="20"/>
                <w:color w:val="auto"/>
              </w:rPr>
            </w:pPr>
            <w:r>
              <w:rPr>
                <w:rFonts w:ascii="Arial" w:cs="Arial" w:eastAsia="Arial" w:hAnsi="Arial"/>
                <w:sz w:val="18"/>
                <w:szCs w:val="18"/>
                <w:color w:val="auto"/>
                <w:w w:val="88"/>
              </w:rPr>
              <w:t>8,275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(8)</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75,000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278"/>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1"/>
                <w:szCs w:val="11"/>
                <w:color w:val="auto"/>
              </w:rPr>
              <w:t>(9)</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278"/>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40" w:type="dxa"/>
            <w:vAlign w:val="bottom"/>
            <w:gridSpan w:val="3"/>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(10)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90,000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278"/>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20" w:hanging="452"/>
        <w:spacing w:after="0" w:line="30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amounts in this column reflect the value of option awards made to the directors in the fiscal year ended March 31, 2011 and are consistent with the grant date fair value of the award computed in accordance with FASB ASC Topic 718. For assumptions used in determining these values, refer to footnote</w:t>
      </w:r>
    </w:p>
    <w:p>
      <w:pPr>
        <w:ind w:left="460" w:right="180"/>
        <w:spacing w:after="0" w:line="250" w:lineRule="auto"/>
        <w:rPr>
          <w:rFonts w:ascii="Arial" w:cs="Arial" w:eastAsia="Arial" w:hAnsi="Arial"/>
          <w:sz w:val="15"/>
          <w:szCs w:val="15"/>
          <w:color w:val="auto"/>
        </w:rPr>
      </w:pPr>
      <w:r>
        <w:rPr>
          <w:rFonts w:ascii="Arial" w:cs="Arial" w:eastAsia="Arial" w:hAnsi="Arial"/>
          <w:sz w:val="18"/>
          <w:szCs w:val="18"/>
          <w:color w:val="auto"/>
        </w:rPr>
        <w:t>(I) to the Company’s audited financial statements for the fiscal year ended March 31, 2011 included in the Company’s Annual Report on Form 10-K filed with the SEC on May 26, 2011, or “Fiscal 2011 Form 10-K.”</w:t>
      </w:r>
    </w:p>
    <w:p>
      <w:pPr>
        <w:ind w:left="460" w:right="8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in this column includes the value of Common Stock paid during such fiscal year for dividend equivalent units. Dividend equivalent units are credited as additional RSUs to holders of our earned RSUs at any time we pay a cash dividend on our Common Stock. In fiscal 2011, Mr. Maresh was paid Common Stock for dividend equivalent units valued at $8,275. Dividend equivalent units credited to the other directors in fiscal 2011 in additional RSUs are included in the amounts reflected in the “RSUs” column of the chart immediately below.</w:t>
      </w:r>
    </w:p>
    <w:p>
      <w:pPr>
        <w:spacing w:after="0" w:line="2" w:lineRule="exact"/>
        <w:rPr>
          <w:rFonts w:ascii="Arial" w:cs="Arial" w:eastAsia="Arial" w:hAnsi="Arial"/>
          <w:sz w:val="16"/>
          <w:szCs w:val="16"/>
          <w:color w:val="auto"/>
        </w:rPr>
      </w:pPr>
    </w:p>
    <w:p>
      <w:pPr>
        <w:ind w:left="460" w:right="7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Barnett is the Chair of the Governance Committee. He elected to receive 100% of his director compensation fiscal 2011 in the form of equity (including his chairperson fee).</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Bowman did not serve as a director during fiscal 2011. He was appointed to the Board on May 17,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Clarke elected to receive 100% of his director compensation for fiscal 2011 in the form of equity.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Mr. Hirsch elected to receive 100% of his director compensation for fiscal 2011 in the form of equity (including his Chairman of the Board fee).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Messrs. Maresh and Nicolais elected to receive 50% of their director compensation for fiscal 2011 in the form of equity and 50% in cash.</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Quinn is the Chair of the Audit Committee. He elected to receive 100% of his director compensation for fiscal 2011 in the form of equity (including his chairperson fee).</w:t>
      </w:r>
    </w:p>
    <w:p>
      <w:pPr>
        <w:ind w:left="460" w:right="12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Stewart is the Chair of the Compensation Committee. He elected to receive 50% of his director compensation for fiscal 2011 in the form of equity and 50% in the form of cash. Mr. Stewart also elected to receive his committee chairperson fee in cash.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number of outstanding stock options and RSUs held by each director as of March 31, 2011.</w:t>
      </w:r>
    </w:p>
    <w:p>
      <w:pPr>
        <w:spacing w:after="0" w:line="116" w:lineRule="exact"/>
        <w:rPr>
          <w:sz w:val="20"/>
          <w:szCs w:val="20"/>
          <w:color w:val="auto"/>
        </w:rPr>
      </w:pPr>
    </w:p>
    <w:tbl>
      <w:tblPr>
        <w:tblLayout w:type="fixed"/>
        <w:tblInd w:w="1380" w:type="dxa"/>
        <w:tblCellMar>
          <w:top w:w="0" w:type="dxa"/>
          <w:left w:w="0" w:type="dxa"/>
          <w:bottom w:w="0" w:type="dxa"/>
          <w:right w:w="0" w:type="dxa"/>
        </w:tblCellMar>
      </w:tblPr>
      <w:tr>
        <w:trPr>
          <w:trHeight w:val="253"/>
        </w:trPr>
        <w:tc>
          <w:tcPr>
            <w:tcW w:w="2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2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Options</w:t>
            </w:r>
            <w:r>
              <w:rPr>
                <w:rFonts w:ascii="Arial" w:cs="Arial" w:eastAsia="Arial" w:hAnsi="Arial"/>
                <w:sz w:val="22"/>
                <w:szCs w:val="22"/>
                <w:b w:val="1"/>
                <w:bCs w:val="1"/>
                <w:color w:val="auto"/>
                <w:vertAlign w:val="superscript"/>
              </w:rPr>
              <w:t>(1)</w:t>
            </w:r>
          </w:p>
        </w:tc>
        <w:tc>
          <w:tcPr>
            <w:tcW w:w="58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99,065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Ed H. Bowman, Jr.</w:t>
            </w:r>
          </w:p>
        </w:tc>
        <w:tc>
          <w:tcPr>
            <w:tcW w:w="36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Clarke</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112,610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Maresh</w:t>
            </w:r>
            <w:r>
              <w:rPr>
                <w:rFonts w:ascii="Arial" w:cs="Arial" w:eastAsia="Arial" w:hAnsi="Arial"/>
                <w:sz w:val="11"/>
                <w:szCs w:val="11"/>
                <w:color w:val="auto"/>
              </w:rPr>
              <w:t>(3)</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36,314</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56,180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 Quinn</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31,014</w:t>
            </w:r>
          </w:p>
        </w:tc>
        <w:tc>
          <w:tcPr>
            <w:tcW w:w="58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40" w:type="dxa"/>
            <w:vAlign w:val="bottom"/>
          </w:tcPr>
          <w:p>
            <w:pPr>
              <w:jc w:val="right"/>
              <w:ind w:right="2014"/>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these stock options are fully exercisable.</w:t>
      </w:r>
    </w:p>
    <w:p>
      <w:pPr>
        <w:spacing w:after="0" w:line="15" w:lineRule="exact"/>
        <w:rPr>
          <w:rFonts w:ascii="Arial" w:cs="Arial" w:eastAsia="Arial" w:hAnsi="Arial"/>
          <w:sz w:val="18"/>
          <w:szCs w:val="18"/>
          <w:color w:val="auto"/>
        </w:rPr>
      </w:pPr>
    </w:p>
    <w:p>
      <w:pPr>
        <w:ind w:left="460" w:right="140" w:hanging="452"/>
        <w:spacing w:after="0" w:line="30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RSUs granted to non-employee directors are vested in full on the date of grant but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Barnett – 803 RSUs;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Mr. Clarke – 803 RSUs; Mr. Hirsch – 1,045 RSUs; Mr. Nicolais – 357 RSUs; and Mr. Quinn – 581 RSUs.</w:t>
      </w:r>
    </w:p>
    <w:p>
      <w:pPr>
        <w:spacing w:after="0" w:line="9" w:lineRule="exact"/>
        <w:rPr>
          <w:rFonts w:ascii="Arial" w:cs="Arial" w:eastAsia="Arial" w:hAnsi="Arial"/>
          <w:sz w:val="15"/>
          <w:szCs w:val="15"/>
          <w:color w:val="auto"/>
        </w:rPr>
      </w:pPr>
    </w:p>
    <w:p>
      <w:pPr>
        <w:ind w:left="460" w:right="4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August 5, 2010, Mr. Maresh’s then-outstanding RSUs were paid to him in the form of shares of our Common Stock, in accordance with the agreements governing such grants.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positions of Chairman of the Board and CEO are performed by two different persons. Mr. Rowley, our CEO, focuses on the day-to-day operation of the Company’s businesses and participates in both operational and long-term strategy and development. Mr. Hirsch, our Chairman, oversees the Company’s general strategic direction and leads and manages the Board.</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 Executive Committee. The following table lists the chairpersons and members of each committee as of March 31, 2011, and the number of meetings held by each committee during the fiscal year ended March 31, 2011:</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89"/>
              </w:rPr>
              <w:t>Director</w:t>
            </w:r>
          </w:p>
        </w:tc>
        <w:tc>
          <w:tcPr>
            <w:tcW w:w="2800" w:type="dxa"/>
            <w:vAlign w:val="bottom"/>
          </w:tcPr>
          <w:p>
            <w:pPr>
              <w:spacing w:after="0"/>
              <w:rPr>
                <w:sz w:val="14"/>
                <w:szCs w:val="14"/>
                <w:color w:val="auto"/>
              </w:rPr>
            </w:pPr>
          </w:p>
        </w:tc>
        <w:tc>
          <w:tcPr>
            <w:tcW w:w="1900" w:type="dxa"/>
            <w:vAlign w:val="bottom"/>
            <w:gridSpan w:val="3"/>
          </w:tcPr>
          <w:p>
            <w:pPr>
              <w:ind w:left="820"/>
              <w:spacing w:after="0"/>
              <w:rPr>
                <w:sz w:val="20"/>
                <w:szCs w:val="20"/>
                <w:color w:val="auto"/>
              </w:rPr>
            </w:pPr>
            <w:r>
              <w:rPr>
                <w:rFonts w:ascii="Arial" w:cs="Arial" w:eastAsia="Arial" w:hAnsi="Arial"/>
                <w:sz w:val="14"/>
                <w:szCs w:val="14"/>
                <w:b w:val="1"/>
                <w:bCs w:val="1"/>
                <w:color w:val="auto"/>
              </w:rPr>
              <w:t>Audit</w:t>
            </w:r>
          </w:p>
        </w:tc>
        <w:tc>
          <w:tcPr>
            <w:tcW w:w="1380" w:type="dxa"/>
            <w:vAlign w:val="bottom"/>
            <w:gridSpan w:val="2"/>
          </w:tcPr>
          <w:p>
            <w:pPr>
              <w:ind w:left="500"/>
              <w:spacing w:after="0"/>
              <w:rPr>
                <w:sz w:val="20"/>
                <w:szCs w:val="20"/>
                <w:color w:val="auto"/>
              </w:rPr>
            </w:pPr>
            <w:r>
              <w:rPr>
                <w:rFonts w:ascii="Arial" w:cs="Arial" w:eastAsia="Arial" w:hAnsi="Arial"/>
                <w:sz w:val="14"/>
                <w:szCs w:val="14"/>
                <w:b w:val="1"/>
                <w:bCs w:val="1"/>
                <w:color w:val="auto"/>
                <w:w w:val="88"/>
              </w:rPr>
              <w:t>Compensation</w:t>
            </w:r>
          </w:p>
        </w:tc>
        <w:tc>
          <w:tcPr>
            <w:tcW w:w="1740" w:type="dxa"/>
            <w:vAlign w:val="bottom"/>
            <w:gridSpan w:val="2"/>
          </w:tcPr>
          <w:p>
            <w:pPr>
              <w:ind w:left="1000"/>
              <w:spacing w:after="0"/>
              <w:rPr>
                <w:sz w:val="20"/>
                <w:szCs w:val="20"/>
                <w:color w:val="auto"/>
              </w:rPr>
            </w:pPr>
            <w:r>
              <w:rPr>
                <w:rFonts w:ascii="Arial" w:cs="Arial" w:eastAsia="Arial" w:hAnsi="Arial"/>
                <w:sz w:val="14"/>
                <w:szCs w:val="14"/>
                <w:b w:val="1"/>
                <w:bCs w:val="1"/>
                <w:color w:val="auto"/>
                <w:w w:val="88"/>
              </w:rPr>
              <w:t>Governance</w:t>
            </w:r>
          </w:p>
        </w:tc>
        <w:tc>
          <w:tcPr>
            <w:tcW w:w="9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8"/>
              </w:rPr>
              <w:t>Executive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F. William Barnett</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Chair</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0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1900" w:type="dxa"/>
            <w:vAlign w:val="bottom"/>
            <w:gridSpan w:val="3"/>
          </w:tcPr>
          <w:p>
            <w:pPr>
              <w:ind w:left="820"/>
              <w:spacing w:after="0"/>
              <w:rPr>
                <w:sz w:val="20"/>
                <w:szCs w:val="20"/>
                <w:color w:val="auto"/>
              </w:rPr>
            </w:pPr>
            <w:r>
              <w:rPr>
                <w:rFonts w:ascii="Arial" w:cs="Arial" w:eastAsia="Arial" w:hAnsi="Arial"/>
                <w:sz w:val="18"/>
                <w:szCs w:val="18"/>
                <w:color w:val="auto"/>
              </w:rPr>
              <w:t>Member</w:t>
            </w: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Member</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Frank W. Maresh</w:t>
            </w:r>
          </w:p>
        </w:tc>
        <w:tc>
          <w:tcPr>
            <w:tcW w:w="1900" w:type="dxa"/>
            <w:vAlign w:val="bottom"/>
            <w:gridSpan w:val="3"/>
          </w:tcPr>
          <w:p>
            <w:pPr>
              <w:ind w:left="820"/>
              <w:spacing w:after="0"/>
              <w:rPr>
                <w:sz w:val="20"/>
                <w:szCs w:val="20"/>
                <w:color w:val="auto"/>
              </w:rPr>
            </w:pPr>
            <w:r>
              <w:rPr>
                <w:rFonts w:ascii="Arial" w:cs="Arial" w:eastAsia="Arial" w:hAnsi="Arial"/>
                <w:sz w:val="18"/>
                <w:szCs w:val="18"/>
                <w:color w:val="auto"/>
              </w:rPr>
              <w:t>Member</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Member</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Member</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Member</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1900" w:type="dxa"/>
            <w:vAlign w:val="bottom"/>
            <w:gridSpan w:val="3"/>
          </w:tcPr>
          <w:p>
            <w:pPr>
              <w:ind w:left="820"/>
              <w:spacing w:after="0"/>
              <w:rPr>
                <w:sz w:val="20"/>
                <w:szCs w:val="20"/>
                <w:color w:val="auto"/>
              </w:rPr>
            </w:pPr>
            <w:r>
              <w:rPr>
                <w:rFonts w:ascii="Arial" w:cs="Arial" w:eastAsia="Arial" w:hAnsi="Arial"/>
                <w:sz w:val="18"/>
                <w:szCs w:val="18"/>
                <w:color w:val="auto"/>
              </w:rPr>
              <w:t>Chair</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Steven R. Rowley</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7"/>
              </w:rPr>
              <w:t>Member</w:t>
            </w:r>
          </w:p>
        </w:tc>
        <w:tc>
          <w:tcPr>
            <w:tcW w:w="0" w:type="dxa"/>
            <w:vAlign w:val="bottom"/>
          </w:tcPr>
          <w:p>
            <w:pPr>
              <w:spacing w:after="0"/>
              <w:rPr>
                <w:sz w:val="1"/>
                <w:szCs w:val="1"/>
                <w:color w:val="auto"/>
              </w:rPr>
            </w:pP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Chair</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300" w:type="dxa"/>
            <w:vAlign w:val="bottom"/>
            <w:gridSpan w:val="2"/>
          </w:tcPr>
          <w:p>
            <w:pPr>
              <w:spacing w:after="0"/>
              <w:rPr>
                <w:sz w:val="20"/>
                <w:szCs w:val="20"/>
                <w:color w:val="auto"/>
              </w:rPr>
            </w:pPr>
            <w:r>
              <w:rPr>
                <w:rFonts w:ascii="Arial" w:cs="Arial" w:eastAsia="Arial" w:hAnsi="Arial"/>
                <w:sz w:val="18"/>
                <w:szCs w:val="18"/>
                <w:color w:val="auto"/>
              </w:rPr>
              <w:t>Number of Meetings in Fiscal 2011</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8</w:t>
            </w:r>
          </w:p>
        </w:tc>
        <w:tc>
          <w:tcPr>
            <w:tcW w:w="740" w:type="dxa"/>
            <w:vAlign w:val="bottom"/>
          </w:tcPr>
          <w:p>
            <w:pPr>
              <w:spacing w:after="0"/>
              <w:rPr>
                <w:sz w:val="24"/>
                <w:szCs w:val="24"/>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5</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5</w:t>
            </w:r>
          </w:p>
        </w:tc>
        <w:tc>
          <w:tcPr>
            <w:tcW w:w="1520" w:type="dxa"/>
            <w:vAlign w:val="bottom"/>
            <w:gridSpan w:val="2"/>
          </w:tcPr>
          <w:p>
            <w:pPr>
              <w:ind w:left="920"/>
              <w:spacing w:after="0"/>
              <w:rPr>
                <w:sz w:val="20"/>
                <w:szCs w:val="20"/>
                <w:color w:val="auto"/>
              </w:rPr>
            </w:pPr>
            <w:r>
              <w:rPr>
                <w:rFonts w:ascii="Arial" w:cs="Arial" w:eastAsia="Arial" w:hAnsi="Arial"/>
                <w:sz w:val="18"/>
                <w:szCs w:val="18"/>
                <w:color w:val="auto"/>
              </w:rPr>
              <w:t>2</w:t>
            </w: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6940" w:hanging="452"/>
        <w:spacing w:after="0" w:line="438" w:lineRule="auto"/>
        <w:tabs>
          <w:tab w:leader="none" w:pos="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Action by unanimous written consent on both occasions. </w:t>
      </w:r>
      <w:r>
        <w:rPr>
          <w:rFonts w:ascii="Arial" w:cs="Arial" w:eastAsia="Arial" w:hAnsi="Arial"/>
          <w:sz w:val="18"/>
          <w:szCs w:val="18"/>
          <w:i w:val="1"/>
          <w:iCs w:val="1"/>
          <w:color w:val="auto"/>
        </w:rPr>
        <w:t>Audit Committee</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Board has a standing Audit Committee, composed of three independent directors. Our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and will be provided free of charge upon written request to our Secretary at our principal executive office.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Board has determined that each member of our Audit Committee is independent within the meaning of applicable (1) corporate governance rules of the NYSE and (2) the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seventeen (17) years as CFO and/or Vice Chairman of the Company’s former parent company and through prior experience as a partner with a major accounting firm, Mr. Quinn is an “audit committee financial expert” within the meaning of the rules of the SEC.</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key functions and responsibilities of our Audit Committee to:</w:t>
      </w:r>
    </w:p>
    <w:p>
      <w:pPr>
        <w:spacing w:after="0" w:line="90" w:lineRule="exact"/>
        <w:rPr>
          <w:sz w:val="20"/>
          <w:szCs w:val="20"/>
          <w:color w:val="auto"/>
        </w:rPr>
      </w:pPr>
    </w:p>
    <w:p>
      <w:pPr>
        <w:ind w:left="900" w:right="3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 services for us;</w:t>
      </w:r>
    </w:p>
    <w:p>
      <w:pPr>
        <w:spacing w:after="0" w:line="50" w:lineRule="exact"/>
        <w:rPr>
          <w:rFonts w:ascii="Arial" w:cs="Arial" w:eastAsia="Arial" w:hAnsi="Arial"/>
          <w:sz w:val="18"/>
          <w:szCs w:val="18"/>
          <w:color w:val="auto"/>
        </w:rPr>
      </w:pPr>
    </w:p>
    <w:p>
      <w:pPr>
        <w:jc w:val="both"/>
        <w:ind w:left="900" w:right="20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50"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59"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 our annual audited financial statements, quarterly financial statements and other significant financial disclosures with management and our independent auditors;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prepare the report that is required to be included in our annual proxy statement regarding review of financial statements and auditor independence.</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Audit Committee’s report on our financial statements for the fiscal year ended March 31, 2011 is presented below under the heading “Audit Committee Report.”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Our Board’s Compensation Committee is composed of independent directors who meet the corporate governance standards of the NYSE, qualify as “non-employee directors” within the meaning of Rule 16b-3(b)(3) of the Exchange Act and as “outside directors” within the meaning of the Internal Revenue Code. Under its amended and restated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advisors. For additional information regarding outside advisors engaged by the Compensation Committee, please see “Compensation Discussion and Analysis” beginning on page 16 of this proxy statement.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key functions and responsibilities of our Compensation Committee to:</w:t>
      </w:r>
    </w:p>
    <w:p>
      <w:pPr>
        <w:spacing w:after="0" w:line="90" w:lineRule="exact"/>
        <w:rPr>
          <w:sz w:val="20"/>
          <w:szCs w:val="20"/>
          <w:color w:val="auto"/>
        </w:rPr>
      </w:pPr>
    </w:p>
    <w:p>
      <w:pPr>
        <w:jc w:val="both"/>
        <w:ind w:left="900" w:right="46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59"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59"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administer the Company’s compensation plans for which it is named as plan administrator, including our Incentive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 and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assess the performance of the Compensation Committee and the adequacy of its charter annually and recommend any proposed changes to the Board.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This authority, which expires on May 31, 2012, is limited to an aggregate of 60,000 option shares, no one individual may receive more than 30,000 option shares, and the CEO may not receive options pursuant to this authority. Stock options granted under this delegation of authority vest 20% per year commencing on the first anniversary of the grant date. During fiscal 2011 no stock options were granted to employees under this authority.</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Compensation Committee’s report for the fiscal year ended March 31, 2011 is presented below under the heading “Compensation Committee Report” beginning on page 15 of this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Governance Committee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key functions and responsibilities of our Governance Committee to:</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periodically review and recommend a set of corporate governance guidelines for the Company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periodically review corporate governance matters generally and recommend action to the Board where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assess the adequacy of its charter annually and recommend any proposed changes to our Board for approval;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actively seek, recruit, screen, and interview individuals qualified to become members of the Board, and consider management’s recommendations for director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 the qualifications and performance of incumbent directors and determine whether to recommend them for re-election to the Board;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periodically re-evaluate criteria for Board membership;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to the Board nominees for each committee of the Board.</w:t>
      </w:r>
    </w:p>
    <w:p>
      <w:pPr>
        <w:spacing w:after="0" w:line="171"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The Governance Committee initiates and oversees an annual confidential (as to each member of the Board and its committees) evaluation of the effectiveness of the Board and each committee, as well as the composition, organization (including committee structure, membership and leadership) and practices of the Board. Part of the Governance Committee’s self-evaluation process involves an assessment of the effectiveness of the Company’s corporate governance policies, which includes the Company’s policies surrounding diversity.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diversity in perspectives, backgrounds, business experiences, professional expertise, gender and ethnic background among the Board members.</w:t>
      </w:r>
    </w:p>
    <w:p>
      <w:pPr>
        <w:spacing w:after="0" w:line="116" w:lineRule="exact"/>
        <w:rPr>
          <w:sz w:val="20"/>
          <w:szCs w:val="20"/>
          <w:color w:val="auto"/>
        </w:rPr>
      </w:pPr>
    </w:p>
    <w:p>
      <w:pPr>
        <w:ind w:right="600" w:firstLine="456"/>
        <w:spacing w:after="0" w:line="298"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13"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Bylaws provide that, to be considered at the 2012 annual meeting, stockholder nominations for the Board of Directors must be submitted in writing and received by our Secretary at the executive offices of the Company during the period beginning on February 9, 2012 and ending May 9, 2012,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nominees for election to the Board at our 2011 annual meeting of stockholders were submitted by stockholders or groups of stockholders owning more than 5% of our Common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Committee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2011 that requires disclosure as a Compensation Committee interlock.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list sets forth the names, ages as of the date of this proxy statement and principal occupations of each person who was an executive officer of the Company during the fiscal year ended March 31, 2011 and who is not also a member of our Board. Except as noted below, all of these persons have been elected to serve until the next annual meeting of our Board or until their earlier resignation or removal.</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9"/>
              </w:rPr>
              <w:t>Name</w:t>
            </w:r>
          </w:p>
        </w:tc>
        <w:tc>
          <w:tcPr>
            <w:tcW w:w="84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28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09"/>
        </w:trPr>
        <w:tc>
          <w:tcPr>
            <w:tcW w:w="176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1"/>
              </w:rPr>
              <w:t>Executive Vice President – Finance and Administration and Chief Financial Officer (has held current office since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3"/>
              </w:rPr>
              <w:t>August 2009; Vice President – Investor Relations and Corporate Development from September 2005 through</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rPr>
              <w:t>August 2009; Audit Manager of Ernst &amp; Young LLP from April 2002 through September 2005).</w:t>
            </w:r>
          </w:p>
        </w:tc>
      </w:tr>
      <w:tr>
        <w:trPr>
          <w:trHeight w:val="318"/>
        </w:trPr>
        <w:tc>
          <w:tcPr>
            <w:tcW w:w="176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87"/>
              </w:rPr>
              <w:t>Executive Vice President – Cement/Aggregates and Concrete (has held current office since January 2003; President</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rPr>
              <w:t>of Texas Lehigh Cement Company from 1985 through December 2002).</w:t>
            </w:r>
          </w:p>
        </w:tc>
      </w:tr>
      <w:tr>
        <w:trPr>
          <w:trHeight w:val="318"/>
        </w:trPr>
        <w:tc>
          <w:tcPr>
            <w:tcW w:w="1760" w:type="dxa"/>
            <w:vAlign w:val="bottom"/>
            <w:gridSpan w:val="3"/>
          </w:tcPr>
          <w:p>
            <w:pPr>
              <w:spacing w:after="0"/>
              <w:rPr>
                <w:sz w:val="20"/>
                <w:szCs w:val="20"/>
                <w:color w:val="auto"/>
              </w:rPr>
            </w:pPr>
            <w:r>
              <w:rPr>
                <w:rFonts w:ascii="Arial" w:cs="Arial" w:eastAsia="Arial" w:hAnsi="Arial"/>
                <w:sz w:val="18"/>
                <w:szCs w:val="18"/>
                <w:color w:val="auto"/>
              </w:rPr>
              <w:t>James H. Graass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0"/>
              </w:rPr>
              <w:t>Executive Vice President, General Counsel and Secretary (Executive Vice President and General Counsel since</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rPr>
              <w:t>November 2000; Mr. Graass was named Secretary of the Company in July 2001).</w:t>
            </w:r>
          </w:p>
        </w:tc>
      </w:tr>
      <w:tr>
        <w:trPr>
          <w:trHeight w:val="318"/>
        </w:trPr>
        <w:tc>
          <w:tcPr>
            <w:tcW w:w="176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0"/>
              </w:rPr>
              <w:t>Executive Vice President – Gypsum and President of American Gypsum Company (has held current office since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0"/>
              </w:rPr>
              <w:t>January 2005; Executive Vice President – Marketing, Sales and Distribution of American Gypsum Company from</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2"/>
              </w:rPr>
              <w:t>June 2002 through December 2004; Vice President, Customer Service of USG Corporation from 2000 through</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3"/>
              </w:rPr>
              <w:t>2002; Vice President, Specialty Products and Architectural Systems Business of USG Corporation from 1998</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rPr>
              <w:t>through 2000).</w:t>
            </w:r>
          </w:p>
        </w:tc>
      </w:tr>
      <w:tr>
        <w:trPr>
          <w:trHeight w:val="318"/>
        </w:trPr>
        <w:tc>
          <w:tcPr>
            <w:tcW w:w="176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0"/>
              </w:rPr>
              <w:t>Executive Vice President – Strategy, Corporate Development and Communications (has held current office since</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rPr>
              <w:t>August 2009; Senior Vice President of Centex Corporation from 2000 through August 2009).</w:t>
            </w:r>
          </w:p>
        </w:tc>
      </w:tr>
      <w:tr>
        <w:trPr>
          <w:trHeight w:val="318"/>
        </w:trPr>
        <w:tc>
          <w:tcPr>
            <w:tcW w:w="1760" w:type="dxa"/>
            <w:vAlign w:val="bottom"/>
            <w:gridSpan w:val="3"/>
          </w:tcPr>
          <w:p>
            <w:pPr>
              <w:spacing w:after="0"/>
              <w:rPr>
                <w:sz w:val="20"/>
                <w:szCs w:val="20"/>
                <w:color w:val="auto"/>
              </w:rPr>
            </w:pPr>
            <w:r>
              <w:rPr>
                <w:rFonts w:ascii="Arial" w:cs="Arial" w:eastAsia="Arial" w:hAnsi="Arial"/>
                <w:sz w:val="18"/>
                <w:szCs w:val="18"/>
                <w:color w:val="auto"/>
              </w:rPr>
              <w:t>William R. Devlin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91"/>
              </w:rPr>
              <w:t>Senior Vice President, Controller and Chief Accounting Officer (has held current office since August 2009; Vice</w:t>
            </w:r>
          </w:p>
        </w:tc>
      </w:tr>
      <w:tr>
        <w:trPr>
          <w:trHeight w:val="216"/>
        </w:trPr>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89"/>
              </w:rPr>
              <w:t>President and Controller from October 2005 through August 2009; Director of Internal Audit from September 2004</w:t>
            </w:r>
          </w:p>
        </w:tc>
      </w:tr>
      <w:tr>
        <w:trPr>
          <w:trHeight w:val="222"/>
        </w:trPr>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gridSpan w:val="3"/>
          </w:tcPr>
          <w:p>
            <w:pPr>
              <w:ind w:left="320"/>
              <w:spacing w:after="0"/>
              <w:rPr>
                <w:sz w:val="20"/>
                <w:szCs w:val="20"/>
                <w:color w:val="auto"/>
              </w:rPr>
            </w:pPr>
            <w:r>
              <w:rPr>
                <w:rFonts w:ascii="Arial" w:cs="Arial" w:eastAsia="Arial" w:hAnsi="Arial"/>
                <w:sz w:val="18"/>
                <w:szCs w:val="18"/>
                <w:color w:val="auto"/>
                <w:w w:val="89"/>
              </w:rPr>
              <w:t>through September 2005; Senior Manager of PricewaterhouseCoopers LLP from July 1999 through August 2004).</w:t>
            </w:r>
          </w:p>
        </w:tc>
      </w:tr>
      <w:tr>
        <w:trPr>
          <w:trHeight w:val="365"/>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tcPr>
          <w:p>
            <w:pPr>
              <w:ind w:left="316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Richard R. Stewart, </w:t>
      </w:r>
      <w:r>
        <w:rPr>
          <w:rFonts w:ascii="Arial" w:cs="Arial" w:eastAsia="Arial" w:hAnsi="Arial"/>
          <w:sz w:val="18"/>
          <w:szCs w:val="18"/>
          <w:i w:val="1"/>
          <w:iCs w:val="1"/>
          <w:color w:val="auto"/>
        </w:rPr>
        <w:t>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R. Nicolais</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240" w:top="459" w:right="5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06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1066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Our Compensation Practices</w:t>
      </w:r>
    </w:p>
    <w:p>
      <w:pPr>
        <w:spacing w:after="0" w:line="96"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Our executive compensation and benefits programs are designed to create stockholder value by attracting, motivating and retaining senior executives who can make significant contributions to the profitability, growth and development of our businesses. A key feature of our executive compensation programs is to provide incentives that drive operational and financial performance, and we seek to ensure that these incentives represent a significant portion of our executives’ compensation.</w:t>
      </w:r>
    </w:p>
    <w:p>
      <w:pPr>
        <w:spacing w:after="0" w:line="143" w:lineRule="exact"/>
        <w:rPr>
          <w:sz w:val="20"/>
          <w:szCs w:val="20"/>
          <w:color w:val="auto"/>
        </w:rPr>
      </w:pPr>
    </w:p>
    <w:p>
      <w:pPr>
        <w:ind w:left="200" w:right="280" w:firstLine="443"/>
        <w:spacing w:after="0" w:line="268" w:lineRule="auto"/>
        <w:rPr>
          <w:sz w:val="20"/>
          <w:szCs w:val="20"/>
          <w:color w:val="auto"/>
        </w:rPr>
      </w:pPr>
      <w:r>
        <w:rPr>
          <w:rFonts w:ascii="Arial" w:cs="Arial" w:eastAsia="Arial" w:hAnsi="Arial"/>
          <w:sz w:val="18"/>
          <w:szCs w:val="18"/>
          <w:color w:val="auto"/>
        </w:rPr>
        <w:t>For a number of years, our executive compensation programs have incorporated pay-for-performance and many other compensation best practices, including the following:</w:t>
      </w:r>
    </w:p>
    <w:p>
      <w:pPr>
        <w:spacing w:after="0" w:line="51" w:lineRule="exact"/>
        <w:rPr>
          <w:sz w:val="20"/>
          <w:szCs w:val="20"/>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no employment agreements with our executives.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no tax gross-up agreements with our executives.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utilize performance-based equity in our annual long-term compensation program.</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provide any defined benefit plans to our executives.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Profit Sharing and Retirement Plan benefits provided to our executives are the same as the benefits provided all salaried employees.</w:t>
      </w:r>
    </w:p>
    <w:p>
      <w:pPr>
        <w:spacing w:after="0" w:line="113" w:lineRule="exact"/>
        <w:rPr>
          <w:rFonts w:ascii="Arial" w:cs="Arial" w:eastAsia="Arial" w:hAnsi="Arial"/>
          <w:sz w:val="16"/>
          <w:szCs w:val="16"/>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incentive plan prohibits the re-pricing of options.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maintain stock ownership guidelines for management, aligning their long-term interests with those of our stockholders.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“burn rate” for equity awards (a measure of historical dilution discussed in more detail below) is well within industry norms.</w:t>
      </w:r>
    </w:p>
    <w:p>
      <w:pPr>
        <w:spacing w:after="0" w:line="90" w:lineRule="exact"/>
        <w:rPr>
          <w:rFonts w:ascii="Arial" w:cs="Arial" w:eastAsia="Arial" w:hAnsi="Arial"/>
          <w:sz w:val="18"/>
          <w:szCs w:val="18"/>
          <w:color w:val="auto"/>
        </w:rPr>
      </w:pPr>
    </w:p>
    <w:p>
      <w:pPr>
        <w:ind w:left="1060" w:right="80" w:hanging="431"/>
        <w:spacing w:after="0" w:line="268"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our insider trading policy, employees, including Named Executive Officers, are prohibited from speculating in our securities or engaging in transactions designed to hedge their ownership interests.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Eagle Materials’ Performance in a Difficult Environment</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During our fiscal year ended March 31, 2011, the Company continued to experience difficult economic conditions, which materially affected our business results. U.S. residential and commercial construction markets continued to be very weak in fiscal 2011. Notwithstanding operating in these weak economic conditions, the Company performed exceptionally well relative to its peers in fiscal 2011. For example, the Company was able to generate operating earnings of $60.7 million in fiscal 2011, during which time many of our peers experienced operating losses. The bar graphs below compare the Company’s performance (as measured by the five-year average return on average equity and the five-year average return on average assets) against (i) the Dow Jones U.S. Building Materials &amp; Fixtures Index, (ii) our domestic and international public company peers, and (iii) our domestic public company peers. We view these peer groups as corresponding much more closely to our business than the broader peer groups utilized by some advisory services.</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6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56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FactSet, May 26, 2011</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Dow Jones Building Materials &amp; Fixtures Index (median)</w:t>
      </w:r>
    </w:p>
    <w:p>
      <w:pPr>
        <w:spacing w:after="0" w:line="171"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Domestic and International Public Company Peers: Martin Marietta, Texas Industries Inc., USG Corp., Vulcan Materials, Titan Cement Co. S.A., CRH, Monarch Cement Co., Grupo Cementos de Chihuahua, Buzzi Unicem S.p.A., Holcim Ltd., HeidelbergCement AG, Lafarge S.A., Cementos Bio-Bio S.A., Cementos Portland Valderrivas, Compagnie de Saint-Gobain, Cemex S.A.B. de C.V., Italcementi S.p.A., Cementos Argos S.A., Taiheiyo Cement Corp, Rmx Hldgs Inc, Headwaters Incorporated (median)</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Domestic Public Company Peers Martin Marietta, Texas Industries Inc., USG Corp., Vulcan Materials (median)</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Fiscal 2011 Compensation Highlights</w:t>
      </w:r>
    </w:p>
    <w:p>
      <w:pPr>
        <w:spacing w:after="0" w:line="96" w:lineRule="exact"/>
        <w:rPr>
          <w:sz w:val="20"/>
          <w:szCs w:val="20"/>
          <w:color w:val="auto"/>
        </w:rPr>
      </w:pPr>
    </w:p>
    <w:p>
      <w:pPr>
        <w:ind w:left="200" w:right="360" w:firstLine="443"/>
        <w:spacing w:after="0" w:line="268" w:lineRule="auto"/>
        <w:rPr>
          <w:sz w:val="20"/>
          <w:szCs w:val="20"/>
          <w:color w:val="auto"/>
        </w:rPr>
      </w:pPr>
      <w:r>
        <w:rPr>
          <w:rFonts w:ascii="Arial" w:cs="Arial" w:eastAsia="Arial" w:hAnsi="Arial"/>
          <w:sz w:val="18"/>
          <w:szCs w:val="18"/>
          <w:color w:val="auto"/>
        </w:rPr>
        <w:t>The following highlights of our executive compensation program in fiscal 2011 exemplify our long-standing commitment to sound compensation practices, including pay-for-performance.</w:t>
      </w:r>
    </w:p>
    <w:p>
      <w:pPr>
        <w:spacing w:after="0" w:line="51" w:lineRule="exact"/>
        <w:rPr>
          <w:sz w:val="20"/>
          <w:szCs w:val="20"/>
          <w:color w:val="auto"/>
        </w:rPr>
      </w:pPr>
    </w:p>
    <w:p>
      <w:pPr>
        <w:ind w:left="1060" w:right="240" w:hanging="431"/>
        <w:spacing w:after="0" w:line="268"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Following the freezing of base salaries for fiscal year 2010, we instituted modest (2.5%) increases for our Named Executive Officers in fiscal 2011. The salaries are generally in line with the median of our compensation peer group.</w:t>
      </w:r>
    </w:p>
    <w:p>
      <w:pPr>
        <w:spacing w:after="0" w:line="50" w:lineRule="exact"/>
        <w:rPr>
          <w:rFonts w:ascii="Arial" w:cs="Arial" w:eastAsia="Arial" w:hAnsi="Arial"/>
          <w:sz w:val="18"/>
          <w:szCs w:val="18"/>
          <w:color w:val="auto"/>
        </w:rPr>
      </w:pPr>
    </w:p>
    <w:p>
      <w:pPr>
        <w:ind w:left="1060" w:hanging="431"/>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majority of the total target compensation of our CEO and our other Named Executive Officers for fiscal 2011 was performance-based.</w:t>
      </w:r>
    </w:p>
    <w:p>
      <w:pPr>
        <w:spacing w:after="0" w:line="113" w:lineRule="exact"/>
        <w:rPr>
          <w:rFonts w:ascii="Arial" w:cs="Arial" w:eastAsia="Arial" w:hAnsi="Arial"/>
          <w:sz w:val="16"/>
          <w:szCs w:val="16"/>
          <w:color w:val="auto"/>
        </w:rPr>
      </w:pPr>
    </w:p>
    <w:p>
      <w:pPr>
        <w:ind w:left="1060" w:right="40" w:hanging="431"/>
        <w:spacing w:after="0" w:line="294"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100% of our cash annual incentive bonus for our Named Executive Officers for fiscal 2011 was performance-based in that it was tied to operating earnings. Also, these cash annual incentive bonuses were structured in all cases so that they could be adjusted downward by the Compensation Committee at the end of the fiscal year based on an individual Named Executive Officer’s individual performance. The incentive bonus pools available to senior management, including our Named Executive Officers, in fiscal 2011 were relatively flat or smaller than the pools in fiscal 2010, reflecting reduced earnings within the Company’s business units.</w:t>
      </w:r>
    </w:p>
    <w:p>
      <w:pPr>
        <w:spacing w:after="0" w:line="34" w:lineRule="exact"/>
        <w:rPr>
          <w:rFonts w:ascii="Arial" w:cs="Arial" w:eastAsia="Arial" w:hAnsi="Arial"/>
          <w:sz w:val="16"/>
          <w:szCs w:val="16"/>
          <w:color w:val="auto"/>
        </w:rPr>
      </w:pPr>
    </w:p>
    <w:p>
      <w:pPr>
        <w:ind w:left="1060" w:hanging="431"/>
        <w:spacing w:after="0" w:line="290"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100% of our annual long-term equity awards made during fiscal 2011 (stock options and restricted stock units (RSUs)) were performance-based, with vesting subject to the achievement of performance criteria ranging from financial performance measures to specific operating goals. The long-term equity awards, to the extent earned during fiscal 2011, will not become fully vested unless the executive also fulfills continued employment requirements. The percentage of the awards earned by our Named Executive Officers was approximately 75%. Of the amount earned, one-third vested in May 2011, one-third will vest in March 2012 and one-third will vest in March 2013 (assuming continued service by the relevant officer). The unearned portion of the awards has been forfeited and the earned portion continues to be subject to forfeiture if continued employment requirements are not met.</w:t>
      </w:r>
    </w:p>
    <w:p>
      <w:pPr>
        <w:spacing w:after="0" w:line="2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362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23622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060" w:right="100" w:hanging="431"/>
        <w:spacing w:after="0" w:line="283"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order to enhance retention of key employees, a portion of this year’s long-term compensation was in the form of a “hold to retirement” grant. These grants of restricted stock were to be earned if the Company attained a target level average return on equity for the ten years ended March 31, 2011 of over 17.25%. In April 2011, the Compensation Committee determined that this performance target had been satisfied; however, the restricted stock will not fully vest until the recipient satisfies the requirements for “retirement,” as defined in the award agreement</w:t>
      </w:r>
    </w:p>
    <w:p>
      <w:pPr>
        <w:spacing w:after="0" w:line="2"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 estimated to occur for each Named Executive Officer on dates ranging from 4 to 15 years after the date of grant.</w:t>
      </w:r>
    </w:p>
    <w:p>
      <w:pPr>
        <w:spacing w:after="0" w:line="83" w:lineRule="exact"/>
        <w:rPr>
          <w:rFonts w:ascii="Arial" w:cs="Arial" w:eastAsia="Arial" w:hAnsi="Arial"/>
          <w:sz w:val="16"/>
          <w:szCs w:val="16"/>
          <w:color w:val="auto"/>
        </w:rPr>
      </w:pPr>
    </w:p>
    <w:p>
      <w:pPr>
        <w:ind w:left="1060" w:right="40" w:hanging="431"/>
        <w:spacing w:after="0" w:line="298"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Our CEO’s total compensation for fiscal 2011 reported in the Summary Compensation Table increased from fiscal 2010 primarily because of the </w:t>
      </w:r>
      <w:r>
        <w:rPr>
          <w:rFonts w:ascii="Arial" w:cs="Arial" w:eastAsia="Arial" w:hAnsi="Arial"/>
          <w:sz w:val="16"/>
          <w:szCs w:val="16"/>
          <w:b w:val="1"/>
          <w:bCs w:val="1"/>
          <w:i w:val="1"/>
          <w:iCs w:val="1"/>
          <w:color w:val="auto"/>
        </w:rPr>
        <w:t xml:space="preserve">zero baseline </w:t>
      </w:r>
      <w:r>
        <w:rPr>
          <w:rFonts w:ascii="Arial" w:cs="Arial" w:eastAsia="Arial" w:hAnsi="Arial"/>
          <w:sz w:val="16"/>
          <w:szCs w:val="16"/>
          <w:color w:val="auto"/>
        </w:rPr>
        <w:t>in his equity awards. Mr. Rowley did not receive any equity awards in fiscal 2010, and therefore, no value appears in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columns of the Summary Compensation Table for that year. In fact, other than in the case of new hires and promotions, no equity was awarded at all by the Company in fiscal 2010. Some key features of our CEO’s fiscal 2011 compensation are set forth below.</w:t>
      </w:r>
    </w:p>
    <w:p>
      <w:pPr>
        <w:spacing w:after="0" w:line="3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Our CEO’s base salary increased by a modest 2.5% in fiscal 2011.</w:t>
      </w:r>
    </w:p>
    <w:p>
      <w:pPr>
        <w:spacing w:after="0" w:line="90" w:lineRule="exact"/>
        <w:rPr>
          <w:rFonts w:ascii="Arial" w:cs="Arial" w:eastAsia="Arial" w:hAnsi="Arial"/>
          <w:sz w:val="16"/>
          <w:szCs w:val="16"/>
          <w:color w:val="auto"/>
        </w:rPr>
      </w:pPr>
    </w:p>
    <w:p>
      <w:pPr>
        <w:ind w:left="1620" w:hanging="540"/>
        <w:spacing w:after="0" w:line="268" w:lineRule="auto"/>
        <w:rPr>
          <w:rFonts w:ascii="Arial" w:cs="Arial" w:eastAsia="Arial" w:hAnsi="Arial"/>
          <w:sz w:val="16"/>
          <w:szCs w:val="16"/>
          <w:color w:val="auto"/>
        </w:rPr>
      </w:pPr>
      <w:r>
        <w:rPr>
          <w:rFonts w:ascii="Arial" w:cs="Arial" w:eastAsia="Arial" w:hAnsi="Arial"/>
          <w:sz w:val="18"/>
          <w:szCs w:val="18"/>
          <w:color w:val="auto"/>
        </w:rPr>
        <w:t>•100% of our CEO’s long-term equity compensation was performance based, with 75.1% of the stock options and RSUs being earned and the remainder forfeited, and 100% of the “hold to retirement” restricted stock being earned.</w:t>
      </w:r>
    </w:p>
    <w:p>
      <w:pPr>
        <w:spacing w:after="0" w:line="50" w:lineRule="exact"/>
        <w:rPr>
          <w:rFonts w:ascii="Arial" w:cs="Arial" w:eastAsia="Arial" w:hAnsi="Arial"/>
          <w:sz w:val="16"/>
          <w:szCs w:val="16"/>
          <w:color w:val="auto"/>
        </w:rPr>
      </w:pPr>
    </w:p>
    <w:p>
      <w:pPr>
        <w:ind w:left="1620" w:right="160" w:hanging="540"/>
        <w:spacing w:after="0" w:line="268" w:lineRule="auto"/>
        <w:rPr>
          <w:rFonts w:ascii="Arial" w:cs="Arial" w:eastAsia="Arial" w:hAnsi="Arial"/>
          <w:sz w:val="16"/>
          <w:szCs w:val="16"/>
          <w:color w:val="auto"/>
        </w:rPr>
      </w:pPr>
      <w:r>
        <w:rPr>
          <w:rFonts w:ascii="Arial" w:cs="Arial" w:eastAsia="Arial" w:hAnsi="Arial"/>
          <w:sz w:val="18"/>
          <w:szCs w:val="18"/>
          <w:color w:val="auto"/>
        </w:rPr>
        <w:t>•Our CEO’s annual cash incentive bonus of $294,944 for fiscal 2011 was flat compared with fiscal 2010, increasing just $3,310 (or 1%) year-over-year.</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This Compensation Discussion and Analysis is intended to provide investors with a more complete understanding of our compensation policies and decisions during fiscal 2011 for the following persons who were “Named Executive Officers” during such fiscal year:</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Steven R. Rowley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40"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Finance and Administration and Chief Financial Officer</w:t>
      </w:r>
    </w:p>
    <w:p>
      <w:pPr>
        <w:spacing w:after="0" w:line="140"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Gerald J. Essl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Cement/Aggregates and Concrete</w:t>
      </w:r>
    </w:p>
    <w:p>
      <w:pPr>
        <w:spacing w:after="0" w:line="152"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Robert S. Stewart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 Strategy, Corporate Development and Communications</w:t>
      </w:r>
    </w:p>
    <w:p>
      <w:pPr>
        <w:spacing w:after="0" w:line="152"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James H. Graass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Executive Vice President, General Counsel and Secretary</w:t>
      </w:r>
    </w:p>
    <w:p>
      <w:pPr>
        <w:spacing w:after="0" w:line="200" w:lineRule="exact"/>
        <w:rPr>
          <w:sz w:val="20"/>
          <w:szCs w:val="20"/>
          <w:color w:val="auto"/>
        </w:rPr>
      </w:pPr>
    </w:p>
    <w:p>
      <w:pPr>
        <w:sectPr>
          <w:pgSz w:w="11900" w:h="16838" w:orient="portrait"/>
          <w:cols w:equalWidth="0" w:num="2">
            <w:col w:w="2060" w:space="720"/>
            <w:col w:w="8640"/>
          </w:cols>
          <w:pgMar w:left="240" w:top="459" w:right="2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Encourage ownership of our Common Stock,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51"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90" w:lineRule="exact"/>
        <w:rPr>
          <w:rFonts w:ascii="Arial" w:cs="Arial" w:eastAsia="Arial" w:hAnsi="Arial"/>
          <w:sz w:val="18"/>
          <w:szCs w:val="18"/>
          <w:color w:val="auto"/>
        </w:rPr>
      </w:pPr>
    </w:p>
    <w:p>
      <w:pPr>
        <w:ind w:left="1580" w:hanging="546"/>
        <w:spacing w:after="0"/>
        <w:tabs>
          <w:tab w:leader="none" w:pos="15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113" w:lineRule="exact"/>
        <w:rPr>
          <w:rFonts w:ascii="Arial" w:cs="Arial" w:eastAsia="Arial" w:hAnsi="Arial"/>
          <w:sz w:val="16"/>
          <w:szCs w:val="16"/>
          <w:color w:val="auto"/>
        </w:rPr>
      </w:pPr>
    </w:p>
    <w:p>
      <w:pPr>
        <w:ind w:left="1580" w:right="40" w:hanging="546"/>
        <w:spacing w:after="0" w:line="268" w:lineRule="auto"/>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Structuring long-term compensation as equity awards, so that executives have an appropriate incentive to contribute to the creation of long-term stockholder value, and</w:t>
      </w:r>
    </w:p>
    <w:p>
      <w:pPr>
        <w:spacing w:after="0" w:line="50" w:lineRule="exact"/>
        <w:rPr>
          <w:rFonts w:ascii="Arial" w:cs="Arial" w:eastAsia="Arial" w:hAnsi="Arial"/>
          <w:sz w:val="18"/>
          <w:szCs w:val="18"/>
          <w:color w:val="auto"/>
        </w:rPr>
      </w:pPr>
    </w:p>
    <w:p>
      <w:pPr>
        <w:ind w:left="1580" w:right="640" w:hanging="546"/>
        <w:spacing w:after="0" w:line="268" w:lineRule="auto"/>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90" w:lineRule="exact"/>
        <w:rPr>
          <w:rFonts w:ascii="Arial" w:cs="Arial" w:eastAsia="Arial" w:hAnsi="Arial"/>
          <w:sz w:val="18"/>
          <w:szCs w:val="18"/>
          <w:color w:val="auto"/>
        </w:rPr>
      </w:pPr>
    </w:p>
    <w:p>
      <w:pPr>
        <w:ind w:left="1580" w:hanging="546"/>
        <w:spacing w:after="0"/>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Basing our annual incentive bonus on both our earnings and individual performance, and</w:t>
      </w:r>
    </w:p>
    <w:p>
      <w:pPr>
        <w:spacing w:after="0" w:line="90" w:lineRule="exact"/>
        <w:rPr>
          <w:rFonts w:ascii="Arial" w:cs="Arial" w:eastAsia="Arial" w:hAnsi="Arial"/>
          <w:sz w:val="18"/>
          <w:szCs w:val="18"/>
          <w:color w:val="auto"/>
        </w:rPr>
      </w:pPr>
    </w:p>
    <w:p>
      <w:pPr>
        <w:ind w:left="1580" w:hanging="546"/>
        <w:spacing w:after="0"/>
        <w:tabs>
          <w:tab w:leader="none" w:pos="1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Tying the vesting of our equity-based awards to the achievement of financial and operating goals.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achieve our compensation objectives for fiscal 2011, our executive compensation program used a combination of short-term and long-term elements:</w:t>
      </w:r>
    </w:p>
    <w:p>
      <w:pPr>
        <w:spacing w:after="0" w:line="38" w:lineRule="exact"/>
        <w:rPr>
          <w:sz w:val="20"/>
          <w:szCs w:val="20"/>
          <w:color w:val="auto"/>
        </w:rPr>
      </w:pPr>
    </w:p>
    <w:p>
      <w:pPr>
        <w:ind w:right="160" w:firstLine="8"/>
        <w:spacing w:after="0" w:line="255"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salary, (2) annual incentive bonus, and (3) long-term incentive compensation in the form of stock options and RSUs, as well as a “hold to retirement” grant of restricted stock. Each element of long-term and short-term compensation is discussed more fully below under the heading “Elements of Executive Compensation.”</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u w:val="single" w:color="auto"/>
          <w:color w:val="auto"/>
        </w:rPr>
        <w:t>No Employment Agreements; No Change-in-Control Agreements</w:t>
      </w:r>
      <w:r>
        <w:rPr>
          <w:rFonts w:ascii="Arial" w:cs="Arial" w:eastAsia="Arial" w:hAnsi="Arial"/>
          <w:sz w:val="18"/>
          <w:szCs w:val="18"/>
          <w:color w:val="auto"/>
        </w:rPr>
        <w:t>. We do not currently have employment agreements or change-in-control agreements with any Named Executive Officer; however, under the terms of our award agreements, unvested equity awards become fully vested and exercisable in the event of a change in control. See “Change in Control Benefits”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Management in Executive Compensation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59"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 our CEO’s performance in light of such goals and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Incentive Plan to our officers and other key employees,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Compensation Committee consists solely of directors who are independent under the NYSE listing standards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8"/>
          <w:szCs w:val="18"/>
          <w:i w:val="1"/>
          <w:iCs w:val="1"/>
          <w:color w:val="auto"/>
        </w:rPr>
        <w:t>www.eaglematerials.com</w:t>
      </w:r>
      <w:r>
        <w:rPr>
          <w:rFonts w:ascii="Arial" w:cs="Arial" w:eastAsia="Arial" w:hAnsi="Arial"/>
          <w:sz w:val="18"/>
          <w:szCs w:val="18"/>
          <w:color w:val="auto"/>
        </w:rPr>
        <w: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51" w:lineRule="exact"/>
        <w:rPr>
          <w:sz w:val="20"/>
          <w:szCs w:val="20"/>
          <w:color w:val="auto"/>
        </w:rPr>
      </w:pPr>
    </w:p>
    <w:p>
      <w:pPr>
        <w:ind w:left="900" w:right="360" w:hanging="446"/>
        <w:spacing w:after="0" w:line="303"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As early as practicable after the beginning of each fiscal year, the Compensation Committee determines (1) the salary of each Named Executive Officer for such fiscal year, (2) the overall size of the annual incentive bonus pools based on operating earnings in which the Named Executive Officers will have the opportunity to participate during such year and the percentage of the pool assigned to each Named Executive Officer,</w:t>
      </w:r>
    </w:p>
    <w:p>
      <w:pPr>
        <w:spacing w:after="0" w:line="1" w:lineRule="exact"/>
        <w:rPr>
          <w:rFonts w:ascii="Arial" w:cs="Arial" w:eastAsia="Arial" w:hAnsi="Arial"/>
          <w:sz w:val="15"/>
          <w:szCs w:val="15"/>
          <w:color w:val="auto"/>
        </w:rPr>
      </w:pPr>
    </w:p>
    <w:p>
      <w:pPr>
        <w:ind w:left="900" w:right="120"/>
        <w:spacing w:after="0" w:line="288" w:lineRule="auto"/>
        <w:rPr>
          <w:rFonts w:ascii="Arial" w:cs="Arial" w:eastAsia="Arial" w:hAnsi="Arial"/>
          <w:sz w:val="15"/>
          <w:szCs w:val="15"/>
          <w:color w:val="auto"/>
        </w:rPr>
      </w:pPr>
      <w:r>
        <w:rPr>
          <w:rFonts w:ascii="Arial" w:cs="Arial" w:eastAsia="Arial" w:hAnsi="Arial"/>
          <w:sz w:val="16"/>
          <w:szCs w:val="16"/>
          <w:color w:val="auto"/>
        </w:rPr>
        <w:t>(3) whether the Compensation Committee will make any long-term incentive compensation awards in such fiscal year, (4) if the Compensation Committee decides to make long-term compensation awards for such fiscal year, the nature of and terms applicable to such awards, including the form any such awards will take (e.g., options, restricted stock and/or restricted stock units), the individual long-term compensation potential for awards to be made to each Named Executive Officer, the performance- or time-vesting criteria (or both) that will apply to any such awards, and the exercisability or payment schedules that will apply to any such awards if the performance criteria are satisfied, and (5) the Eagle Materials Special Situation Program for such fiscal year and the overall funding levels for such program based on operating earnings. For fiscal 2011, the Compensation Committee made these determinations at meetings held in April and May 2010.</w:t>
      </w:r>
    </w:p>
    <w:p>
      <w:pPr>
        <w:spacing w:after="0" w:line="41"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After the end of the fiscal year, the Compensation Committee (1) approves the calculation of operating earnings used for purposes of determining annual incentive bonus potential, (2) determines the extent to which the performance criteria for the prior fiscal year applicable to any long-term incentive awards were satisfied, (3) determines the amount of the downward adjustment, if any, to be made to the annual incentive bonus payment to each Named Executive Officer based on individual performance, and (4) if applicable, makes awards under the Eagle Materials Special Situation Program. The Compensation Committee made these determinations for fiscal 2011 at meetings held in April and May 2011.</w:t>
      </w:r>
    </w:p>
    <w:p>
      <w:pPr>
        <w:spacing w:after="0" w:line="1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CEO, Mr. Rowley, participates to a certain extent in the administration of our compensation program for our Named Executive Officers (other than himself). At the end of each fiscal year, Mr. Rowley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Mr. Rowley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Mr. Rowley’s input, along with other information presented by its compensation consultants or otherwise available to it, in making its final compensation decisions with respect to the Named Executive Officers.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an effort to ensure that our executive compensation program for fiscal 2011 was competitive, the Compensation Committee engaged Mercer to compare our total compensation (salary, incentive bonus and long-term compensation) to a peer group of companies in the construction materials business, which we refer to as our direct peer group, and a supplemental peer group of manufacturing companies with similar market values, which we refer to as our supplemental peer group.</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direct peer group was selected from companies within the construction materials sector by the Compensation Committee with input from Mercer and our management. Included in the direct peer group were companies from each of our operating segments (wallboard, cement, concrete and aggregates), but none of the direct peers operates in all of our segments.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there is a limited number of publicly-traded direct competitors in the construction materials sector and because most of the companies in the direct peer group have larger revenues than we do, the Compensation Committee, in conjunction with Mercer, also selected a supplemental peer group of manufacturing companies with market values similar to our company. In particular, the supplemental peer group used for the Mercer study includes the companies in the direct peer group as well as publicly-traded companies that conduct a wide range of manufacturing activities in the United States and have market capitalizations ranging from $476 million to $4.8 billion.</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Compensation Committee uses the survey of the direct peer group and the supplemental peer group prepared by Mercer, which we refer to as our benchmarking study, to guide it in establishing the main components of Named Executive Officer compensation: salaries, annual incentive bonus opportunity and long-term compensation awards. The Compensation Committee focused most of its attention on the direct peer group and looked to the supplemental peer group to provide a basis for testing the determinations based on the direct peer group analysis. The benchmarking study was presented by Mercer to the Compensation Committee in May 2010, and was based on the most recent available data at the time, which in many cases consisted of data for the calendar year ended December 31, 2009.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fiscal 2011 the direct peer group consisted of the following six companies:</w:t>
      </w:r>
    </w:p>
    <w:p>
      <w:pPr>
        <w:sectPr>
          <w:pgSz w:w="11900" w:h="16838" w:orient="portrait"/>
          <w:cols w:equalWidth="0" w:num="1">
            <w:col w:w="11400"/>
          </w:cols>
          <w:pgMar w:left="240" w:top="459" w:right="259"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Ameron International Corp.</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Martin Marietta Materials Inc.</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Texas Industries Inc.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US Concrete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USG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Vulcan Materials Co.</w:t>
      </w:r>
    </w:p>
    <w:p>
      <w:pPr>
        <w:spacing w:after="0" w:line="187" w:lineRule="exact"/>
        <w:rPr>
          <w:sz w:val="20"/>
          <w:szCs w:val="20"/>
          <w:color w:val="auto"/>
        </w:rPr>
      </w:pPr>
    </w:p>
    <w:p>
      <w:pPr>
        <w:sectPr>
          <w:pgSz w:w="11900" w:h="16838" w:orient="portrait"/>
          <w:cols w:equalWidth="0" w:num="2">
            <w:col w:w="5280" w:space="720"/>
            <w:col w:w="5400"/>
          </w:cols>
          <w:pgMar w:left="240" w:top="459" w:right="259" w:bottom="1440" w:gutter="0" w:footer="0" w:header="0"/>
          <w:type w:val="continuous"/>
        </w:sectPr>
      </w:pPr>
    </w:p>
    <w:p>
      <w:pPr>
        <w:ind w:right="280"/>
        <w:spacing w:after="0" w:line="332" w:lineRule="auto"/>
        <w:rPr>
          <w:sz w:val="20"/>
          <w:szCs w:val="20"/>
          <w:color w:val="auto"/>
        </w:rPr>
      </w:pPr>
      <w:r>
        <w:rPr>
          <w:rFonts w:ascii="Arial" w:cs="Arial" w:eastAsia="Arial" w:hAnsi="Arial"/>
          <w:sz w:val="16"/>
          <w:szCs w:val="16"/>
          <w:color w:val="auto"/>
        </w:rPr>
        <w:t>The fiscal 2011 direct peer group is the same group utilized in the fiscal 2009 Mercer study (the last study conducted by Mercer for the Company), except that Florida Rock was removed because of its acquisition by Vulcan Materials, and Caraustar Industries was excluded because of its bankruptcy.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supplemental peer group consisted of the six companies in the direct peer group plus the following twelve companies:</w:t>
      </w:r>
    </w:p>
    <w:p>
      <w:pPr>
        <w:sectPr>
          <w:pgSz w:w="11900" w:h="16838" w:orient="portrait"/>
          <w:cols w:equalWidth="0" w:num="1">
            <w:col w:w="11400"/>
          </w:cols>
          <w:pgMar w:left="240" w:top="459" w:right="259" w:bottom="1440" w:gutter="0" w:footer="0" w:header="0"/>
          <w:type w:val="continuous"/>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Armstrong Holdings Inc.</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Century Aluminum Co.</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Headwaters Incorporated</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Herman Miller,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Lennox International Inc.</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Owens Corning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Pactiv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Potlatch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Temple Inland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Universal Forest Products,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Valspar Corp.</w:t>
      </w:r>
    </w:p>
    <w:p>
      <w:pPr>
        <w:spacing w:after="0" w:line="165" w:lineRule="exact"/>
        <w:rPr>
          <w:sz w:val="20"/>
          <w:szCs w:val="20"/>
          <w:color w:val="auto"/>
        </w:rPr>
      </w:pPr>
    </w:p>
    <w:p>
      <w:pPr>
        <w:sectPr>
          <w:pgSz w:w="11900" w:h="16838" w:orient="portrait"/>
          <w:cols w:equalWidth="0" w:num="2">
            <w:col w:w="5280" w:space="720"/>
            <w:col w:w="5400"/>
          </w:cols>
          <w:pgMar w:left="240" w:top="459" w:right="259" w:bottom="1440" w:gutter="0" w:footer="0" w:header="0"/>
          <w:type w:val="continuous"/>
        </w:sectPr>
      </w:pPr>
    </w:p>
    <w:p>
      <w:pPr>
        <w:ind w:right="720"/>
        <w:spacing w:after="0" w:line="268" w:lineRule="auto"/>
        <w:rPr>
          <w:sz w:val="20"/>
          <w:szCs w:val="20"/>
          <w:color w:val="auto"/>
        </w:rPr>
      </w:pPr>
      <w:r>
        <w:rPr>
          <w:rFonts w:ascii="Arial" w:cs="Arial" w:eastAsia="Arial" w:hAnsi="Arial"/>
          <w:sz w:val="18"/>
          <w:szCs w:val="18"/>
          <w:color w:val="auto"/>
        </w:rPr>
        <w:t>The fiscal 2011 supplemental peer group differed from the supplemental peer group used in fiscal 2009 as follows: Bowater Inc. was removed due to its bankruptcy and replaced with Owens Corning.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the health benefit plans and programs generally available to all employees, our executive compensation program includes the following elements:</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Salary continuation plan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Salaries of the Named Executive Officers are reviewed annually as well as at the time of a promotion or significant change in responsibilities. As described above, the Compensation Committee engaged Mercer to conduct the benchmarking study at the beginning of fiscal 2011. For fiscal 2011, the Committee set the base salary level for the CEO and the other Named Executive Officers generally in line with the median of the salary levels for equivalent positions at the companies reviewed in the direct peer group. Other considerations that may influence the salary level for a Named Executive Officer include individual performance, the Named Executive Officer’s skills or experience, our operating performance and the nature and responsibilities of the position.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Incentive Bonus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Compensation Committee is responsible for approving the annual incentive bonus for our CEO and the other Named Executive Officers. Annual incentive bonuses paid to our Named Executive Officers for fiscal 2011 were made under (1) the Eagle Materials Inc. Salaried Incentive Compensation Program for Fiscal Year 2011, which we refer to as the Eagle Annual Incentive Program, (2) annual incentive compensation programs for fiscal 2011 established for particular operating divisions of the Company, which we refer to as Divisional Annual Incentive Bonus Programs, and (3) the Eagle Materials Inc. Special Situation Program for Fiscal Year 2011, which we refer to as the SSP. In general, the Named Executive Officers whose responsibilities extend to the Company as a whole (Messrs. Rowley, Kesler, Graass and Robert Stewart) participate in the Eagle Annual Incentive Program, and the Named Executive Officer whose responsibilities relate primarily to a particular operating division (Mr. Essl) participates in relevant Divisional Annual Incentive Bonus Programs. All of our Named Executive Officers are eligible to participate in the SSP. These programs were structured to create financial incentives and rewards that are directly related to corporate performance and the participating Named Executive Officer’s individual performance during the fiscal year.</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(or our operating divisions)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operating earnings (in the case of the Eagle Annual Incentive Plan) or the operating earnings of a division (in the case of a Divisional Annual Incentive Bonus Program). Although individual performance and achievement of goals (as discussed in more detail below under “Annual Performance Evaluation”) affect the actual incentive bonus amount, our programs are structured in such a way that the executive officer’s incentive bonus potential can vary considerably as earnings change from year to year. For example, the maximum bonus potential for Mr. Rowley (a participant in the Eagle Annual Incentive Program) decreased 33% from fiscal 2009 to fiscal 2011 (the range of dates covered by the Summary Compensation Table), as a result of the decline in Eagle’s earnings. Similarly, the maximum bonus potential for Mr. Essl (a participant in two of our Divisional Incentive Programs) decreased 50% from fiscal 2009 to fiscal 2011, as a result of the decline in his divisions’ earnings.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fiscal 2011, Messrs. Rowley, Kesler, Graass and Stewart were participants in the Eagle Annual Incentive Program. Under this program, during the first quarter of each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his share of the pool, subject to the exercise of “negative discretion” by the Compensation Committee to reduce (but not increase) the amount of the cash payment based on the executive’s individual performance during the fiscal year. In general, the amount of the annual incentive bonus paid to an executive is based on the level of our operating earnings, the share of the pool designated for such executive, and an assessment of such executive’s individual performance.</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first quarter of fiscal 2011, the Compensation Committee approved the designation of 1.2% of annual operating earnings for annual incentive bonuses for all executives participating in the Eagle Annual Incentive Program, including the Named Executive Officers. The Committee believes that operating earnings is an appropriate measurement for annual incentive bonuses because this measure is tied more closely to operations and does not take into account certain items of non-operating income and expense. The bonus pool is not subject to a separate cap or maximum, but is merely a function of multiplying the pre-determined percentage by our operating earnings for the applicable fiscal year. Based on this calculation, the aggregate amount available for the Eagle Annual Incentive Program for fiscal 2011 was $737,359, which was not quantifiable until the end of fiscal 2011 and includes amounts available for payment to officers and employees other than the Named Executive Officers. For comparison purposes, the aggregate pool available for payment under such program for fiscal 2010 was $729,083. The pool remained at historically low levels in fiscal 2011 due in large part to the adverse market conditions in which the Company operated as described above. In deciding to keep the percentage of earnings which would fund the pool for the Eagle Annual Incentive Program the same as the prior year, the Compensation Committee considered several factors, including the anticipated operating earnings for fiscal 2011.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May 2010, the Compensation Committee set the annual incentive bonus potential for the participants in the Eagle Annual Incentive Program. In allocating the pool, the Compensation Committee did not rely on mathematical formulas or apply any specific quantitative performance measures. Rather, the Compensation Committee’s determination was based on the amount of annual incentive bonus compensation payable to executives in other companies who fulfill similar roles as illustrated in the benchmarking study prepared by Mercer and the share of the pool historically allocated to officers in such roles by the Company, Mr. Rowley’s recommendation for each participant (other than himself), as well as the Compensation Committee’s assessment of the executive’s importance and contribution to the organization, the executive’s importance in driving the achievement of Company goals and profitability, and the executive’s level of responsibility. The Compensation Committee set the bonus potential for the Named Executive Officers as follows:</w:t>
      </w:r>
    </w:p>
    <w:p>
      <w:pPr>
        <w:spacing w:after="0" w:line="3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Rowley’s annual incentive bonus potential was set at 40% of the bonus pool.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Kesler’s annual incentive bonus potential was set at 15% of the bonus pool.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Robert Stewart’s annual incentive bonus potential was set at 15% of the bonus pool.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Graass’s annual incentive bonus potential was set at 15% of the bonus pool.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Divisional Annual Incentive Bonus Programs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fiscal 2011, Mr. Essl participated in two Divisional Annual Incentive Bonus Programs.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of his responsibilities for our Cement and Concrete and Aggregates operations, Mr. Essl participated in both the Eagle Materials Inc. Cement Companies Salaried Incentive Compensation Program for Fiscal Year 2011 and the Eagle Materials Inc. Concrete and Aggregates Companies Incentive Compensation Program for Fiscal Year 2011. Under these plans, the bonus pools equaled 2.25% of our concrete and aggregates subsidiaries’ operating earnings for fiscal 2011 and 2.25% of our cement subsidiaries’ operating earnings for fiscal 2011 (or, in the case of our 50% owned cement joint venture, 2.25% of our portion of that entity’s operating earnings for fiscal 2011), which in each case is also the same percentage the Compensation Committee has set for several years. In deciding to keep the percentage of operating earnings which would fund these bonus pools the same as the prior year, the Compensation Committee considered several factors, including the expected operating earnings for fiscal 2011, which the Compensation Committee anticipated would be significantly less than in fiscal 2010.</w:t>
      </w:r>
    </w:p>
    <w:p>
      <w:pPr>
        <w:spacing w:after="0" w:line="11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divisional bonus pools are not subject to a separate cap or maximum, but are merely a function of multiplying the pre-determined percentage by the applicable operating earnings for the applicable fiscal year. The aggregate amounts available for these programs for fiscal 2011 were as follows: $505,786 (Cement); and $28,661 (Concrete and Aggregates), which in each case were not quantifiable until the end of fiscal 2011 and include amounts available for payment to officers and employees other than the Named Executive Officers. For comparison purposes, the equivalent amounts in fiscal 2010 were $779,108 (Cement); and $62,090 (Concrete and Aggregates).</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May 2010, the Compensation Committee set the annual incentive bonus potential for Mr. Essl under these Divisional Annual Incentive Bonus Programs. In determining Mr. Essl’s allocation of the pools, the Compensation Committee did not rely on mathematical formulas or apply any specific quantitative performance measures. Rather, the Compensation Committee’s determination took into consideration Mr. Rowley’s recommendation, the portion of the pools historically allocated to his position and the Compensation Committee’s assessment of his importance and contribution to his divisional performance, his importance as an officer within his divisions in driving the achievement of divisional goals and profitability and his level of responsibility. The Compensation Committee set Mr. Essl’s annual incentive bonus potential at 20% of his divisional bonus pools, plus an amount equal to 20% of 2.25% of our half of Texas Lehigh’s fiscal 2011 earnings.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2011 Special Situation Program</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At the beginning of fiscal 2011 (May 2010), the Compensation Committee approved the SSP, which is a special annual incentive program intended to recognize outstanding individual performance during the fiscal year. The SSP provides flexibility to reward performance when special circumstances arise in which the Compensation Committee determines that an individual has not been adequately compensated pursuant to other components of compensation, including instances where an individual’s compensation has been adversely affected by market conditions such as a cyclical downturn. Awards under the SSP are not predetermined for any individuals at the beginning of the fiscal year. All full-time employees of Eagle Materials Inc. or any of our subsidiaries are eligible to receive awards under this program. At the beginning of fiscal 2011, the Compensation Committee determined that .35% of our operating earnings for the ensuing fiscal year would fund the SSP. In deciding to keep the percentage of earnings which would fund the SSP the same as the prior year, the Compensation Committee considered several factors, including the anticipated operating earnings for fiscal 2011. None of the Named Executive Officers received an award under the SSP for fiscal 2011.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May 2011, the Compensation Committee approved the fiscal 2011 operating earnings calculation for the Company and the operating earnings calculations for each Divisional Annual Incentive Bonus Program. This allowed the Compensation Committee to quantify the annual incentive bonus potential for each of the Named Executive Officers. In addition, at the end of fiscal 2011, Mr. Rowley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With respect to</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Rowley himself, the Compensation Committee, with input from the entire Board, performed its own evaluation of his performance and the extent to which the goals and objectives established for him for fiscal 2011 had been achieved.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Rowley</w:t>
      </w:r>
    </w:p>
    <w:p>
      <w:pPr>
        <w:spacing w:after="0" w:line="9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Mr. Rowley’s goals and objectives for fiscal 2011 (none of which were quantitative) related to: operational execution; financial execution; maintaining effective communication with our Board; maintaining alignment between the Company’s stockholders and employees; maintaining the Company’s ability to execute its operating strategy; executing the Company’s investor relations strategy, including maintaining an appropriate level of communication with investors; and continuing development of the Company’s long-term business strategy. At the end of fiscal 2011, the Compensation Committee conducted its performance evaluation of Mr. Rowley after receiving input from the entire Board. Mr. Rowley also provided input on his achievement of his goals and objectives for fiscal 2011 under the Eagle Annual Incentive Program. Based on this evaluation, the Compensation Committee believes Mr. Rowley performed at a high level during fiscal 2011 and met or exceeded his goals and objectives. That evaluation resulted in Mr. Rowley receiving 100% of his bonus potential for fiscal 2011. The Compensation Committee approved an annual incentive bonus for Mr. Rowley under the Eagle Annual Incentive Program of $294,944, which is reflected in the “Non-Equity Incentive Plan Compensation” column of the Summary Compensation Table located on page 32 of this proxy statement. In making this determination, the Compensation Committee did not apply specific quantitative performance measures or assign a specific weight to any of the above goals. Rather, the Compensation Committee used its judgment to determine the appropriate award level after consideration of Mr. Rowley’s performance in the following areas (among others) over the past fiscal year:</w:t>
      </w:r>
    </w:p>
    <w:p>
      <w:pPr>
        <w:spacing w:after="0" w:line="43" w:lineRule="exact"/>
        <w:rPr>
          <w:sz w:val="20"/>
          <w:szCs w:val="20"/>
          <w:color w:val="auto"/>
        </w:rPr>
      </w:pPr>
    </w:p>
    <w:p>
      <w:pPr>
        <w:ind w:left="900" w:right="18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Rowley’s leadership in maintaining profitability as well as positive cash flow during a period in which many of our competitors were unable to do the same in a challenging economic environment;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Rowley’s success in maintaining the focus of the Company’s employees on the key areas of operational execution in a challenging environment;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Rowley’s success in driving management’s continuing focus on generating positive cash flow and maintaining a healthy balance sheet; and</w:t>
      </w:r>
    </w:p>
    <w:p>
      <w:pPr>
        <w:spacing w:after="0" w:line="113"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Rowley’s effective communication of the Company’s long-term goals and opportunities to the Company’s employees, shareholders and the investment community.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Kesler</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Early in fiscal 2011, the Compensation Committee established goals and objectives for Mr. Kesler for fiscal 2011. At the end of fiscal 2011, Mr. Rowley reviewed Mr. Kesler’s performance, finding that Mr. Kesler had achieved his goals during the fiscal year. Based in part on this review, the Compensation Committee determined that Mr. Kesler had met his goals and awarded Mr. Kesler 100% of his incentive bonus potential, approving an annual incentive bonus for Mr. Kesler under the Eagle Annual Incentive Program of $110,604, which is reflected in the “Non-Equity Incentive Plan Compensation” column of the Summary Compensation Table located on page 32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Kesler’s performance and his achievement of the following factors related to his goals and objectives:</w:t>
      </w:r>
    </w:p>
    <w:p>
      <w:pPr>
        <w:ind w:right="460"/>
        <w:spacing w:after="0" w:line="295" w:lineRule="auto"/>
        <w:rPr>
          <w:sz w:val="20"/>
          <w:szCs w:val="20"/>
          <w:color w:val="auto"/>
        </w:rPr>
      </w:pPr>
      <w:r>
        <w:rPr>
          <w:rFonts w:ascii="Arial" w:cs="Arial" w:eastAsia="Arial" w:hAnsi="Arial"/>
          <w:sz w:val="16"/>
          <w:szCs w:val="16"/>
          <w:color w:val="auto"/>
        </w:rPr>
        <w:t>Mr. Kesler’s timely and effective completion and communication of required financial planning and analysis; his assistance in continuing to develop the Company’s investor relations strategy and participation in industry-related investor conferences; his role in managing the Company’s SEC filings and communications; his assistance in effective communication of financial analysis to the Board; his leadership in continuing to analyze the Company’s capital structure, including successfully completing a new bank credit facility; and his continuing successful integration into the role of Chief Financial Officer.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Essl</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Early in fiscal 2011, the Compensation Committee established goals and objectives for Mr. Essl for fiscal 2011, 50% of which were non-quantitative goals and 50% were discretionary. At the end of fiscal 2011, Mr. Rowley reviewed Mr. Essl’s performance. Based in part on this review, the Compensation Committee awarded Mr. Essl 97% of his incentive bonus potential and approved an annual incentive bonus for Mr. Essl under the Eagle Materials Inc. Cement Companies Salaried Incentive Compensation Program for Fiscal Year 2011 and the Eagle Materials Inc. Concrete and Aggregate Companies Incentive Compensation Program for Fiscal Year 2011 of $209,460, which is reflected in the “Non-Equity Incentive Plan Compensation” column of the Summary Compensation Table located on page 32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w:t>
      </w:r>
    </w:p>
    <w:p>
      <w:pPr>
        <w:ind w:right="40"/>
        <w:spacing w:after="0" w:line="288" w:lineRule="auto"/>
        <w:rPr>
          <w:sz w:val="20"/>
          <w:szCs w:val="20"/>
          <w:color w:val="auto"/>
        </w:rPr>
      </w:pPr>
      <w:r>
        <w:rPr>
          <w:rFonts w:ascii="Arial" w:cs="Arial" w:eastAsia="Arial" w:hAnsi="Arial"/>
          <w:sz w:val="16"/>
          <w:szCs w:val="16"/>
          <w:color w:val="auto"/>
        </w:rPr>
        <w:t>Mr. Rowley’s input regarding Mr. Essl’s performance and his achievement of the following factors related to his goals and objectives: Mr. Essl’s success in maintaining the strength of the organizational teams at all cement, concrete and aggregates companies; his effective monitoring of various programs to ensure management focus on quality, compliance and minimizing customer write-offs; his focus on improving maintenance programs, minimizing accounts receivable write-offs, improving safety issues and product quality; his maintenance of a stringent capital project review process; his leadership in keeping managers focused on low cost production in very difficult economic times and providing marketing expertise during periods of oversupply; his successful efforts in identifying new sources of limestone reserves, developing a marketing program for a fly ash replacement, and overseeing successful completion of a mill improvement at a cement subsidiary; and his compliance with our policies and Code of Ethics.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Robert Stewart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Early in fiscal 2011, the Compensation Committee established goals and objectives for Robert Stewart for fiscal 2011. At the end of fiscal 2011,</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Rowley reviewed Robert Stewart’s performance, finding that he achieved his goals during the fiscal year. Based in part on this review, the Compensation Committee determined that Robert Stewart had met his goals and awarded him 100% of his incentive bonus potential, approving an annual incentive bonus for Robert Stewart under the Eagle Annual Incentive Program of $110,604, which is reflected in the “Non-Equity Incentive Plan Compensation” column of the Summary Compensation Table located on page 32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Robert Stewart’s performance and his achievement of the following factors related to his goals and objectives: his continued improvement of Board communication tools and presentation materials in an effective manner; his completion of a sustainability report for the Company; his further refinement and formulation of a formal strategic opportunity scope and priorities framework and criteria and evaluation of potential strategic opportunities; his effective use of industry forecasting tools; and his formulation of effective investor communication tools.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Graass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Early in fiscal 2011, the Compensation Committee established goals and objectives for Mr. Graass for fiscal 2011. At the end of fiscal 2011, Mr. Rowley reviewed Mr. Graass’s performance, finding that Mr. Graass performed in an exceptional manner and achieved his goals during the fiscal year. Based in part on this review, the Compensation Committee determined that Mr. Graass had met his goals and awarded Mr. Graass 100% of his incentive bonus potential, approving an annual incentive bonus for Mr. Graass under the Eagle Annual Incentive Program of $110,604, which is reflected in the “Non-Equity Incentive Plan Compensation” column of the Summary Compensation Table located on page 32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Graass’s performance and his achievement of the following factors related to his goals and objectives: his assistance in advancing certain strategic matters; the completion of our proxy statement for our Annual Meeting of Shareholders; the completion of all SEC filings and assistance to the Board in monitoring corporate governance issues; his assistance to management in preparing and completing Board materials in a timely manner; his assistance in implementing a new material contract policy, the continued conducting of Disclosure Committee meetings at appropriate times and the development of legal group senior counsel; the development of training materials by the legal group and the conducting of training seminars; the continued progress in obtaining our legal entitlement to mine at one of our aggregates subsidiaries; and his assistance in contract negotiations and litigation management for our subsidiaries.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Incentive Compensation</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Consistent with the Compensation Committee’s philosophy of linking compensation to our performance, our long-term incentive compensation program has been structured to link the vesting of equity awards to the achievement by the Company of specific performance levels.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Burn Rate</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believe our three-year average burn rate (a measure of historical dilution) is well within our industry norms. The Company’s three-year average burn rate (which is based on the number of awards granted – or, in the case of performance awards, awards earned – in each fiscal year, divided by the weighted-average common shares outstanding for such fiscal year) is 1.86%. The burn rate data for our last three fiscal years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Time-Vested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Time-Vested</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Immediately</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gridSpan w:val="3"/>
            <w:vMerge w:val="continue"/>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Immediately</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Vested Full-</w:t>
            </w:r>
          </w:p>
        </w:tc>
        <w:tc>
          <w:tcPr>
            <w:tcW w:w="2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Performance</w:t>
            </w:r>
          </w:p>
        </w:tc>
        <w:tc>
          <w:tcPr>
            <w:tcW w:w="740" w:type="dxa"/>
            <w:vAlign w:val="bottom"/>
          </w:tcPr>
          <w:p>
            <w:pPr>
              <w:spacing w:after="0" w:line="135" w:lineRule="exact"/>
              <w:rPr>
                <w:sz w:val="20"/>
                <w:szCs w:val="20"/>
                <w:color w:val="auto"/>
              </w:rPr>
            </w:pPr>
            <w:r>
              <w:rPr>
                <w:rFonts w:ascii="Arial" w:cs="Arial" w:eastAsia="Arial" w:hAnsi="Arial"/>
                <w:sz w:val="14"/>
                <w:szCs w:val="14"/>
                <w:b w:val="1"/>
                <w:bCs w:val="1"/>
                <w:color w:val="auto"/>
                <w:w w:val="84"/>
              </w:rPr>
              <w:t>Performance</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Vested</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Performance</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Full-Value</w:t>
            </w:r>
          </w:p>
        </w:tc>
        <w:tc>
          <w:tcPr>
            <w:tcW w:w="74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Full-Value</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Common Shares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Ended</w:t>
            </w:r>
          </w:p>
        </w:tc>
        <w:tc>
          <w:tcPr>
            <w:tcW w:w="9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Options</w:t>
            </w:r>
          </w:p>
        </w:tc>
        <w:tc>
          <w:tcPr>
            <w:tcW w:w="102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Options</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22"/>
                <w:szCs w:val="22"/>
                <w:b w:val="1"/>
                <w:bCs w:val="1"/>
                <w:color w:val="auto"/>
                <w:vertAlign w:val="superscript"/>
              </w:rPr>
              <w:t>(2)</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ind w:left="180"/>
              <w:spacing w:after="0" w:line="148"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9"/>
              </w:rPr>
              <w:t>Full-Value</w:t>
            </w:r>
          </w:p>
        </w:tc>
        <w:tc>
          <w:tcPr>
            <w:tcW w:w="96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7"/>
              </w:rPr>
              <w:t>Outstanding for</w:t>
            </w:r>
          </w:p>
        </w:tc>
        <w:tc>
          <w:tcPr>
            <w:tcW w:w="260" w:type="dxa"/>
            <w:vAlign w:val="bottom"/>
          </w:tcPr>
          <w:p>
            <w:pPr>
              <w:spacing w:after="0"/>
              <w:rPr>
                <w:sz w:val="12"/>
                <w:szCs w:val="12"/>
                <w:color w:val="auto"/>
              </w:rPr>
            </w:pPr>
          </w:p>
        </w:tc>
        <w:tc>
          <w:tcPr>
            <w:tcW w:w="6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7"/>
              </w:rPr>
              <w:t>Burn</w:t>
            </w:r>
          </w:p>
        </w:tc>
        <w:tc>
          <w:tcPr>
            <w:tcW w:w="0" w:type="dxa"/>
            <w:vAlign w:val="bottom"/>
          </w:tcPr>
          <w:p>
            <w:pPr>
              <w:spacing w:after="0"/>
              <w:rPr>
                <w:sz w:val="1"/>
                <w:szCs w:val="1"/>
                <w:color w:val="auto"/>
              </w:rPr>
            </w:pPr>
          </w:p>
        </w:tc>
      </w:tr>
      <w:tr>
        <w:trPr>
          <w:trHeight w:val="162"/>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jc w:val="center"/>
              <w:ind w:right="240"/>
              <w:spacing w:after="0" w:line="162" w:lineRule="exact"/>
              <w:rPr>
                <w:sz w:val="20"/>
                <w:szCs w:val="20"/>
                <w:color w:val="auto"/>
              </w:rPr>
            </w:pPr>
            <w:r>
              <w:rPr>
                <w:rFonts w:ascii="Arial" w:cs="Arial" w:eastAsia="Arial" w:hAnsi="Arial"/>
                <w:sz w:val="12"/>
                <w:szCs w:val="12"/>
                <w:b w:val="1"/>
                <w:bCs w:val="1"/>
                <w:color w:val="auto"/>
              </w:rPr>
              <w:t>Granted</w:t>
            </w:r>
            <w:r>
              <w:rPr>
                <w:rFonts w:ascii="Arial" w:cs="Arial" w:eastAsia="Arial" w:hAnsi="Arial"/>
                <w:sz w:val="18"/>
                <w:szCs w:val="18"/>
                <w:b w:val="1"/>
                <w:bCs w:val="1"/>
                <w:color w:val="auto"/>
                <w:vertAlign w:val="superscript"/>
              </w:rPr>
              <w:t>(1)</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Granted</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Earned</w:t>
            </w:r>
          </w:p>
        </w:tc>
        <w:tc>
          <w:tcPr>
            <w:tcW w:w="900" w:type="dxa"/>
            <w:vAlign w:val="bottom"/>
            <w:gridSpan w:val="2"/>
            <w:vMerge w:val="continue"/>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Granted</w:t>
            </w:r>
            <w:r>
              <w:rPr>
                <w:rFonts w:ascii="Arial" w:cs="Arial" w:eastAsia="Arial" w:hAnsi="Arial"/>
                <w:sz w:val="18"/>
                <w:szCs w:val="18"/>
                <w:b w:val="1"/>
                <w:bCs w:val="1"/>
                <w:color w:val="auto"/>
                <w:vertAlign w:val="superscript"/>
              </w:rPr>
              <w:t>(1)</w:t>
            </w: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Granted</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Earned</w:t>
            </w:r>
          </w:p>
        </w:tc>
        <w:tc>
          <w:tcPr>
            <w:tcW w:w="260" w:type="dxa"/>
            <w:vAlign w:val="bottom"/>
          </w:tcPr>
          <w:p>
            <w:pPr>
              <w:spacing w:after="0"/>
              <w:rPr>
                <w:sz w:val="14"/>
                <w:szCs w:val="14"/>
                <w:color w:val="auto"/>
              </w:rPr>
            </w:pPr>
          </w:p>
        </w:tc>
        <w:tc>
          <w:tcPr>
            <w:tcW w:w="900" w:type="dxa"/>
            <w:vAlign w:val="bottom"/>
            <w:gridSpan w:val="2"/>
          </w:tcPr>
          <w:p>
            <w:pPr>
              <w:jc w:val="right"/>
              <w:ind w:right="320"/>
              <w:spacing w:after="0" w:line="162"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8"/>
                <w:szCs w:val="18"/>
                <w:b w:val="1"/>
                <w:bCs w:val="1"/>
                <w:color w:val="auto"/>
                <w:vertAlign w:val="superscript"/>
              </w:rPr>
              <w:t>(2)</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4"/>
                <w:szCs w:val="14"/>
                <w:color w:val="auto"/>
              </w:rPr>
            </w:pPr>
          </w:p>
        </w:tc>
        <w:tc>
          <w:tcPr>
            <w:tcW w:w="600" w:type="dxa"/>
            <w:vAlign w:val="bottom"/>
            <w:gridSpan w:val="2"/>
          </w:tcPr>
          <w:p>
            <w:pPr>
              <w:jc w:val="right"/>
              <w:ind w:right="200"/>
              <w:spacing w:after="0" w:line="162" w:lineRule="exact"/>
              <w:rPr>
                <w:sz w:val="20"/>
                <w:szCs w:val="20"/>
                <w:color w:val="auto"/>
              </w:rPr>
            </w:pPr>
            <w:r>
              <w:rPr>
                <w:rFonts w:ascii="Arial" w:cs="Arial" w:eastAsia="Arial" w:hAnsi="Arial"/>
                <w:sz w:val="12"/>
                <w:szCs w:val="12"/>
                <w:b w:val="1"/>
                <w:bCs w:val="1"/>
                <w:color w:val="auto"/>
                <w:w w:val="93"/>
              </w:rPr>
              <w:t>Rate</w:t>
            </w:r>
            <w:r>
              <w:rPr>
                <w:rFonts w:ascii="Arial" w:cs="Arial" w:eastAsia="Arial" w:hAnsi="Arial"/>
                <w:sz w:val="18"/>
                <w:szCs w:val="18"/>
                <w:b w:val="1"/>
                <w:bCs w:val="1"/>
                <w:color w:val="auto"/>
                <w:w w:val="93"/>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127,213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233,715</w:t>
            </w:r>
          </w:p>
        </w:tc>
        <w:tc>
          <w:tcPr>
            <w:tcW w:w="7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481,666</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2"/>
              </w:rPr>
              <w:t>422,506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422,506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44,251,276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322"/>
        </w:trPr>
        <w:tc>
          <w:tcPr>
            <w:tcW w:w="500" w:type="dxa"/>
            <w:vAlign w:val="bottom"/>
            <w:gridSpan w:val="2"/>
          </w:tcPr>
          <w:p>
            <w:pPr>
              <w:spacing w:after="0"/>
              <w:rPr>
                <w:sz w:val="20"/>
                <w:szCs w:val="20"/>
                <w:color w:val="auto"/>
              </w:rPr>
            </w:pPr>
            <w:r>
              <w:rPr>
                <w:rFonts w:ascii="Arial" w:cs="Arial" w:eastAsia="Arial" w:hAnsi="Arial"/>
                <w:sz w:val="18"/>
                <w:szCs w:val="18"/>
                <w:color w:val="auto"/>
              </w:rPr>
              <w:t>2010</w:t>
            </w:r>
          </w:p>
        </w:tc>
        <w:tc>
          <w:tcPr>
            <w:tcW w:w="130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138,651</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138,651</w:t>
            </w:r>
          </w:p>
        </w:tc>
        <w:tc>
          <w:tcPr>
            <w:tcW w:w="72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24"/>
                <w:szCs w:val="24"/>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30,000</w:t>
            </w:r>
          </w:p>
        </w:tc>
        <w:tc>
          <w:tcPr>
            <w:tcW w:w="960" w:type="dxa"/>
            <w:vAlign w:val="bottom"/>
          </w:tcPr>
          <w:p>
            <w:pPr>
              <w:jc w:val="right"/>
              <w:spacing w:after="0"/>
              <w:rPr>
                <w:sz w:val="20"/>
                <w:szCs w:val="20"/>
                <w:color w:val="auto"/>
              </w:rPr>
            </w:pPr>
            <w:r>
              <w:rPr>
                <w:rFonts w:ascii="Arial" w:cs="Arial" w:eastAsia="Arial" w:hAnsi="Arial"/>
                <w:sz w:val="18"/>
                <w:szCs w:val="18"/>
                <w:color w:val="auto"/>
              </w:rPr>
              <w:t>44,038,401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192,410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720,500</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608,000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800,410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100,750</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2"/>
              </w:rPr>
              <w:t>100,750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115,750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43,879,416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numbers in these columns represent awards made to our Board of Directors, as well as awards made to newly-hired employees and newly-promoted employees during such fiscal year.</w:t>
      </w:r>
    </w:p>
    <w:p>
      <w:pPr>
        <w:ind w:left="460" w:right="12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purpose of the burn rate calculation, performance awards (awards that vest subject to the achievement of performance criteria) are deemed granted in the year in which they are earned. Therefore, the numbers in these columns represent time-vested or immediately vested awards from such fiscal year, plus performance awards earned during such fiscal year.</w:t>
      </w:r>
    </w:p>
    <w:p>
      <w:pPr>
        <w:spacing w:after="0" w:line="1" w:lineRule="exact"/>
        <w:rPr>
          <w:rFonts w:ascii="Arial" w:cs="Arial" w:eastAsia="Arial" w:hAnsi="Arial"/>
          <w:sz w:val="18"/>
          <w:szCs w:val="18"/>
          <w:color w:val="auto"/>
        </w:rPr>
      </w:pPr>
    </w:p>
    <w:p>
      <w:pPr>
        <w:ind w:left="460" w:right="22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Calculated as the quotient of (a) the sum of Options, plus the product of Full-Value Shares times a Multiplier, divided by (b) the Weighted-Average Common Shares Outstanding. The Multiplier converts full-value shares into option equivalents and is based on the Company’s stock price volatility. The Multiplier was 1.5 in fiscal 2009, 2.0 in fiscal 2010 and 2.5 in fiscal 2011.</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Grant Practice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All of the Named Executive Officers participate in our long-term equity-based incentive compensation program. In fiscal 2011,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Compensation Committee, as provided in our Incentive Plan, has delegated to the Special Situation Stock Option Committee (whose sole member is our CEO) the authority to grant stock options to newly-hired employees and newly-promoted employees, with terms approved by the Special Situation Stock Option Committee. This authority, which expires on May 31, 2012, is limited to an aggregate of 60,000 option shares; no one individual may receive more than 30,000 option shares in a given year; and Section 16 reporting persons may not receive awards pursuant to this authority. Stock options granted under this delegation of authority vest 20% per year commencing on the first anniversary of the grant date. During fiscal 2011 no stock options were granted to employees under this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2011 Grants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May 2010, the Compensation Committee returned to its practice of making annual long-term incentive equity grants under our Incentive Plan, and also made a “hold to retirement” grant of restricted stock.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Grants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annual long-term incentive equity grants were in the form of stock options and RSUs that were subject to performance vesting criteria. The performance vesting criteria were derived from our annual planning process and are measurable and verifiable. For Messrs. Rowley, Kesler, Stewart and Graass, the criteria were based on: (i) certain safety measures, production measures, sales measures and profit measures at each of the operating subsidiaries for the fiscal year ended March 31, 2011; and (ii) certain financial leverage covenants for Eagle at March 31, 2011 and certain accounting goals. The performance vesting criteria for the stock options and restricted stock units for Mr. Essl are based on certain safety measures, production measures, sales measures and profit measures within his divisions for the fiscal year ended March 31, 2011. The various vesting criteria are described in greater detail in the tables below. The stock options and RSUs awarded in fiscal 2011 were structured to strongly motivate and provide incentives to our management to properly execute in measurable areas that impact our performance and profitability.</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vesting criteria applicable to the stock options and RSUs granted to our Named Executive Officers in fiscal 2011 were weighted as follows: Messrs. Rowley, Kesler, Graass and Stewart (35% Cement Performance Metrics, 5% Concrete and Aggregates Performance Metrics, 30% Wallboard Performance Metrics, 10% Paperboard Performance Metrics, 20% Corporate Performance Metrics); and Mr. Essl (80% Cement Performance Metrics, 20% Concrete and Aggregates Performance Metrics).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Cement</w:t>
            </w:r>
          </w:p>
        </w:tc>
        <w:tc>
          <w:tcPr>
            <w:tcW w:w="3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Maximum</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35"/>
        </w:trPr>
        <w:tc>
          <w:tcPr>
            <w:tcW w:w="20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Points</w:t>
            </w:r>
          </w:p>
        </w:tc>
        <w:tc>
          <w:tcPr>
            <w:tcW w:w="5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Points</w:t>
            </w:r>
          </w:p>
        </w:tc>
        <w:tc>
          <w:tcPr>
            <w:tcW w:w="0" w:type="dxa"/>
            <w:vAlign w:val="bottom"/>
          </w:tcPr>
          <w:p>
            <w:pPr>
              <w:spacing w:after="0"/>
              <w:rPr>
                <w:sz w:val="1"/>
                <w:szCs w:val="1"/>
                <w:color w:val="auto"/>
              </w:rPr>
            </w:pPr>
          </w:p>
        </w:tc>
      </w:tr>
      <w:tr>
        <w:trPr>
          <w:trHeight w:val="161"/>
        </w:trPr>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Performance Metrics</w:t>
            </w:r>
          </w:p>
        </w:tc>
        <w:tc>
          <w:tcPr>
            <w:tcW w:w="7540" w:type="dxa"/>
            <w:vAlign w:val="bottom"/>
            <w:gridSpan w:val="2"/>
          </w:tcPr>
          <w:p>
            <w:pPr>
              <w:ind w:left="320"/>
              <w:spacing w:after="0"/>
              <w:rPr>
                <w:sz w:val="20"/>
                <w:szCs w:val="20"/>
                <w:color w:val="auto"/>
              </w:rPr>
            </w:pPr>
            <w:r>
              <w:rPr>
                <w:rFonts w:ascii="Arial" w:cs="Arial" w:eastAsia="Arial" w:hAnsi="Arial"/>
                <w:sz w:val="14"/>
                <w:szCs w:val="14"/>
                <w:b w:val="1"/>
                <w:bCs w:val="1"/>
                <w:color w:val="auto"/>
              </w:rPr>
              <w:t>Goal</w:t>
            </w:r>
          </w:p>
        </w:tc>
        <w:tc>
          <w:tcPr>
            <w:tcW w:w="3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9"/>
              </w:rPr>
              <w:t>Possible</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1"/>
              </w:rPr>
              <w:t>ARFR (Accidents</w:t>
            </w:r>
          </w:p>
        </w:tc>
        <w:tc>
          <w:tcPr>
            <w:tcW w:w="700" w:type="dxa"/>
            <w:vAlign w:val="bottom"/>
            <w:shd w:val="clear" w:color="auto" w:fill="CCEEFF"/>
          </w:tcPr>
          <w:p>
            <w:pPr>
              <w:spacing w:after="0"/>
              <w:rPr>
                <w:sz w:val="18"/>
                <w:szCs w:val="18"/>
                <w:color w:val="auto"/>
              </w:rPr>
            </w:pPr>
          </w:p>
        </w:tc>
        <w:tc>
          <w:tcPr>
            <w:tcW w:w="7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Goal set so that maximum points would require management to substantially outperform prior year</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Recordable Frequency</w:t>
            </w:r>
          </w:p>
        </w:tc>
        <w:tc>
          <w:tcPr>
            <w:tcW w:w="7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results. Threshold level of performance (5 points) would require a substantial improvement over prior</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(as defined by</w:t>
            </w:r>
          </w:p>
        </w:tc>
        <w:tc>
          <w:tcPr>
            <w:tcW w:w="7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year results.</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MSHA) in the Cement</w:t>
            </w:r>
          </w:p>
        </w:tc>
        <w:tc>
          <w:tcPr>
            <w:tcW w:w="32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for fiscal 2011</w:t>
            </w:r>
          </w:p>
        </w:tc>
        <w:tc>
          <w:tcPr>
            <w:tcW w:w="320" w:type="dxa"/>
            <w:vAlign w:val="bottom"/>
            <w:shd w:val="clear" w:color="auto" w:fill="CCEEFF"/>
          </w:tcPr>
          <w:p>
            <w:pPr>
              <w:spacing w:after="0"/>
              <w:rPr>
                <w:sz w:val="19"/>
                <w:szCs w:val="19"/>
                <w:color w:val="auto"/>
              </w:rPr>
            </w:pPr>
          </w:p>
        </w:tc>
        <w:tc>
          <w:tcPr>
            <w:tcW w:w="7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59" w:lineRule="auto"/>
        <w:rPr>
          <w:sz w:val="20"/>
          <w:szCs w:val="20"/>
          <w:color w:val="auto"/>
        </w:rPr>
      </w:pPr>
      <w:r>
        <w:rPr>
          <w:rFonts w:ascii="Arial" w:cs="Arial" w:eastAsia="Arial" w:hAnsi="Arial"/>
          <w:sz w:val="18"/>
          <w:szCs w:val="18"/>
          <w:color w:val="auto"/>
        </w:rPr>
        <w:t>Clinker Tons Produced by the Cement Division in fiscal 2011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20"/>
                <w:szCs w:val="20"/>
                <w:color w:val="auto"/>
              </w:rPr>
            </w:pPr>
            <w:r>
              <w:rPr>
                <w:rFonts w:ascii="Arial" w:cs="Arial" w:eastAsia="Arial" w:hAnsi="Arial"/>
                <w:sz w:val="18"/>
                <w:szCs w:val="18"/>
                <w:color w:val="auto"/>
                <w:w w:val="93"/>
              </w:rPr>
              <w:t>Goal set so that maximum points would require management to meet fiscal 2011 budgeted production</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w w:val="94"/>
              </w:rPr>
              <w:t>levels. Threshold level of performance (5 points) would require management to achieve 91% of fiscal</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7560" w:type="dxa"/>
            <w:vAlign w:val="bottom"/>
          </w:tcPr>
          <w:p>
            <w:pPr>
              <w:spacing w:after="0"/>
              <w:rPr>
                <w:sz w:val="20"/>
                <w:szCs w:val="20"/>
                <w:color w:val="auto"/>
              </w:rPr>
            </w:pPr>
            <w:r>
              <w:rPr>
                <w:rFonts w:ascii="Arial" w:cs="Arial" w:eastAsia="Arial" w:hAnsi="Arial"/>
                <w:sz w:val="18"/>
                <w:szCs w:val="18"/>
                <w:color w:val="auto"/>
              </w:rPr>
              <w:t>2011 budgeted production levels.</w:t>
            </w: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25</w:t>
            </w: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110" w:lineRule="exact"/>
        <w:rPr>
          <w:sz w:val="20"/>
          <w:szCs w:val="20"/>
          <w:color w:val="auto"/>
        </w:rPr>
      </w:pPr>
    </w:p>
    <w:p>
      <w:pPr>
        <w:sectPr>
          <w:pgSz w:w="11900" w:h="16838" w:orient="portrait"/>
          <w:cols w:equalWidth="0" w:num="2">
            <w:col w:w="1840" w:space="480"/>
            <w:col w:w="91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for the</w:t>
            </w:r>
          </w:p>
        </w:tc>
        <w:tc>
          <w:tcPr>
            <w:tcW w:w="7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0"/>
              </w:rPr>
              <w:t>Goal set so that maximum points would require management to exceed fiscal 2011 budgeted operating</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Cement Division in fiscal</w:t>
            </w:r>
          </w:p>
        </w:tc>
        <w:tc>
          <w:tcPr>
            <w:tcW w:w="7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4"/>
              </w:rPr>
              <w:t>profit levels. Threshold level of performance (10 points) would require management to achieve 95%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40" w:type="dxa"/>
            <w:vAlign w:val="bottom"/>
            <w:shd w:val="clear" w:color="auto" w:fill="CCEEFF"/>
          </w:tcPr>
          <w:p>
            <w:pPr>
              <w:spacing w:after="0"/>
              <w:rPr>
                <w:sz w:val="18"/>
                <w:szCs w:val="18"/>
                <w:color w:val="auto"/>
              </w:rPr>
            </w:pPr>
          </w:p>
        </w:tc>
        <w:tc>
          <w:tcPr>
            <w:tcW w:w="7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of fiscal 2011 budgeted operating profit levels. The Committee considered achievement of the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2"/>
              </w:rPr>
              <w:t>maximum points to represent a challenging goal given the anticipated impact of depressed economic</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conditions in our cement market areas.</w:t>
            </w: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4"/>
          </w:tcPr>
          <w:p>
            <w:pPr>
              <w:jc w:val="right"/>
              <w:ind w:right="420"/>
              <w:spacing w:after="0"/>
              <w:rPr>
                <w:sz w:val="20"/>
                <w:szCs w:val="20"/>
                <w:color w:val="auto"/>
              </w:rPr>
            </w:pPr>
            <w:r>
              <w:rPr>
                <w:rFonts w:ascii="Arial" w:cs="Arial" w:eastAsia="Arial" w:hAnsi="Arial"/>
                <w:sz w:val="18"/>
                <w:szCs w:val="18"/>
                <w:color w:val="auto"/>
              </w:rPr>
              <w:t>100</w:t>
            </w:r>
          </w:p>
        </w:tc>
        <w:tc>
          <w:tcPr>
            <w:tcW w:w="4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2"/>
              </w:rPr>
              <w:t>Maximum</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49"/>
        </w:trPr>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Concrete and Aggregates</w:t>
            </w:r>
          </w:p>
        </w:tc>
        <w:tc>
          <w:tcPr>
            <w:tcW w:w="320" w:type="dxa"/>
            <w:vAlign w:val="bottom"/>
          </w:tcPr>
          <w:p>
            <w:pPr>
              <w:spacing w:after="0"/>
              <w:rPr>
                <w:sz w:val="12"/>
                <w:szCs w:val="12"/>
                <w:color w:val="auto"/>
              </w:rPr>
            </w:pPr>
          </w:p>
        </w:tc>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Goal</w:t>
            </w:r>
          </w:p>
        </w:tc>
        <w:tc>
          <w:tcPr>
            <w:tcW w:w="80" w:type="dxa"/>
            <w:vAlign w:val="bottom"/>
          </w:tcPr>
          <w:p>
            <w:pPr>
              <w:spacing w:after="0"/>
              <w:rPr>
                <w:sz w:val="12"/>
                <w:szCs w:val="12"/>
                <w:color w:val="auto"/>
              </w:rPr>
            </w:pPr>
          </w:p>
        </w:tc>
        <w:tc>
          <w:tcPr>
            <w:tcW w:w="10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Points</w:t>
            </w: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Points</w:t>
            </w:r>
          </w:p>
        </w:tc>
        <w:tc>
          <w:tcPr>
            <w:tcW w:w="0" w:type="dxa"/>
            <w:vAlign w:val="bottom"/>
          </w:tcPr>
          <w:p>
            <w:pPr>
              <w:spacing w:after="0"/>
              <w:rPr>
                <w:sz w:val="1"/>
                <w:szCs w:val="1"/>
                <w:color w:val="auto"/>
              </w:rPr>
            </w:pPr>
          </w:p>
        </w:tc>
      </w:tr>
      <w:tr>
        <w:trPr>
          <w:trHeight w:val="161"/>
        </w:trPr>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Performance Metrics</w:t>
            </w:r>
          </w:p>
        </w:tc>
        <w:tc>
          <w:tcPr>
            <w:tcW w:w="320" w:type="dxa"/>
            <w:vAlign w:val="bottom"/>
          </w:tcPr>
          <w:p>
            <w:pPr>
              <w:spacing w:after="0"/>
              <w:rPr>
                <w:sz w:val="14"/>
                <w:szCs w:val="14"/>
                <w:color w:val="auto"/>
              </w:rPr>
            </w:pPr>
          </w:p>
        </w:tc>
        <w:tc>
          <w:tcPr>
            <w:tcW w:w="7360" w:type="dxa"/>
            <w:vAlign w:val="bottom"/>
            <w:gridSpan w:val="2"/>
            <w:vMerge w:val="continue"/>
          </w:tcPr>
          <w:p>
            <w:pPr>
              <w:spacing w:after="0"/>
              <w:rPr>
                <w:sz w:val="14"/>
                <w:szCs w:val="14"/>
                <w:color w:val="auto"/>
              </w:rPr>
            </w:pPr>
          </w:p>
        </w:tc>
        <w:tc>
          <w:tcPr>
            <w:tcW w:w="11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79"/>
              </w:rPr>
              <w:t>Possible</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ARFR in the Concrete and</w:t>
            </w:r>
          </w:p>
        </w:tc>
        <w:tc>
          <w:tcPr>
            <w:tcW w:w="320" w:type="dxa"/>
            <w:vAlign w:val="bottom"/>
            <w:shd w:val="clear" w:color="auto" w:fill="CCEEFF"/>
          </w:tcPr>
          <w:p>
            <w:pPr>
              <w:spacing w:after="0"/>
              <w:rPr>
                <w:sz w:val="17"/>
                <w:szCs w:val="17"/>
                <w:color w:val="auto"/>
              </w:rPr>
            </w:pPr>
          </w:p>
        </w:tc>
        <w:tc>
          <w:tcPr>
            <w:tcW w:w="7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Goal set so that maximum points would require management to outperform prior year results.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Aggregates Division for</w:t>
            </w:r>
          </w:p>
        </w:tc>
        <w:tc>
          <w:tcPr>
            <w:tcW w:w="320" w:type="dxa"/>
            <w:vAlign w:val="bottom"/>
            <w:shd w:val="clear" w:color="auto" w:fill="CCEEFF"/>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Threshold level of performance (5 points) would require maintaining similar results as fiscal 2010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3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based on anticipated reduced hours in fiscal 2011.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Concrete Cubic Yards Sold in the Concrete Division in fiscal 2011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20"/>
                <w:szCs w:val="20"/>
                <w:color w:val="auto"/>
              </w:rPr>
            </w:pPr>
            <w:r>
              <w:rPr>
                <w:rFonts w:ascii="Arial" w:cs="Arial" w:eastAsia="Arial" w:hAnsi="Arial"/>
                <w:sz w:val="18"/>
                <w:szCs w:val="18"/>
                <w:color w:val="auto"/>
                <w:w w:val="93"/>
              </w:rPr>
              <w:t>Goal set so that maximum points would require management to exceed fiscal 2011 budgeted sales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w w:val="94"/>
              </w:rPr>
              <w:t>volumes. Threshold level of performance (5 points) would require management to achieve 85% of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fiscal 2011 budgeted sales volumes.</w:t>
            </w: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25</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10" w:lineRule="exact"/>
        <w:rPr>
          <w:sz w:val="20"/>
          <w:szCs w:val="20"/>
          <w:color w:val="auto"/>
        </w:rPr>
      </w:pPr>
    </w:p>
    <w:p>
      <w:pPr>
        <w:sectPr>
          <w:pgSz w:w="11900" w:h="16838" w:orient="portrait"/>
          <w:cols w:equalWidth="0" w:num="2">
            <w:col w:w="1920" w:space="500"/>
            <w:col w:w="90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5"/>
              </w:rPr>
              <w:t>Aggregates Tons Sold in the</w:t>
            </w: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Goal set so that maximum points would require management to exceed fiscal 2011 budgeted sales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Aggregates Division for</w:t>
            </w: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volumes. Threshold level of performance (5 points) would require management to achieve 93% of</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4"/>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2011 budgeted sales volumes.</w:t>
            </w:r>
          </w:p>
        </w:tc>
        <w:tc>
          <w:tcPr>
            <w:tcW w:w="10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bl>
    <w:p>
      <w:pPr>
        <w:spacing w:after="0" w:line="1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335" w:lineRule="auto"/>
        <w:rPr>
          <w:sz w:val="20"/>
          <w:szCs w:val="20"/>
          <w:color w:val="auto"/>
        </w:rPr>
      </w:pPr>
      <w:r>
        <w:rPr>
          <w:rFonts w:ascii="Arial" w:cs="Arial" w:eastAsia="Arial" w:hAnsi="Arial"/>
          <w:sz w:val="15"/>
          <w:szCs w:val="15"/>
          <w:color w:val="auto"/>
        </w:rPr>
        <w:t>Operating Profit for the Concrete and Aggregates Division in fiscal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540"/>
        <w:spacing w:after="0" w:line="286" w:lineRule="auto"/>
        <w:rPr>
          <w:sz w:val="20"/>
          <w:szCs w:val="20"/>
          <w:color w:val="auto"/>
        </w:rPr>
      </w:pPr>
      <w:r>
        <w:rPr>
          <w:rFonts w:ascii="Arial" w:cs="Arial" w:eastAsia="Arial" w:hAnsi="Arial"/>
          <w:sz w:val="12"/>
          <w:szCs w:val="12"/>
          <w:b w:val="1"/>
          <w:bCs w:val="1"/>
          <w:color w:val="auto"/>
        </w:rPr>
        <w:t>Wallboard Performance Metrics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ind w:left="80"/>
              <w:spacing w:after="0"/>
              <w:rPr>
                <w:sz w:val="20"/>
                <w:szCs w:val="20"/>
                <w:color w:val="auto"/>
              </w:rPr>
            </w:pPr>
            <w:r>
              <w:rPr>
                <w:rFonts w:ascii="Arial" w:cs="Arial" w:eastAsia="Arial" w:hAnsi="Arial"/>
                <w:sz w:val="18"/>
                <w:szCs w:val="18"/>
                <w:color w:val="auto"/>
                <w:w w:val="96"/>
              </w:rPr>
              <w:t>Goal set so that maximum points would require management to significantly exceed fiscal 2011</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80"/>
              <w:spacing w:after="0"/>
              <w:rPr>
                <w:sz w:val="20"/>
                <w:szCs w:val="20"/>
                <w:color w:val="auto"/>
              </w:rPr>
            </w:pPr>
            <w:r>
              <w:rPr>
                <w:rFonts w:ascii="Arial" w:cs="Arial" w:eastAsia="Arial" w:hAnsi="Arial"/>
                <w:sz w:val="18"/>
                <w:szCs w:val="18"/>
                <w:color w:val="auto"/>
              </w:rPr>
              <w:t>budgeted operating profit levels. Threshold level of performance (5 points) would require</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80"/>
              <w:spacing w:after="0"/>
              <w:rPr>
                <w:sz w:val="20"/>
                <w:szCs w:val="20"/>
                <w:color w:val="auto"/>
              </w:rPr>
            </w:pPr>
            <w:r>
              <w:rPr>
                <w:rFonts w:ascii="Arial" w:cs="Arial" w:eastAsia="Arial" w:hAnsi="Arial"/>
                <w:sz w:val="18"/>
                <w:szCs w:val="18"/>
                <w:color w:val="auto"/>
                <w:w w:val="96"/>
              </w:rPr>
              <w:t>management to achieve approximately 50% of budgeted operating profit levels. The Committee</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80"/>
              <w:spacing w:after="0"/>
              <w:rPr>
                <w:sz w:val="20"/>
                <w:szCs w:val="20"/>
                <w:color w:val="auto"/>
              </w:rPr>
            </w:pPr>
            <w:r>
              <w:rPr>
                <w:rFonts w:ascii="Arial" w:cs="Arial" w:eastAsia="Arial" w:hAnsi="Arial"/>
                <w:sz w:val="18"/>
                <w:szCs w:val="18"/>
                <w:color w:val="auto"/>
              </w:rPr>
              <w:t>considered achievement of the maximum points to represent a challenging goal given the</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80"/>
              <w:spacing w:after="0"/>
              <w:rPr>
                <w:sz w:val="20"/>
                <w:szCs w:val="20"/>
                <w:color w:val="auto"/>
              </w:rPr>
            </w:pPr>
            <w:r>
              <w:rPr>
                <w:rFonts w:ascii="Arial" w:cs="Arial" w:eastAsia="Arial" w:hAnsi="Arial"/>
                <w:sz w:val="18"/>
                <w:szCs w:val="18"/>
                <w:color w:val="auto"/>
                <w:w w:val="92"/>
              </w:rPr>
              <w:t>anticipated impact of very depressed economic conditions in our concrete and aggregates markets.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7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40"/>
        </w:trPr>
        <w:tc>
          <w:tcPr>
            <w:tcW w:w="744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Maximum</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49"/>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Goal</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Points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Points</w:t>
            </w:r>
          </w:p>
        </w:tc>
        <w:tc>
          <w:tcPr>
            <w:tcW w:w="0" w:type="dxa"/>
            <w:vAlign w:val="bottom"/>
          </w:tcPr>
          <w:p>
            <w:pPr>
              <w:spacing w:after="0"/>
              <w:rPr>
                <w:sz w:val="1"/>
                <w:szCs w:val="1"/>
                <w:color w:val="auto"/>
              </w:rPr>
            </w:pPr>
          </w:p>
        </w:tc>
      </w:tr>
      <w:tr>
        <w:trPr>
          <w:trHeight w:val="148"/>
        </w:trPr>
        <w:tc>
          <w:tcPr>
            <w:tcW w:w="7440" w:type="dxa"/>
            <w:vAlign w:val="bottom"/>
            <w:vMerge w:val="continue"/>
          </w:tcPr>
          <w:p>
            <w:pPr>
              <w:spacing w:after="0"/>
              <w:rPr>
                <w:sz w:val="12"/>
                <w:szCs w:val="12"/>
                <w:color w:val="auto"/>
              </w:rPr>
            </w:pPr>
          </w:p>
        </w:tc>
        <w:tc>
          <w:tcPr>
            <w:tcW w:w="11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79"/>
              </w:rPr>
              <w:t>Possible</w:t>
            </w:r>
          </w:p>
        </w:tc>
        <w:tc>
          <w:tcPr>
            <w:tcW w:w="4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Earned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-539750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1780" w:space="560"/>
            <w:col w:w="90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ARFR at American</w:t>
            </w:r>
          </w:p>
        </w:tc>
        <w:tc>
          <w:tcPr>
            <w:tcW w:w="7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Goal set so that maximum points would require management to match the prior year’s superior</w:t>
            </w: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Gypsum Company for fiscal</w:t>
            </w: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1"/>
              </w:rPr>
              <w:t>performance. Threshold level of performance (5 points) would require management to substantially</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4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outperform the industry average.</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340" w:type="dxa"/>
            <w:vAlign w:val="bottom"/>
            <w:gridSpan w:val="3"/>
          </w:tcPr>
          <w:p>
            <w:pPr>
              <w:spacing w:after="0"/>
              <w:rPr>
                <w:sz w:val="20"/>
                <w:szCs w:val="20"/>
                <w:color w:val="auto"/>
              </w:rPr>
            </w:pPr>
            <w:r>
              <w:rPr>
                <w:rFonts w:ascii="Arial" w:cs="Arial" w:eastAsia="Arial" w:hAnsi="Arial"/>
                <w:sz w:val="18"/>
                <w:szCs w:val="18"/>
                <w:color w:val="auto"/>
              </w:rPr>
              <w:t>Plant Efficiency at</w:t>
            </w:r>
          </w:p>
        </w:tc>
        <w:tc>
          <w:tcPr>
            <w:tcW w:w="7200" w:type="dxa"/>
            <w:vAlign w:val="bottom"/>
          </w:tcPr>
          <w:p>
            <w:pPr>
              <w:spacing w:after="0"/>
              <w:rPr>
                <w:sz w:val="20"/>
                <w:szCs w:val="20"/>
                <w:color w:val="auto"/>
              </w:rPr>
            </w:pPr>
            <w:r>
              <w:rPr>
                <w:rFonts w:ascii="Arial" w:cs="Arial" w:eastAsia="Arial" w:hAnsi="Arial"/>
                <w:sz w:val="18"/>
                <w:szCs w:val="18"/>
                <w:color w:val="auto"/>
                <w:w w:val="91"/>
              </w:rPr>
              <w:t>Goal set so that maximum points would require management to exceed fiscal 2011 budgeted plant</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American Gypsum</w:t>
            </w:r>
          </w:p>
        </w:tc>
        <w:tc>
          <w:tcPr>
            <w:tcW w:w="7200" w:type="dxa"/>
            <w:vAlign w:val="bottom"/>
          </w:tcPr>
          <w:p>
            <w:pPr>
              <w:spacing w:after="0"/>
              <w:rPr>
                <w:sz w:val="20"/>
                <w:szCs w:val="20"/>
                <w:color w:val="auto"/>
              </w:rPr>
            </w:pPr>
            <w:r>
              <w:rPr>
                <w:rFonts w:ascii="Arial" w:cs="Arial" w:eastAsia="Arial" w:hAnsi="Arial"/>
                <w:sz w:val="18"/>
                <w:szCs w:val="18"/>
                <w:color w:val="auto"/>
                <w:w w:val="90"/>
              </w:rPr>
              <w:t>efficiency. Threshold level of performance (7.5 points) would require management to outperform the</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rPr>
              <w:t>Company for fiscal 2011</w:t>
            </w:r>
          </w:p>
        </w:tc>
        <w:tc>
          <w:tcPr>
            <w:tcW w:w="7200" w:type="dxa"/>
            <w:vAlign w:val="bottom"/>
          </w:tcPr>
          <w:p>
            <w:pPr>
              <w:spacing w:after="0"/>
              <w:rPr>
                <w:sz w:val="20"/>
                <w:szCs w:val="20"/>
                <w:color w:val="auto"/>
              </w:rPr>
            </w:pPr>
            <w:r>
              <w:rPr>
                <w:rFonts w:ascii="Arial" w:cs="Arial" w:eastAsia="Arial" w:hAnsi="Arial"/>
                <w:sz w:val="18"/>
                <w:szCs w:val="18"/>
                <w:color w:val="auto"/>
              </w:rPr>
              <w:t>industry average.</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37.5</w:t>
            </w:r>
          </w:p>
        </w:tc>
        <w:tc>
          <w:tcPr>
            <w:tcW w:w="4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for</w:t>
            </w: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87"/>
              </w:rPr>
              <w:t>Goal set so that maximum points would require management to exceed fiscal 2011 budgeted operating</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Gypsum</w:t>
            </w: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0"/>
              </w:rPr>
              <w:t>profit levels. Threshold level of performance (7.5 points) would require management to achieve 56%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in fiscal 2011</w:t>
            </w: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90"/>
              </w:rPr>
              <w:t>of fiscal 2011 budgeted operating profit levels. The Committee considered achievement of the target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w w:val="89"/>
              </w:rPr>
              <w:t>to represent a very aggressive goal given the anticipated impact of depressed economic conditions in</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our market for wallboard.</w:t>
            </w:r>
          </w:p>
        </w:tc>
        <w:tc>
          <w:tcPr>
            <w:tcW w:w="3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4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0" w:type="dxa"/>
            <w:vAlign w:val="bottom"/>
          </w:tcPr>
          <w:p>
            <w:pPr>
              <w:ind w:left="328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Paperboard</w:t>
            </w:r>
          </w:p>
        </w:tc>
        <w:tc>
          <w:tcPr>
            <w:tcW w:w="2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2"/>
              </w:rPr>
              <w:t>Maximum</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35"/>
        </w:trPr>
        <w:tc>
          <w:tcPr>
            <w:tcW w:w="21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600"/>
              <w:spacing w:after="0" w:line="135" w:lineRule="exact"/>
              <w:rPr>
                <w:sz w:val="20"/>
                <w:szCs w:val="20"/>
                <w:color w:val="auto"/>
              </w:rPr>
            </w:pPr>
            <w:r>
              <w:rPr>
                <w:rFonts w:ascii="Arial" w:cs="Arial" w:eastAsia="Arial" w:hAnsi="Arial"/>
                <w:sz w:val="14"/>
                <w:szCs w:val="14"/>
                <w:b w:val="1"/>
                <w:bCs w:val="1"/>
                <w:color w:val="auto"/>
                <w:w w:val="84"/>
              </w:rPr>
              <w:t>Points</w:t>
            </w:r>
          </w:p>
        </w:tc>
        <w:tc>
          <w:tcPr>
            <w:tcW w:w="5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Points</w:t>
            </w:r>
          </w:p>
        </w:tc>
        <w:tc>
          <w:tcPr>
            <w:tcW w:w="0" w:type="dxa"/>
            <w:vAlign w:val="bottom"/>
          </w:tcPr>
          <w:p>
            <w:pPr>
              <w:spacing w:after="0"/>
              <w:rPr>
                <w:sz w:val="1"/>
                <w:szCs w:val="1"/>
                <w:color w:val="auto"/>
              </w:rPr>
            </w:pPr>
          </w:p>
        </w:tc>
      </w:tr>
      <w:tr>
        <w:trPr>
          <w:trHeight w:val="161"/>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Performance Metrics</w:t>
            </w:r>
          </w:p>
        </w:tc>
        <w:tc>
          <w:tcPr>
            <w:tcW w:w="26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4"/>
                <w:szCs w:val="14"/>
                <w:b w:val="1"/>
                <w:bCs w:val="1"/>
                <w:color w:val="auto"/>
              </w:rPr>
              <w:t>Goal</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79"/>
              </w:rPr>
              <w:t>Possible</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ARFR at Republic</w:t>
            </w:r>
          </w:p>
        </w:tc>
        <w:tc>
          <w:tcPr>
            <w:tcW w:w="260" w:type="dxa"/>
            <w:vAlign w:val="bottom"/>
            <w:tcBorders>
              <w:right w:val="single" w:sz="8" w:color="CCEEFF"/>
            </w:tcBorders>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2"/>
              </w:rPr>
              <w:t>Goal set so that maximum points would require management to match the prior year’s superior</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Paperboard Company for</w:t>
            </w:r>
          </w:p>
        </w:tc>
        <w:tc>
          <w:tcPr>
            <w:tcW w:w="260" w:type="dxa"/>
            <w:vAlign w:val="bottom"/>
            <w:tcBorders>
              <w:right w:val="single" w:sz="8" w:color="CCEEFF"/>
            </w:tcBorders>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performance. Threshold level of performance (5 points) would require management to</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260" w:type="dxa"/>
            <w:vAlign w:val="bottom"/>
            <w:tcBorders>
              <w:right w:val="single" w:sz="8" w:color="CCEEFF"/>
            </w:tcBorders>
            <w:shd w:val="clear" w:color="auto" w:fill="CCEEFF"/>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substantially outperform the industry average.</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120" w:type="dxa"/>
            <w:vAlign w:val="bottom"/>
            <w:gridSpan w:val="3"/>
          </w:tcPr>
          <w:p>
            <w:pPr>
              <w:spacing w:after="0"/>
              <w:rPr>
                <w:sz w:val="20"/>
                <w:szCs w:val="20"/>
                <w:color w:val="auto"/>
              </w:rPr>
            </w:pPr>
            <w:r>
              <w:rPr>
                <w:rFonts w:ascii="Arial" w:cs="Arial" w:eastAsia="Arial" w:hAnsi="Arial"/>
                <w:sz w:val="18"/>
                <w:szCs w:val="18"/>
                <w:color w:val="auto"/>
              </w:rPr>
              <w:t>Plant Efficiency at</w:t>
            </w:r>
          </w:p>
        </w:tc>
        <w:tc>
          <w:tcPr>
            <w:tcW w:w="260" w:type="dxa"/>
            <w:vAlign w:val="bottom"/>
          </w:tcPr>
          <w:p>
            <w:pPr>
              <w:spacing w:after="0"/>
              <w:rPr>
                <w:sz w:val="24"/>
                <w:szCs w:val="24"/>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0"/>
              </w:rPr>
              <w:t>Goal set so that maximum points would require management to significantly outperform the prior</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8"/>
                <w:szCs w:val="18"/>
                <w:color w:val="auto"/>
              </w:rPr>
              <w:t>Republic Paperboard</w:t>
            </w:r>
          </w:p>
        </w:tc>
        <w:tc>
          <w:tcPr>
            <w:tcW w:w="26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7"/>
              </w:rPr>
              <w:t>year’s results. Threshold level of performance (5 points) would require meeting fiscal 2011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20" w:type="dxa"/>
            <w:vAlign w:val="bottom"/>
            <w:gridSpan w:val="3"/>
          </w:tcPr>
          <w:p>
            <w:pPr>
              <w:spacing w:after="0"/>
              <w:rPr>
                <w:sz w:val="20"/>
                <w:szCs w:val="20"/>
                <w:color w:val="auto"/>
              </w:rPr>
            </w:pPr>
            <w:r>
              <w:rPr>
                <w:rFonts w:ascii="Arial" w:cs="Arial" w:eastAsia="Arial" w:hAnsi="Arial"/>
                <w:sz w:val="18"/>
                <w:szCs w:val="18"/>
                <w:color w:val="auto"/>
              </w:rPr>
              <w:t>Company for fiscal 2011</w:t>
            </w:r>
          </w:p>
        </w:tc>
        <w:tc>
          <w:tcPr>
            <w:tcW w:w="26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budgeted levels.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for</w:t>
            </w:r>
          </w:p>
        </w:tc>
        <w:tc>
          <w:tcPr>
            <w:tcW w:w="260" w:type="dxa"/>
            <w:vAlign w:val="bottom"/>
            <w:tcBorders>
              <w:right w:val="single" w:sz="8" w:color="CCEEFF"/>
            </w:tcBorders>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6"/>
              </w:rPr>
              <w:t>Goal set so that maximum points would require management to achieve 93% of fiscal 2011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Republic Paperboard</w:t>
            </w:r>
          </w:p>
        </w:tc>
        <w:tc>
          <w:tcPr>
            <w:tcW w:w="260" w:type="dxa"/>
            <w:vAlign w:val="bottom"/>
            <w:tcBorders>
              <w:right w:val="single" w:sz="8" w:color="CCEEFF"/>
            </w:tcBorders>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7"/>
              </w:rPr>
              <w:t>budgeted operating profit levels. Threshold level of performance (10 points) would require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in fiscal 2011</w:t>
            </w:r>
          </w:p>
        </w:tc>
        <w:tc>
          <w:tcPr>
            <w:tcW w:w="260" w:type="dxa"/>
            <w:vAlign w:val="bottom"/>
            <w:tcBorders>
              <w:right w:val="single" w:sz="8" w:color="CCEEFF"/>
            </w:tcBorders>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4"/>
              </w:rPr>
              <w:t>management to achieve 81% of fiscal 2011 budgeted operating profit levels. The Committee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89"/>
              </w:rPr>
              <w:t>considered achievement of the target to represent an aggressive goal given the anticipated impact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of depressed economic conditions.</w:t>
            </w:r>
          </w:p>
        </w:tc>
        <w:tc>
          <w:tcPr>
            <w:tcW w:w="420" w:type="dxa"/>
            <w:vAlign w:val="bottom"/>
            <w:gridSpan w:val="2"/>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Maximum</w:t>
            </w: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35"/>
        </w:trPr>
        <w:tc>
          <w:tcPr>
            <w:tcW w:w="21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Points</w:t>
            </w:r>
          </w:p>
        </w:tc>
        <w:tc>
          <w:tcPr>
            <w:tcW w:w="5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Points</w:t>
            </w:r>
          </w:p>
        </w:tc>
        <w:tc>
          <w:tcPr>
            <w:tcW w:w="0" w:type="dxa"/>
            <w:vAlign w:val="bottom"/>
          </w:tcPr>
          <w:p>
            <w:pPr>
              <w:spacing w:after="0"/>
              <w:rPr>
                <w:sz w:val="1"/>
                <w:szCs w:val="1"/>
                <w:color w:val="auto"/>
              </w:rPr>
            </w:pPr>
          </w:p>
        </w:tc>
      </w:tr>
      <w:tr>
        <w:trPr>
          <w:trHeight w:val="161"/>
        </w:trPr>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Performance Metrics</w:t>
            </w:r>
          </w:p>
        </w:tc>
        <w:tc>
          <w:tcPr>
            <w:tcW w:w="7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Goal</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79"/>
              </w:rPr>
              <w:t>Possible</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9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Compliance with Financial</w:t>
            </w: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Goal set so that compliance earned all available points. The Committee considered achievement of</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Covenants in</w:t>
            </w: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this goal to require prudent cash flow management over the course of a challenging year.</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Loan Agreements at end of</w:t>
            </w:r>
          </w:p>
        </w:tc>
        <w:tc>
          <w:tcPr>
            <w:tcW w:w="260" w:type="dxa"/>
            <w:vAlign w:val="bottom"/>
            <w:tcBorders>
              <w:right w:val="single" w:sz="8" w:color="CCEEFF"/>
            </w:tcBorders>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260" w:type="dxa"/>
            <w:vAlign w:val="bottom"/>
            <w:tcBorders>
              <w:right w:val="single" w:sz="8" w:color="CCEEFF"/>
            </w:tcBorders>
            <w:shd w:val="clear" w:color="auto" w:fill="CCEEFF"/>
          </w:tcPr>
          <w:p>
            <w:pPr>
              <w:spacing w:after="0"/>
              <w:rPr>
                <w:sz w:val="19"/>
                <w:szCs w:val="19"/>
                <w:color w:val="auto"/>
              </w:rPr>
            </w:pPr>
          </w:p>
        </w:tc>
        <w:tc>
          <w:tcPr>
            <w:tcW w:w="6980" w:type="dxa"/>
            <w:vAlign w:val="bottom"/>
            <w:shd w:val="clear" w:color="auto" w:fill="CCEEFF"/>
          </w:tcPr>
          <w:p>
            <w:pPr>
              <w:spacing w:after="0"/>
              <w:rPr>
                <w:sz w:val="19"/>
                <w:szCs w:val="19"/>
                <w:color w:val="auto"/>
              </w:rPr>
            </w:pPr>
          </w:p>
        </w:tc>
        <w:tc>
          <w:tcPr>
            <w:tcW w:w="154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120" w:type="dxa"/>
            <w:vAlign w:val="bottom"/>
            <w:gridSpan w:val="3"/>
          </w:tcPr>
          <w:p>
            <w:pPr>
              <w:spacing w:after="0"/>
              <w:rPr>
                <w:sz w:val="20"/>
                <w:szCs w:val="20"/>
                <w:color w:val="auto"/>
              </w:rPr>
            </w:pPr>
            <w:r>
              <w:rPr>
                <w:rFonts w:ascii="Arial" w:cs="Arial" w:eastAsia="Arial" w:hAnsi="Arial"/>
                <w:sz w:val="18"/>
                <w:szCs w:val="18"/>
                <w:color w:val="auto"/>
              </w:rPr>
              <w:t>Accounting Performance</w:t>
            </w: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w w:val="90"/>
              </w:rPr>
              <w:t>Achievement of the goal required management to continue to have a detailed focus on accounting</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20" w:type="dxa"/>
            <w:vAlign w:val="bottom"/>
            <w:gridSpan w:val="3"/>
          </w:tcPr>
          <w:p>
            <w:pPr>
              <w:spacing w:after="0"/>
              <w:rPr>
                <w:sz w:val="20"/>
                <w:szCs w:val="20"/>
                <w:color w:val="auto"/>
              </w:rPr>
            </w:pPr>
            <w:r>
              <w:rPr>
                <w:rFonts w:ascii="Arial" w:cs="Arial" w:eastAsia="Arial" w:hAnsi="Arial"/>
                <w:sz w:val="18"/>
                <w:szCs w:val="18"/>
                <w:color w:val="auto"/>
              </w:rPr>
              <w:t>during fiscal 2011</w:t>
            </w:r>
          </w:p>
        </w:tc>
        <w:tc>
          <w:tcPr>
            <w:tcW w:w="7240" w:type="dxa"/>
            <w:vAlign w:val="bottom"/>
            <w:gridSpan w:val="2"/>
          </w:tcPr>
          <w:p>
            <w:pPr>
              <w:ind w:left="200"/>
              <w:spacing w:after="0"/>
              <w:rPr>
                <w:sz w:val="20"/>
                <w:szCs w:val="20"/>
                <w:color w:val="auto"/>
              </w:rPr>
            </w:pPr>
            <w:r>
              <w:rPr>
                <w:rFonts w:ascii="Arial" w:cs="Arial" w:eastAsia="Arial" w:hAnsi="Arial"/>
                <w:sz w:val="18"/>
                <w:szCs w:val="18"/>
                <w:color w:val="auto"/>
              </w:rPr>
              <w:t>practices.</w:t>
            </w:r>
          </w:p>
        </w:tc>
        <w:tc>
          <w:tcPr>
            <w:tcW w:w="1540" w:type="dxa"/>
            <w:vAlign w:val="bottom"/>
            <w:gridSpan w:val="6"/>
          </w:tcPr>
          <w:p>
            <w:pPr>
              <w:jc w:val="right"/>
              <w:ind w:right="420"/>
              <w:spacing w:after="0"/>
              <w:rPr>
                <w:sz w:val="20"/>
                <w:szCs w:val="20"/>
                <w:color w:val="auto"/>
              </w:rPr>
            </w:pPr>
            <w:r>
              <w:rPr>
                <w:rFonts w:ascii="Arial" w:cs="Arial" w:eastAsia="Arial" w:hAnsi="Arial"/>
                <w:sz w:val="18"/>
                <w:szCs w:val="18"/>
                <w:color w:val="auto"/>
              </w:rPr>
              <w:t>25</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 Capitalization</w:t>
            </w: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Goal set so that maximum points would require management to outperform the prior year’s results.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Eagle Materials</w:t>
            </w: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Threshold level of performance (10 points) would be at the high end of the Compensation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 at end of fiscal 2011</w:t>
            </w:r>
          </w:p>
        </w:tc>
        <w:tc>
          <w:tcPr>
            <w:tcW w:w="7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Committee’s targeted capital structure for a cyclical commodity business.</w:t>
            </w:r>
          </w:p>
        </w:tc>
        <w:tc>
          <w:tcPr>
            <w:tcW w:w="500" w:type="dxa"/>
            <w:vAlign w:val="bottom"/>
            <w:gridSpan w:val="3"/>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540" w:type="dxa"/>
            <w:vAlign w:val="bottom"/>
            <w:gridSpan w:val="6"/>
          </w:tcPr>
          <w:p>
            <w:pPr>
              <w:jc w:val="right"/>
              <w:ind w:right="420"/>
              <w:spacing w:after="0"/>
              <w:rPr>
                <w:sz w:val="20"/>
                <w:szCs w:val="20"/>
                <w:color w:val="auto"/>
              </w:rPr>
            </w:pPr>
            <w:r>
              <w:rPr>
                <w:rFonts w:ascii="Arial" w:cs="Arial" w:eastAsia="Arial" w:hAnsi="Arial"/>
                <w:sz w:val="18"/>
                <w:szCs w:val="18"/>
                <w:color w:val="auto"/>
              </w:rPr>
              <w:t>100</w:t>
            </w:r>
          </w:p>
        </w:tc>
        <w:tc>
          <w:tcPr>
            <w:tcW w:w="42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terms and conditions of the stock options are substantially the same as the stock option grants in fiscal 2009, except that: (i) the performance criteria applicable to such options were as described above; (ii) the term of the stock options is for 10 years; and (iii) stock options earned at the end of fiscal 2011 will become exercisable one-third immediately and one-third on each of the next two anniversaries. The terms and conditions of the RSUs are substantially the same as the restricted stock unit grants in fiscal 2009, except that the performance criteria applicable to such RSUs were as described above and any restricted stock units earned at the end of fiscal 2011 will vest one-third immediately and one-third on each of the next two anniversaries. Any stock options or RSUs that are not earned at the end of fiscal 2011 were to be forfeited. As in the case of prior equity awards, the stock options and RSUs will also vest upon a change in control of the Company. See “Change in Control Benefits” below. In accordance with the terms of the Company’s Incentive Plan in effect on the date of grant, the exercise price of the stock options is the average of the high and low price of the Company’s Common Stock on the date of grant, May 18, 2010 ($30.735).</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number of option shares granted to our Named Executive Officers was determined by valuing the options on the date of grant using the Black-Scholes method. The number of RSUs granted was determined by reference to the market price of our Common Stock on the date of grant. The aggregate value of the options and RSUs granted to each Named Executive Officer (that is, the maximum value assuming 100% vesting of the award) was a value generally in line with the median of long-term compensation at similar positions in our direct peer group, several of whom do not subject such awards to performance vesting criteria. The value granted was allocated approximately 25% to stock options and 75% to RSUs. The values were determined by the Compensation Committee (with input from Mr. Rowley on all individuals other than himself) based on the benchmarking study, the Compensation Committee’s assessment of the executive’s importance and contribution to the organization, and the executive’s level of responsibility. The following table shows the stock options and RSUs granted to each of the Named Executive Officers in fiscal 2011:</w:t>
      </w:r>
    </w:p>
    <w:p>
      <w:pPr>
        <w:sectPr>
          <w:pgSz w:w="11900" w:h="16838" w:orient="portrait"/>
          <w:cols w:equalWidth="0" w:num="1">
            <w:col w:w="11420"/>
          </w:cols>
          <w:pgMar w:left="240" w:top="459" w:right="239" w:bottom="1440" w:gutter="0" w:footer="0" w:header="0"/>
        </w:sectPr>
      </w:pPr>
    </w:p>
    <w:bookmarkStart w:id="33" w:name="page34"/>
    <w:bookmarkEnd w:id="33"/>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c>
          <w:tcPr>
            <w:tcW w:w="6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Stock</w:t>
            </w:r>
          </w:p>
        </w:tc>
        <w:tc>
          <w:tcPr>
            <w:tcW w:w="6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90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Options</w:t>
            </w:r>
          </w:p>
        </w:tc>
        <w:tc>
          <w:tcPr>
            <w:tcW w:w="66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11,750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11,750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900" w:type="dxa"/>
            <w:vAlign w:val="bottom"/>
          </w:tcPr>
          <w:p>
            <w:pPr>
              <w:jc w:val="right"/>
              <w:ind w:right="2155"/>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17"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 May 2011, the Compensation Committee certified that, based on the vesting criteria described above, the following percentage of the stock options and RSUs granted on May 18, 2010 were earned: Messrs. Rowley, Kesler, Graass and Stewart earned 75.1%; and Mr. Essl earned 85.96%. One-third of such earned stock options and RSUs were vested upon the vesting determination in May 2011, and one-third of the remaining earned amounts will vest on March 31, 2012 and March 31, 2013, respectively (in each case assuming continued service through such dates). The unearned stock options and RSUs were forfeited.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“Hold to Retirement” Grant</w:t>
      </w:r>
    </w:p>
    <w:p>
      <w:pPr>
        <w:spacing w:after="0" w:line="90"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On May 18, 2010, the Compensation Committee also approved restricted stock awards under the Incentive Plan to a group of its key employees, including its Named Executive Officers. The awards were intended to enhance retention of key employees and are comprised of restricted stock which vest based upon:</w:t>
      </w:r>
    </w:p>
    <w:p>
      <w:pPr>
        <w:ind w:right="60" w:firstLine="8"/>
        <w:spacing w:after="0" w:line="253" w:lineRule="auto"/>
        <w:tabs>
          <w:tab w:leader="none" w:pos="2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achievement by the Company of an average return on equity for the ten years ended March 31, 2011 in excess of 17.25%; and (ii) the employee’s holding the award until he/she satisfies the requirements for “retirement,” as defined in the award agreement. The restricted stock award was structured to enhance retention of key employees. At the time of grant, assuming satisfaction of the initial vesting hurdle, “retirement” is estimated to occur for each Named Executive Officer on dates ranging from 4 to 15 years after the date of grant, with an overall weighted average period until retirement of 8.2 years from the date of grant for the entire key employee group.</w:t>
      </w:r>
    </w:p>
    <w:p>
      <w:pPr>
        <w:spacing w:after="0" w:line="1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terms and conditions of the restricted stock are be substantially the same as restricted stock grants made in the past (including the restricted stock agreement filed as Exhibit 10.6 to the Company’s Quarterly Report on Form 10-Q filed with the Securities and Exchange Commission on August 8, 2008), except that the performance criterion was as described above and vesting of earned shares is to occur upon death or disability of the employee. Any shares of restricted stock that were not earned at the end of fiscal 2011 were to be forfeited. As in the case of prior equity awards, the restricted stock will also vest upon a change in control of the Company. See “Change in Control Benefits”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restricted stock granted to our Named Executive Officers was determined by the Compensation Committee (with input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Rowley on all individuals other than himself) based on the benchmarking study’s analysis of retirement benefits, the Compensation Committee’s assessment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executive’s importance and contribution to the Company, and the executive’s level of responsibility. The following table shows the restricted stock granted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each of the Company’s Named Executive Officers on May 18, 2010:</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 April 2011, the Compensation Committee certified that 100% of the restricted stock was earned, based on the Company’s 17.45% average return on equity for the ten years ended March 31, 2011. The Company estimates that, assuming continued employment with the Company and its affiliates, the “retirement” definition will be attained and the restricted stock grant will fully vest for the Named Executive Officers as follows: Mr. Rowley (April 1, 2016); Mr. Kesler (May 18, 2025); Mr. Essl (September 20, 2014); Mr. Robert Stewart (August 18, 2018); and Mr. Graass (July 15, 2016).</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Profit Sharing and Retirement Plan</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$16,500), employee after-tax contributions of up to 10% of base salary and, if the participant is at least age 50, “catch-up contributions” up to the statutory limit under Internal Revenue Code Section 414(v) (currently $5,500). In addition, the PSRP provides for a discretionary employer profit sharing contribution that is allocated to a participant based on the ratio that the sum of the participant’s “total points” bears to the total points of all participants. For this purpose, a participant is given one point for each year of vested service and one point for each $100 of base salary for the year. Annual incentive bonuses paid to participants are not included in the definition of “base salary” for purposes of calculating the amount of pre-tax, after-tax or profit sharing contributions to the PSRP. Participants are fully vested to the extent of their pre-tax and after-tax contributions and become vested in the employer profit sharing contribution over a six-year period (i.e., 20% per year beginning with the second year of service). Prior to fiscal 2008, employer profit sharing contributions vested over a seven-year period, but changes in tax laws led to the shorter current vesting period. All of the Named Executive Officers (other than Mr. Robert Stewart) have been employed by the Company or our affiliates long enough to be fully vested. Participants are entitled to direct the investment of contributions made to the PSRP on their behalf in various investment funds, including up to 15% in a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2011 are reflected in the Summary Compensation Table located on page 32 of this proxy statement. A list of the investment funds provided under the PSRP is provided in the footnotes to the Nonqualified Deferred Compensation Table located on page 39 of this proxy statement.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SERP</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PSRP. Internal Revenue Code Section 401(a)(17) limits the amount of annual compensation (currently $245,000)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(other than Mr. Robert Stewart) have been employed by the Company or our affiliates long enough to be fully vested. Employer contributions to the SERP of our Named Executive Officers in fiscal 2011 are reflected in the Summary Compensation Table located on page 32 of this proxy statement. A list of the investment funds provided under the PSRP is provided in the footnotes to the Nonqualified Deferred Compensation Table located on page 39 of this proxy statement.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Salary Continuation Plan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Amounts potentially payable to the beneficiaries of our Named Executive Officers pursuant to the SCP are described in “Potential Payments Upon Termination or Change in Control” beginning on page 40 of this proxy statement.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2011 are reflected in the Summary Compensation Table located on page 32 of this proxy statement.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Equity awards under our Incentive Plan are generally subject to accelerated vesting, without regard to whether any applicable performance criteria have been or will be satisfied, upon the occurrence of a “change in control” as defined in the applicable award agreement. Under the award agreements,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50% of the stock following such transaction is owned by persons or entities who were stockholders of the Company prior to such transaction, (2) following such transaction, no person or entity owns 40% or more of the common stock of the corporation resulting from such transaction, and (3) a least a majority of the members of the resulting corporation’s board of directors were members of our Board. If a change in control occurs, any unvested outstanding stock options, restricted stock or restricted stock units would generally become immediately fully vested, and, in the case of stock options, exercisable or, the case of RSUs, payable, in each case without regard to whether any applicable performance criteria have been or will be satisfied. See “Potential Payments Upon Termination or Change in Control” on page 40 of this proxy statement. We believe the provision of these change in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in control event and thereby realize the value created at the time of the transaction.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guidelines for the Named Executive Officers are expressed as a multiple of base salary as set forth below:</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Multiple of Salary</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9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Actual Ownership</w:t>
            </w:r>
            <w:r>
              <w:rPr>
                <w:rFonts w:ascii="Arial" w:cs="Arial" w:eastAsia="Arial" w:hAnsi="Arial"/>
                <w:sz w:val="22"/>
                <w:szCs w:val="22"/>
                <w:b w:val="1"/>
                <w:bCs w:val="1"/>
                <w:color w:val="auto"/>
                <w:w w:val="91"/>
                <w:vertAlign w:val="superscript"/>
              </w:rPr>
              <w:t>(2)</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86"/>
              </w:rPr>
              <w:t>Ownership Guidelines</w:t>
            </w:r>
          </w:p>
        </w:tc>
        <w:tc>
          <w:tcPr>
            <w:tcW w:w="92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2"/>
              </w:rPr>
              <w:t>of Common Stock</w:t>
            </w:r>
            <w:r>
              <w:rPr>
                <w:rFonts w:ascii="Arial" w:cs="Arial" w:eastAsia="Arial" w:hAnsi="Arial"/>
                <w:sz w:val="20"/>
                <w:szCs w:val="20"/>
                <w:b w:val="1"/>
                <w:bCs w:val="1"/>
                <w:color w:val="auto"/>
                <w:w w:val="92"/>
                <w:vertAlign w:val="superscript"/>
              </w:rPr>
              <w:t>(1)</w:t>
            </w:r>
          </w:p>
        </w:tc>
        <w:tc>
          <w:tcPr>
            <w:tcW w:w="9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22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5X</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220" w:type="dxa"/>
            <w:vAlign w:val="bottom"/>
            <w:gridSpan w:val="2"/>
          </w:tcPr>
          <w:p>
            <w:pPr>
              <w:jc w:val="right"/>
              <w:ind w:right="920"/>
              <w:spacing w:after="0"/>
              <w:rPr>
                <w:sz w:val="20"/>
                <w:szCs w:val="20"/>
                <w:color w:val="auto"/>
              </w:rPr>
            </w:pPr>
            <w:r>
              <w:rPr>
                <w:rFonts w:ascii="Arial" w:cs="Arial" w:eastAsia="Arial" w:hAnsi="Arial"/>
                <w:sz w:val="18"/>
                <w:szCs w:val="18"/>
                <w:color w:val="auto"/>
              </w:rPr>
              <w:t>3X</w:t>
            </w:r>
          </w:p>
        </w:tc>
        <w:tc>
          <w:tcPr>
            <w:tcW w:w="1200" w:type="dxa"/>
            <w:vAlign w:val="bottom"/>
          </w:tcPr>
          <w:p>
            <w:pPr>
              <w:jc w:val="right"/>
              <w:spacing w:after="0"/>
              <w:rPr>
                <w:sz w:val="20"/>
                <w:szCs w:val="20"/>
                <w:color w:val="auto"/>
              </w:rPr>
            </w:pPr>
            <w:r>
              <w:rPr>
                <w:rFonts w:ascii="Arial" w:cs="Arial" w:eastAsia="Arial" w:hAnsi="Arial"/>
                <w:sz w:val="18"/>
                <w:szCs w:val="18"/>
                <w:color w:val="auto"/>
              </w:rPr>
              <w:t>26,900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36,714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22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3X</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2220" w:type="dxa"/>
            <w:vAlign w:val="bottom"/>
            <w:gridSpan w:val="2"/>
          </w:tcPr>
          <w:p>
            <w:pPr>
              <w:jc w:val="right"/>
              <w:ind w:right="920"/>
              <w:spacing w:after="0"/>
              <w:rPr>
                <w:sz w:val="20"/>
                <w:szCs w:val="20"/>
                <w:color w:val="auto"/>
              </w:rPr>
            </w:pPr>
            <w:r>
              <w:rPr>
                <w:rFonts w:ascii="Arial" w:cs="Arial" w:eastAsia="Arial" w:hAnsi="Arial"/>
                <w:sz w:val="18"/>
                <w:szCs w:val="18"/>
                <w:color w:val="auto"/>
              </w:rPr>
              <w:t>3X</w:t>
            </w:r>
          </w:p>
        </w:tc>
        <w:tc>
          <w:tcPr>
            <w:tcW w:w="1200" w:type="dxa"/>
            <w:vAlign w:val="bottom"/>
          </w:tcPr>
          <w:p>
            <w:pPr>
              <w:jc w:val="right"/>
              <w:spacing w:after="0"/>
              <w:rPr>
                <w:sz w:val="20"/>
                <w:szCs w:val="20"/>
                <w:color w:val="auto"/>
              </w:rPr>
            </w:pPr>
            <w:r>
              <w:rPr>
                <w:rFonts w:ascii="Arial" w:cs="Arial" w:eastAsia="Arial" w:hAnsi="Arial"/>
                <w:sz w:val="18"/>
                <w:szCs w:val="18"/>
                <w:color w:val="auto"/>
              </w:rPr>
              <w:t>37,600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31,563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22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3X</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160" w:hanging="452"/>
        <w:spacing w:after="0" w:line="239"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ind w:left="460" w:hanging="452"/>
        <w:spacing w:after="0" w:line="205"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Types of ownership counted toward the guidelines include the following:</w:t>
      </w:r>
    </w:p>
    <w:p>
      <w:pPr>
        <w:spacing w:after="0" w:line="74" w:lineRule="exact"/>
        <w:rPr>
          <w:rFonts w:ascii="Arial" w:cs="Arial" w:eastAsia="Arial" w:hAnsi="Arial"/>
          <w:sz w:val="22"/>
          <w:szCs w:val="22"/>
          <w:color w:val="auto"/>
          <w:vertAlign w:val="superscript"/>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Stock holdings in our PSRP;</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Direct holdings;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Indirect holdings, such as shares owned by a family member residing in the same household;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Shares represented by restricted stock or earned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-1454785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or we anticipate that all such officers will achieve, their stock ownership goal within the five-year time frame.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Tax Deductibility of Compensation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 All other compensation paid to the CEO and the other Named Executive Officers was below the limit described above.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summarizes all fiscal 2009, 2010 and 2011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8"/>
          <w:szCs w:val="18"/>
          <w:b w:val="1"/>
          <w:bCs w:val="1"/>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and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Fiscal</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All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Year</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Bonus</w:t>
            </w:r>
            <w:r>
              <w:rPr>
                <w:rFonts w:ascii="Arial" w:cs="Arial" w:eastAsia="Arial" w:hAnsi="Arial"/>
                <w:sz w:val="22"/>
                <w:szCs w:val="22"/>
                <w:b w:val="1"/>
                <w:bCs w:val="1"/>
                <w:color w:val="auto"/>
                <w:w w:val="77"/>
                <w:vertAlign w:val="superscript"/>
              </w:rPr>
              <w:t>(2)</w:t>
            </w:r>
          </w:p>
        </w:tc>
        <w:tc>
          <w:tcPr>
            <w:tcW w:w="28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7"/>
              </w:rPr>
              <w:t>Plan</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w:t>
            </w:r>
          </w:p>
        </w:tc>
        <w:tc>
          <w:tcPr>
            <w:tcW w:w="2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Ended</w:t>
            </w:r>
          </w:p>
        </w:tc>
        <w:tc>
          <w:tcPr>
            <w:tcW w:w="80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ind w:right="260"/>
              <w:spacing w:after="0" w:line="163"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8"/>
                <w:szCs w:val="18"/>
                <w:b w:val="1"/>
                <w:bCs w:val="1"/>
                <w:color w:val="auto"/>
                <w:w w:val="99"/>
                <w:vertAlign w:val="superscript"/>
              </w:rPr>
              <w:t>(3)</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line="163"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8"/>
                <w:szCs w:val="18"/>
                <w:b w:val="1"/>
                <w:bCs w:val="1"/>
                <w:color w:val="auto"/>
                <w:w w:val="99"/>
                <w:vertAlign w:val="superscript"/>
              </w:rPr>
              <w:t>(4)</w:t>
            </w:r>
          </w:p>
        </w:tc>
        <w:tc>
          <w:tcPr>
            <w:tcW w:w="120" w:type="dxa"/>
            <w:vAlign w:val="bottom"/>
          </w:tcPr>
          <w:p>
            <w:pPr>
              <w:spacing w:after="0"/>
              <w:rPr>
                <w:sz w:val="14"/>
                <w:szCs w:val="14"/>
                <w:color w:val="auto"/>
              </w:rPr>
            </w:pPr>
          </w:p>
        </w:tc>
        <w:tc>
          <w:tcPr>
            <w:tcW w:w="1300" w:type="dxa"/>
            <w:vAlign w:val="bottom"/>
            <w:gridSpan w:val="3"/>
          </w:tcPr>
          <w:p>
            <w:pPr>
              <w:jc w:val="center"/>
              <w:ind w:right="300"/>
              <w:spacing w:after="0" w:line="163" w:lineRule="exact"/>
              <w:rPr>
                <w:sz w:val="20"/>
                <w:szCs w:val="20"/>
                <w:color w:val="auto"/>
              </w:rPr>
            </w:pPr>
            <w:r>
              <w:rPr>
                <w:rFonts w:ascii="Arial" w:cs="Arial" w:eastAsia="Arial" w:hAnsi="Arial"/>
                <w:sz w:val="12"/>
                <w:szCs w:val="12"/>
                <w:b w:val="1"/>
                <w:bCs w:val="1"/>
                <w:color w:val="auto"/>
                <w:w w:val="98"/>
              </w:rPr>
              <w:t xml:space="preserve">Compensation </w:t>
            </w:r>
            <w:r>
              <w:rPr>
                <w:rFonts w:ascii="Arial" w:cs="Arial" w:eastAsia="Arial" w:hAnsi="Arial"/>
                <w:sz w:val="18"/>
                <w:szCs w:val="18"/>
                <w:b w:val="1"/>
                <w:bCs w:val="1"/>
                <w:color w:val="auto"/>
                <w:w w:val="98"/>
                <w:vertAlign w:val="superscript"/>
              </w:rPr>
              <w:t>(5)</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4"/>
                <w:szCs w:val="14"/>
                <w:color w:val="auto"/>
              </w:rPr>
            </w:pPr>
          </w:p>
        </w:tc>
        <w:tc>
          <w:tcPr>
            <w:tcW w:w="1120" w:type="dxa"/>
            <w:vAlign w:val="bottom"/>
            <w:gridSpan w:val="3"/>
          </w:tcPr>
          <w:p>
            <w:pPr>
              <w:jc w:val="center"/>
              <w:ind w:right="160"/>
              <w:spacing w:after="0" w:line="163" w:lineRule="exact"/>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8"/>
                <w:szCs w:val="18"/>
                <w:b w:val="1"/>
                <w:bCs w:val="1"/>
                <w:color w:val="auto"/>
                <w:w w:val="97"/>
                <w:vertAlign w:val="superscript"/>
              </w:rPr>
              <w:t>(6)</w:t>
            </w:r>
          </w:p>
        </w:tc>
        <w:tc>
          <w:tcPr>
            <w:tcW w:w="14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March 31,</w:t>
            </w: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center"/>
              <w:ind w:left="213"/>
              <w:spacing w:after="0"/>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4"/>
                <w:szCs w:val="14"/>
                <w:color w:val="auto"/>
              </w:rPr>
            </w:pPr>
          </w:p>
        </w:tc>
        <w:tc>
          <w:tcPr>
            <w:tcW w:w="74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122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Steven R. Rowley,</w:t>
            </w:r>
          </w:p>
        </w:tc>
        <w:tc>
          <w:tcPr>
            <w:tcW w:w="1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80"/>
              <w:spacing w:after="0" w:line="115" w:lineRule="exact"/>
              <w:rPr>
                <w:sz w:val="20"/>
                <w:szCs w:val="20"/>
                <w:color w:val="auto"/>
              </w:rPr>
            </w:pPr>
            <w:r>
              <w:rPr>
                <w:rFonts w:ascii="Arial" w:cs="Arial" w:eastAsia="Arial" w:hAnsi="Arial"/>
                <w:sz w:val="12"/>
                <w:szCs w:val="12"/>
                <w:color w:val="auto"/>
              </w:rPr>
              <w:t>2011</w:t>
            </w:r>
          </w:p>
        </w:tc>
        <w:tc>
          <w:tcPr>
            <w:tcW w:w="800" w:type="dxa"/>
            <w:vAlign w:val="bottom"/>
            <w:gridSpan w:val="2"/>
            <w:shd w:val="clear" w:color="auto" w:fill="CCEEFF"/>
          </w:tcPr>
          <w:p>
            <w:pPr>
              <w:jc w:val="right"/>
              <w:ind w:right="280"/>
              <w:spacing w:after="0" w:line="115" w:lineRule="exact"/>
              <w:rPr>
                <w:sz w:val="20"/>
                <w:szCs w:val="20"/>
                <w:color w:val="auto"/>
              </w:rPr>
            </w:pPr>
            <w:r>
              <w:rPr>
                <w:rFonts w:ascii="Arial" w:cs="Arial" w:eastAsia="Arial" w:hAnsi="Arial"/>
                <w:sz w:val="12"/>
                <w:szCs w:val="12"/>
                <w:color w:val="auto"/>
                <w:w w:val="99"/>
              </w:rPr>
              <w:t>$820,000</w:t>
            </w: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$1,439,638</w:t>
            </w:r>
          </w:p>
        </w:tc>
        <w:tc>
          <w:tcPr>
            <w:tcW w:w="2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  131,125</w:t>
            </w:r>
          </w:p>
        </w:tc>
        <w:tc>
          <w:tcPr>
            <w:tcW w:w="2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line="115" w:lineRule="exact"/>
              <w:rPr>
                <w:sz w:val="20"/>
                <w:szCs w:val="20"/>
                <w:color w:val="auto"/>
              </w:rPr>
            </w:pPr>
            <w:r>
              <w:rPr>
                <w:rFonts w:ascii="Arial" w:cs="Arial" w:eastAsia="Arial" w:hAnsi="Arial"/>
                <w:sz w:val="12"/>
                <w:szCs w:val="12"/>
                <w:color w:val="auto"/>
              </w:rPr>
              <w:t>294,944</w:t>
            </w: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ind w:left="640"/>
              <w:spacing w:after="0" w:line="115"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2"/>
              <w:spacing w:after="0" w:line="115"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line="115" w:lineRule="exact"/>
              <w:rPr>
                <w:sz w:val="20"/>
                <w:szCs w:val="20"/>
                <w:color w:val="auto"/>
              </w:rPr>
            </w:pPr>
            <w:r>
              <w:rPr>
                <w:rFonts w:ascii="Arial" w:cs="Arial" w:eastAsia="Arial" w:hAnsi="Arial"/>
                <w:sz w:val="12"/>
                <w:szCs w:val="12"/>
                <w:color w:val="auto"/>
              </w:rPr>
              <w:t>66,399</w:t>
            </w:r>
          </w:p>
        </w:tc>
        <w:tc>
          <w:tcPr>
            <w:tcW w:w="76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2"/>
                <w:szCs w:val="12"/>
                <w:color w:val="auto"/>
              </w:rPr>
              <w:t>$2,752,106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w w:val="91"/>
              </w:rPr>
              <w:t>President and Chief Executive Officer</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8"/>
              </w:rPr>
              <w:t>800,000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$ 68,366</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291,634</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82,463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1,242,463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2009</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800,000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621,705</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1,285,425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437,293</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116,146</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3,260,569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380" w:type="dxa"/>
            <w:vAlign w:val="bottom"/>
            <w:gridSpan w:val="3"/>
          </w:tcPr>
          <w:p>
            <w:pPr>
              <w:spacing w:after="0" w:line="246" w:lineRule="exact"/>
              <w:rPr>
                <w:sz w:val="20"/>
                <w:szCs w:val="20"/>
                <w:color w:val="auto"/>
              </w:rPr>
            </w:pPr>
            <w:r>
              <w:rPr>
                <w:rFonts w:ascii="Arial" w:cs="Arial" w:eastAsia="Arial" w:hAnsi="Arial"/>
                <w:sz w:val="14"/>
                <w:szCs w:val="14"/>
                <w:color w:val="auto"/>
              </w:rPr>
              <w:t xml:space="preserve">D. Craig Kesler, </w:t>
            </w:r>
            <w:r>
              <w:rPr>
                <w:rFonts w:ascii="Arial" w:cs="Arial" w:eastAsia="Arial" w:hAnsi="Arial"/>
                <w:sz w:val="22"/>
                <w:szCs w:val="22"/>
                <w:color w:val="auto"/>
                <w:vertAlign w:val="superscript"/>
              </w:rPr>
              <w:t>(8)</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2011</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256,250</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468,291</w:t>
            </w: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34,818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110,604</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24,138</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894,101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w w:val="97"/>
              </w:rPr>
              <w:t>Executive Vice President – Finance</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gridSpan w:val="2"/>
          </w:tcPr>
          <w:p>
            <w:pPr>
              <w:ind w:left="420"/>
              <w:spacing w:after="0"/>
              <w:rPr>
                <w:sz w:val="20"/>
                <w:szCs w:val="20"/>
                <w:color w:val="auto"/>
              </w:rPr>
            </w:pPr>
            <w:r>
              <w:rPr>
                <w:rFonts w:ascii="Arial" w:cs="Arial" w:eastAsia="Arial" w:hAnsi="Arial"/>
                <w:sz w:val="14"/>
                <w:szCs w:val="14"/>
                <w:i w:val="1"/>
                <w:iCs w:val="1"/>
                <w:color w:val="auto"/>
              </w:rPr>
              <w:t>and Administration &amp; CFO</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220,433</w:t>
            </w:r>
          </w:p>
        </w:tc>
        <w:tc>
          <w:tcPr>
            <w:tcW w:w="500" w:type="dxa"/>
            <w:vAlign w:val="bottom"/>
          </w:tcPr>
          <w:p>
            <w:pPr>
              <w:jc w:val="right"/>
              <w:spacing w:after="0"/>
              <w:rPr>
                <w:sz w:val="20"/>
                <w:szCs w:val="20"/>
                <w:color w:val="auto"/>
              </w:rPr>
            </w:pPr>
            <w:r>
              <w:rPr>
                <w:rFonts w:ascii="Arial" w:cs="Arial" w:eastAsia="Arial" w:hAnsi="Arial"/>
                <w:sz w:val="14"/>
                <w:szCs w:val="14"/>
                <w:color w:val="auto"/>
              </w:rPr>
              <w:t>40,000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277,100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79,106</w:t>
            </w:r>
          </w:p>
        </w:tc>
        <w:tc>
          <w:tcPr>
            <w:tcW w:w="30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14,371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631,010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3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Gerald J. Essl,</w:t>
            </w:r>
          </w:p>
        </w:tc>
        <w:tc>
          <w:tcPr>
            <w:tcW w:w="1080" w:type="dxa"/>
            <w:vAlign w:val="bottom"/>
            <w:gridSpan w:val="3"/>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2011</w:t>
            </w:r>
          </w:p>
        </w:tc>
        <w:tc>
          <w:tcPr>
            <w:tcW w:w="80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w w:val="98"/>
              </w:rPr>
              <w:t>333,125</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496,768</w:t>
            </w:r>
          </w:p>
        </w:tc>
        <w:tc>
          <w:tcPr>
            <w:tcW w:w="2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43,708</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209,460</w:t>
            </w: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ind w:left="640"/>
              <w:spacing w:after="0" w:line="12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4"/>
                <w:szCs w:val="14"/>
                <w:color w:val="auto"/>
              </w:rPr>
              <w:t>27,590</w:t>
            </w:r>
          </w:p>
        </w:tc>
        <w:tc>
          <w:tcPr>
            <w:tcW w:w="7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1,110,652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Executive Vice President –</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8"/>
              </w:rPr>
              <w:t>325,000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264,120</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20,401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609,521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w w:val="90"/>
              </w:rPr>
              <w:t>Cement/Aggregates and Concrete</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2009</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325,000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110,303</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221,837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415,730</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73,307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1,146,177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380" w:type="dxa"/>
            <w:vAlign w:val="bottom"/>
            <w:gridSpan w:val="3"/>
          </w:tcPr>
          <w:p>
            <w:pPr>
              <w:spacing w:after="0" w:line="246" w:lineRule="exact"/>
              <w:rPr>
                <w:sz w:val="20"/>
                <w:szCs w:val="20"/>
                <w:color w:val="auto"/>
              </w:rPr>
            </w:pPr>
            <w:r>
              <w:rPr>
                <w:rFonts w:ascii="Arial" w:cs="Arial" w:eastAsia="Arial" w:hAnsi="Arial"/>
                <w:sz w:val="14"/>
                <w:szCs w:val="14"/>
                <w:color w:val="auto"/>
              </w:rPr>
              <w:t xml:space="preserve">Robert S. Stewart, </w:t>
            </w:r>
            <w:r>
              <w:rPr>
                <w:rFonts w:ascii="Arial" w:cs="Arial" w:eastAsia="Arial" w:hAnsi="Arial"/>
                <w:sz w:val="22"/>
                <w:szCs w:val="22"/>
                <w:color w:val="auto"/>
                <w:vertAlign w:val="superscript"/>
              </w:rPr>
              <w:t>(9)</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2011</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358,750</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468,291</w:t>
            </w:r>
          </w:p>
        </w:tc>
        <w:tc>
          <w:tcPr>
            <w:tcW w:w="2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34,818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110,604</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30,235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1,002,698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w w:val="94"/>
              </w:rPr>
              <w:t>Executive Vice President – Strategy,</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Corporate Development and</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gridSpan w:val="2"/>
          </w:tcPr>
          <w:p>
            <w:pPr>
              <w:ind w:left="420"/>
              <w:spacing w:after="0"/>
              <w:rPr>
                <w:sz w:val="20"/>
                <w:szCs w:val="20"/>
                <w:color w:val="auto"/>
              </w:rPr>
            </w:pPr>
            <w:r>
              <w:rPr>
                <w:rFonts w:ascii="Arial" w:cs="Arial" w:eastAsia="Arial" w:hAnsi="Arial"/>
                <w:sz w:val="14"/>
                <w:szCs w:val="14"/>
                <w:i w:val="1"/>
                <w:iCs w:val="1"/>
                <w:color w:val="auto"/>
              </w:rPr>
              <w:t>Communications</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w w:val="98"/>
              </w:rPr>
              <w:t>212,020</w:t>
            </w:r>
          </w:p>
        </w:tc>
        <w:tc>
          <w:tcPr>
            <w:tcW w:w="500" w:type="dxa"/>
            <w:vAlign w:val="bottom"/>
          </w:tcPr>
          <w:p>
            <w:pPr>
              <w:jc w:val="right"/>
              <w:spacing w:after="0"/>
              <w:rPr>
                <w:sz w:val="20"/>
                <w:szCs w:val="20"/>
                <w:color w:val="auto"/>
              </w:rPr>
            </w:pPr>
            <w:r>
              <w:rPr>
                <w:rFonts w:ascii="Arial" w:cs="Arial" w:eastAsia="Arial" w:hAnsi="Arial"/>
                <w:sz w:val="14"/>
                <w:szCs w:val="14"/>
                <w:color w:val="auto"/>
              </w:rPr>
              <w:t>30,000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277,100</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302,700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63,795</w:t>
            </w:r>
          </w:p>
        </w:tc>
        <w:tc>
          <w:tcPr>
            <w:tcW w:w="300" w:type="dxa"/>
            <w:vAlign w:val="bottom"/>
          </w:tcPr>
          <w:p>
            <w:pPr>
              <w:spacing w:after="0"/>
              <w:rPr>
                <w:sz w:val="14"/>
                <w:szCs w:val="14"/>
                <w:color w:val="auto"/>
              </w:rPr>
            </w:pP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2,133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887,748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3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James H. Graass</w:t>
            </w:r>
          </w:p>
        </w:tc>
        <w:tc>
          <w:tcPr>
            <w:tcW w:w="1080" w:type="dxa"/>
            <w:vAlign w:val="bottom"/>
            <w:gridSpan w:val="3"/>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2011</w:t>
            </w:r>
          </w:p>
        </w:tc>
        <w:tc>
          <w:tcPr>
            <w:tcW w:w="80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w w:val="98"/>
              </w:rPr>
              <w:t>333,125</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477,784</w:t>
            </w:r>
          </w:p>
        </w:tc>
        <w:tc>
          <w:tcPr>
            <w:tcW w:w="2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37,782</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4"/>
                <w:szCs w:val="14"/>
                <w:color w:val="auto"/>
              </w:rPr>
              <w:t>110,604</w:t>
            </w:r>
          </w:p>
        </w:tc>
        <w:tc>
          <w:tcPr>
            <w:tcW w:w="840" w:type="dxa"/>
            <w:vAlign w:val="bottom"/>
            <w:shd w:val="clear" w:color="auto" w:fill="CCEEFF"/>
          </w:tcPr>
          <w:p>
            <w:pPr>
              <w:ind w:left="640"/>
              <w:spacing w:after="0" w:line="12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4"/>
                <w:szCs w:val="14"/>
                <w:color w:val="auto"/>
              </w:rPr>
              <w:t>29,001</w:t>
            </w:r>
          </w:p>
        </w:tc>
        <w:tc>
          <w:tcPr>
            <w:tcW w:w="7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988,296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Executive Vice President, General</w:t>
            </w: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2010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8"/>
              </w:rPr>
              <w:t>325,000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9"/>
                <w:szCs w:val="9"/>
                <w:color w:val="auto"/>
              </w:rPr>
              <w:t xml:space="preserve"> (7)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109,363</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21,929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496,292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Counsel and Secretary</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2009</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325,000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150,413</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313,182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163,984</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38,154</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990,733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100" w:hanging="332"/>
        <w:spacing w:after="0" w:line="230"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amounts deferred on a pre-tax or after-tax basis at the election of the executive under our PSRP, which is described in greater detail under “Profit Sharing and Retirement Plan” on page 29 of this proxy statement.</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in this column represent payments to the Named Executive Officer under the Company’s Special Situation Program for the applicable fiscal year.</w:t>
      </w:r>
    </w:p>
    <w:p>
      <w:pPr>
        <w:ind w:left="340" w:hanging="332"/>
        <w:spacing w:after="0" w:line="223"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amounts in this column reflect the value of RSU awards and restricted stock awards made to the Named Executive Officer in each of the fiscal years presented and are consistent with the grant date fair value of the award computed in accordance with FASB ASC Topic 718. Pursuant to SEC rules, the amounts shown reflect the probable outcome as of the grant date of performance conditions that affect the vesting of these awards and exclude the impact of estimated forfeitures related to service-based vesting conditions. For assumptions used in determining these values, refer to (a) footnote (I) to the Company’s audited financial statements for the fiscal year ended March 31, 2011 included in the Fiscal 2011 Form 10-K; and (b) footnote (I) to the Company’s audited financial statements for the fiscal year ended March 31, 2010 included in the Company’s Annual Report on Form 10-K filed with the SEC on May 28, 2010, or “Fiscal 2010 Form 10-K.” A portion of the amounts in this column assumes the achievement of less than the highest level of performance conditions. The following table reflects the amounts assuming the highest level of performance conditions (i.e., the maximum amounts payable):</w:t>
      </w:r>
    </w:p>
    <w:p>
      <w:pPr>
        <w:spacing w:after="0" w:line="303"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180" w:type="dxa"/>
            <w:vAlign w:val="bottom"/>
            <w:gridSpan w:val="2"/>
          </w:tcPr>
          <w:p>
            <w:pPr>
              <w:ind w:left="1160"/>
              <w:spacing w:after="0"/>
              <w:rPr>
                <w:sz w:val="20"/>
                <w:szCs w:val="20"/>
                <w:color w:val="auto"/>
              </w:rPr>
            </w:pPr>
            <w:r>
              <w:rPr>
                <w:rFonts w:ascii="Arial" w:cs="Arial" w:eastAsia="Arial" w:hAnsi="Arial"/>
                <w:sz w:val="14"/>
                <w:szCs w:val="14"/>
                <w:b w:val="1"/>
                <w:bCs w:val="1"/>
                <w:color w:val="auto"/>
                <w:w w:val="87"/>
              </w:rPr>
              <w:t>Value at Highest Level of Performance (Fiscal 2011)</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25"/>
        </w:trPr>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Restricted</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4"/>
        </w:trPr>
        <w:tc>
          <w:tcPr>
            <w:tcW w:w="3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8"/>
              </w:rPr>
              <w:t>Hold To Retirement</w:t>
            </w:r>
          </w:p>
        </w:tc>
        <w:tc>
          <w:tcPr>
            <w:tcW w:w="680" w:type="dxa"/>
            <w:vAlign w:val="bottom"/>
          </w:tcPr>
          <w:p>
            <w:pPr>
              <w:spacing w:after="0"/>
              <w:rPr>
                <w:sz w:val="11"/>
                <w:szCs w:val="11"/>
                <w:color w:val="auto"/>
              </w:rPr>
            </w:pPr>
          </w:p>
        </w:tc>
        <w:tc>
          <w:tcPr>
            <w:tcW w:w="132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3"/>
              </w:rPr>
              <w:t>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3"/>
                <w:szCs w:val="13"/>
                <w:b w:val="1"/>
                <w:bCs w:val="1"/>
                <w:color w:val="auto"/>
                <w:w w:val="92"/>
              </w:rPr>
              <w:t>Restricted Stock</w:t>
            </w:r>
            <w:r>
              <w:rPr>
                <w:rFonts w:ascii="Arial" w:cs="Arial" w:eastAsia="Arial" w:hAnsi="Arial"/>
                <w:sz w:val="20"/>
                <w:szCs w:val="20"/>
                <w:b w:val="1"/>
                <w:bCs w:val="1"/>
                <w:color w:val="auto"/>
                <w:w w:val="92"/>
                <w:vertAlign w:val="superscript"/>
              </w:rPr>
              <w:t>(1)</w:t>
            </w:r>
          </w:p>
        </w:tc>
        <w:tc>
          <w:tcPr>
            <w:tcW w:w="680" w:type="dxa"/>
            <w:vAlign w:val="bottom"/>
          </w:tcPr>
          <w:p>
            <w:pPr>
              <w:spacing w:after="0"/>
              <w:rPr>
                <w:sz w:val="15"/>
                <w:szCs w:val="15"/>
                <w:color w:val="auto"/>
              </w:rPr>
            </w:pPr>
          </w:p>
        </w:tc>
        <w:tc>
          <w:tcPr>
            <w:tcW w:w="640" w:type="dxa"/>
            <w:vAlign w:val="bottom"/>
            <w:tcBorders>
              <w:bottom w:val="single" w:sz="8" w:color="auto"/>
            </w:tcBorders>
          </w:tcPr>
          <w:p>
            <w:pPr>
              <w:jc w:val="right"/>
              <w:ind w:right="34"/>
              <w:spacing w:after="0" w:line="176"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0"/>
                <w:szCs w:val="20"/>
                <w:b w:val="1"/>
                <w:bCs w:val="1"/>
                <w:color w:val="auto"/>
                <w:vertAlign w:val="superscript"/>
              </w:rPr>
              <w:t>(2)</w:t>
            </w:r>
          </w:p>
        </w:tc>
        <w:tc>
          <w:tcPr>
            <w:tcW w:w="680" w:type="dxa"/>
            <w:vAlign w:val="bottom"/>
          </w:tcPr>
          <w:p>
            <w:pPr>
              <w:spacing w:after="0"/>
              <w:rPr>
                <w:sz w:val="15"/>
                <w:szCs w:val="15"/>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r>
      <w:tr>
        <w:trPr>
          <w:trHeight w:val="142"/>
        </w:trPr>
        <w:tc>
          <w:tcPr>
            <w:tcW w:w="2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Steven R. Rowley</w:t>
            </w:r>
          </w:p>
        </w:tc>
        <w:tc>
          <w:tcPr>
            <w:tcW w:w="4180" w:type="dxa"/>
            <w:vAlign w:val="bottom"/>
            <w:gridSpan w:val="2"/>
            <w:shd w:val="clear" w:color="auto" w:fill="CCEEFF"/>
          </w:tcPr>
          <w:p>
            <w:pPr>
              <w:ind w:left="360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1,012,490</w:t>
            </w:r>
          </w:p>
        </w:tc>
        <w:tc>
          <w:tcPr>
            <w:tcW w:w="2000" w:type="dxa"/>
            <w:vAlign w:val="bottom"/>
            <w:gridSpan w:val="3"/>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$ 1,708,594</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$2,721,084</w:t>
            </w:r>
          </w:p>
        </w:tc>
        <w:tc>
          <w:tcPr>
            <w:tcW w:w="60" w:type="dxa"/>
            <w:vAlign w:val="bottom"/>
            <w:shd w:val="clear" w:color="auto" w:fill="CCEEFF"/>
          </w:tcPr>
          <w:p>
            <w:pPr>
              <w:spacing w:after="0"/>
              <w:rPr>
                <w:sz w:val="12"/>
                <w:szCs w:val="12"/>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D. Craig Kesler</w:t>
            </w: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354,386</w:t>
            </w:r>
          </w:p>
        </w:tc>
        <w:tc>
          <w:tcPr>
            <w:tcW w:w="200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455,625</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810,011</w:t>
            </w:r>
          </w:p>
        </w:tc>
      </w:tr>
      <w:tr>
        <w:trPr>
          <w:trHeight w:val="149"/>
        </w:trPr>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Gerald J. Essl</w:t>
            </w:r>
          </w:p>
        </w:tc>
        <w:tc>
          <w:tcPr>
            <w:tcW w:w="3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354,386</w:t>
            </w:r>
          </w:p>
        </w:tc>
        <w:tc>
          <w:tcPr>
            <w:tcW w:w="200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569,532</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923,917</w:t>
            </w:r>
          </w:p>
        </w:tc>
        <w:tc>
          <w:tcPr>
            <w:tcW w:w="60" w:type="dxa"/>
            <w:vAlign w:val="bottom"/>
            <w:shd w:val="clear" w:color="auto" w:fill="CCEEFF"/>
          </w:tcPr>
          <w:p>
            <w:pPr>
              <w:spacing w:after="0"/>
              <w:rPr>
                <w:sz w:val="12"/>
                <w:szCs w:val="12"/>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Robert S. Stewart</w:t>
            </w:r>
          </w:p>
        </w:tc>
        <w:tc>
          <w:tcPr>
            <w:tcW w:w="3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354,386</w:t>
            </w:r>
          </w:p>
        </w:tc>
        <w:tc>
          <w:tcPr>
            <w:tcW w:w="200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455,625</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810,011</w:t>
            </w:r>
          </w:p>
        </w:tc>
      </w:tr>
      <w:tr>
        <w:trPr>
          <w:trHeight w:val="149"/>
        </w:trPr>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H. Graass</w:t>
            </w:r>
          </w:p>
        </w:tc>
        <w:tc>
          <w:tcPr>
            <w:tcW w:w="3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354,386</w:t>
            </w:r>
          </w:p>
        </w:tc>
        <w:tc>
          <w:tcPr>
            <w:tcW w:w="200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493,594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847,979</w:t>
            </w:r>
          </w:p>
        </w:tc>
        <w:tc>
          <w:tcPr>
            <w:tcW w:w="6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80" w:type="dxa"/>
            <w:vAlign w:val="bottom"/>
            <w:gridSpan w:val="3"/>
          </w:tcPr>
          <w:p>
            <w:pPr>
              <w:ind w:left="700"/>
              <w:spacing w:after="0"/>
              <w:rPr>
                <w:sz w:val="20"/>
                <w:szCs w:val="20"/>
                <w:color w:val="auto"/>
              </w:rPr>
            </w:pPr>
            <w:r>
              <w:rPr>
                <w:rFonts w:ascii="Arial" w:cs="Arial" w:eastAsia="Arial" w:hAnsi="Arial"/>
                <w:sz w:val="14"/>
                <w:szCs w:val="14"/>
                <w:b w:val="1"/>
                <w:bCs w:val="1"/>
                <w:color w:val="auto"/>
              </w:rPr>
              <w:t>Value at Highest Level of Performance (Fiscal 2009)</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80" w:type="dxa"/>
            <w:vAlign w:val="bottom"/>
            <w:gridSpan w:val="3"/>
          </w:tcPr>
          <w:p>
            <w:pPr>
              <w:jc w:val="center"/>
              <w:ind w:left="5192"/>
              <w:spacing w:after="0"/>
              <w:rPr>
                <w:sz w:val="20"/>
                <w:szCs w:val="20"/>
                <w:color w:val="auto"/>
              </w:rPr>
            </w:pPr>
            <w:r>
              <w:rPr>
                <w:rFonts w:ascii="Arial" w:cs="Arial" w:eastAsia="Arial" w:hAnsi="Arial"/>
                <w:sz w:val="14"/>
                <w:szCs w:val="14"/>
                <w:b w:val="1"/>
                <w:bCs w:val="1"/>
                <w:color w:val="auto"/>
                <w:w w:val="84"/>
              </w:rPr>
              <w:t>Restricted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6"/>
        </w:trPr>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380" w:type="dxa"/>
            <w:vAlign w:val="bottom"/>
          </w:tcPr>
          <w:p>
            <w:pPr>
              <w:spacing w:after="0"/>
              <w:rPr>
                <w:sz w:val="15"/>
                <w:szCs w:val="15"/>
                <w:color w:val="auto"/>
              </w:rPr>
            </w:pPr>
          </w:p>
        </w:tc>
        <w:tc>
          <w:tcPr>
            <w:tcW w:w="70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0"/>
              </w:rPr>
              <w:t>Units</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Steven R. Rowley</w:t>
            </w:r>
          </w:p>
        </w:tc>
        <w:tc>
          <w:tcPr>
            <w:tcW w:w="6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828,940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Gerald J. Essl</w:t>
            </w:r>
          </w:p>
        </w:tc>
        <w:tc>
          <w:tcPr>
            <w:tcW w:w="6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147,070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H. Graass</w:t>
            </w:r>
          </w:p>
        </w:tc>
        <w:tc>
          <w:tcPr>
            <w:tcW w:w="6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2"/>
          <w:szCs w:val="22"/>
          <w:color w:val="auto"/>
          <w:vertAlign w:val="superscript"/>
        </w:rPr>
      </w:pPr>
      <w:r>
        <w:rPr>
          <w:rFonts w:ascii="Arial" w:cs="Arial" w:eastAsia="Arial" w:hAnsi="Arial"/>
          <w:sz w:val="14"/>
          <w:szCs w:val="14"/>
          <w:color w:val="auto"/>
        </w:rPr>
        <w:t>The amount in the Summary Compensation Table column assumes the achievement of the highest level of performance conditions.</w:t>
      </w:r>
    </w:p>
    <w:p>
      <w:pPr>
        <w:ind w:left="340" w:right="100" w:hanging="332"/>
        <w:spacing w:after="0" w:line="189" w:lineRule="auto"/>
        <w:tabs>
          <w:tab w:leader="none" w:pos="34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The amount in the Summary Compensation Table column assumes the achievement of less than the highest level of performance conditions with respect to this award. The fiscal 2011 awards to Messrs. Rowley, Kesler, Stewart and Graass vested at 75.1%, and the award to Mr. Essl vested at 85.96%. The unvested portion was forfeited.</w:t>
      </w:r>
    </w:p>
    <w:p>
      <w:pPr>
        <w:spacing w:after="0" w:line="58" w:lineRule="exact"/>
        <w:rPr>
          <w:sz w:val="20"/>
          <w:szCs w:val="20"/>
          <w:color w:val="auto"/>
        </w:rPr>
      </w:pPr>
    </w:p>
    <w:p>
      <w:pPr>
        <w:ind w:left="340" w:hanging="332"/>
        <w:spacing w:after="0" w:line="260"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in this column reflect the value of option awards made to the Named Executive Officer in each of the fiscal years presented and are consistent with the grant date fair value of the award computed in accordance with FASB ASC Topic 718. Pursuant to SEC rules, the amounts shown reflect the probable outcome as of the grant date of performance conditions that affect the vesting of these awards and exclude the impact of estimated forfeitures related to service-based vesting conditions. For assumptions used in determining these values, refer to (a) footnote (I) to the Company’s audited financial statements for the fiscal year ended March 31, 2011 included in the Fiscal 2011 Form 10-K; and (b) footnote (I) to the Company’s audited financial statements for the fiscal year ended March 31, 2010 included in the Fiscal 2010 Form 10-K. Where amounts in this column assume the achievement of less than the highest level of performance conditions, the amounts assuming the highest level of performance conditions would be as follows: Mr. Rowley – $524,500 [fiscal 2011], and $1,713,900 [fiscal 2009]; Mr. Kesler – $139,274; Mr. Essl – $174,833 [fiscal 2011], and $295,783 [fiscal 2009]; Mr. Stewart – $139,274 [fiscal 2011]; and Mr. Graass – $151,127 [fiscal 2011], and $417,576 [fiscal 2009]. The fiscal 2011 awards to Messrs. Rowley, Kesler, Stewart and Graass vested at 75.1%, and the award to Mr. Essl vested at 85.96%. The unvested portion was forfeited.</w:t>
      </w:r>
    </w:p>
    <w:p>
      <w:pPr>
        <w:spacing w:after="0" w:line="4" w:lineRule="exact"/>
        <w:rPr>
          <w:rFonts w:ascii="Arial" w:cs="Arial" w:eastAsia="Arial" w:hAnsi="Arial"/>
          <w:sz w:val="12"/>
          <w:szCs w:val="12"/>
          <w:color w:val="auto"/>
        </w:rPr>
      </w:pPr>
    </w:p>
    <w:p>
      <w:pPr>
        <w:ind w:left="340" w:right="20" w:hanging="332"/>
        <w:spacing w:after="0" w:line="25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in this column represent payments to the Named Executive Officer under the applicable annual incentive compensation program for the applicable fiscal year. The amounts do not reflect any dividend equivalent units which are accrued by or paid to holders of our RSUs at any time we pay a cash dividend on our Common Stock (see footnote 6 below).</w:t>
      </w:r>
    </w:p>
    <w:p>
      <w:pPr>
        <w:ind w:left="340" w:hanging="332"/>
        <w:spacing w:after="0" w:line="25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shown in this column represent: (1) Company profit sharing contributions to the account of the Named Executive Officer under our PSRP; (2) Company contributions to the account of the Named Executive Officer under our SERP; (3) premium costs to the Company of life insurance policies obtained by the Company in connection with our SCP; (4) wellness awards; and (5) dividend equivalent RSUs. The PSRP is described in greater detail under “Profit Sharing and Retirement Plan” on page 29 of this proxy statement. During fiscal 2011, the Named Executive Officers each received $18,375 in employer profit sharing contributions with respect to the PSRP. The SERP is described in greater detail under “SERP” on page 30 of this proxy statement. During fiscal 2011, the Named Executive Officers received the following employer contributions with respect to the SERP: Mr. Rowley – $42,750; Mr. Kesler – $727; Mr. Essl – $6,457; Mr. Robert Stewart – $8,368; and Mr. Graass – $6,457. The SCP is described in greater detail under “Salary Continuation Plan” on page 30 of this proxy statement. During fiscal 2011, the Company paid premium costs in the following amounts for life insurance policies obtained under the SCP with respect to the Named Executive Officers: Mr. Rowley – $5,274; Mr. Kesler – $5,036; Mr. Essl – $2,214; Mr. Robert Stewart – $3,492; and Mr. Graass – $4,169. During fiscal 2011, the Company also paid a wellness award of $544 to Mr. Essl. For fiscal 2010 and fiscal 2009, the amounts in this column also include the value of Common Stock paid during such fiscal year for dividend equivalent units. Dividend equivalent units are credited as additional RSUs to holders of our earned RSUs at any time we pay a cash dividend on our Common Stock. The value of the dividend equivalent units is not reflected in the “Stock Awards” column.</w:t>
      </w:r>
    </w:p>
    <w:p>
      <w:pPr>
        <w:spacing w:after="0" w:line="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 than awards made in connection with new hires and promotions, no equity awards were made by the Company in fiscal 2010.</w:t>
      </w:r>
    </w:p>
    <w:p>
      <w:pPr>
        <w:ind w:left="340" w:right="4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Kesler was promoted to Executive Vice President – Finance &amp; Administration and Chief Financial Officer effective August 21, 2009. Mr. Kesler had previously served as the Company’s Vice President – Investor Relations and Corporate Development since 2005.</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Stewart was hired as Executive Vice President – Strategy, Corporate Development and Communications effective August 21, 2009.</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grants of plan-based awards made during fiscal 2011 to the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3"/>
              </w:rPr>
              <w:t>or Base</w:t>
            </w:r>
          </w:p>
        </w:tc>
        <w:tc>
          <w:tcPr>
            <w:tcW w:w="2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7"/>
              </w:rPr>
              <w:t>Estimated Future Payouts Under</w:t>
            </w:r>
          </w:p>
        </w:tc>
        <w:tc>
          <w:tcPr>
            <w:tcW w:w="260" w:type="dxa"/>
            <w:vAlign w:val="bottom"/>
          </w:tcPr>
          <w:p>
            <w:pPr>
              <w:spacing w:after="0"/>
              <w:rPr>
                <w:sz w:val="12"/>
                <w:szCs w:val="12"/>
                <w:color w:val="auto"/>
              </w:rPr>
            </w:pPr>
          </w:p>
        </w:tc>
        <w:tc>
          <w:tcPr>
            <w:tcW w:w="24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Estimated Future Payouts Under</w:t>
            </w:r>
          </w:p>
        </w:tc>
        <w:tc>
          <w:tcPr>
            <w:tcW w:w="100" w:type="dxa"/>
            <w:vAlign w:val="bottom"/>
          </w:tcPr>
          <w:p>
            <w:pPr>
              <w:spacing w:after="0"/>
              <w:rPr>
                <w:sz w:val="12"/>
                <w:szCs w:val="12"/>
                <w:color w:val="auto"/>
              </w:rPr>
            </w:pPr>
          </w:p>
        </w:tc>
        <w:tc>
          <w:tcPr>
            <w:tcW w:w="58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3"/>
              </w:rPr>
              <w:t>Price of</w:t>
            </w:r>
          </w:p>
        </w:tc>
        <w:tc>
          <w:tcPr>
            <w:tcW w:w="2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Non-Equity Incentive Plan Awards</w:t>
            </w:r>
          </w:p>
        </w:tc>
        <w:tc>
          <w:tcPr>
            <w:tcW w:w="260" w:type="dxa"/>
            <w:vAlign w:val="bottom"/>
          </w:tcPr>
          <w:p>
            <w:pPr>
              <w:spacing w:after="0"/>
              <w:rPr>
                <w:sz w:val="14"/>
                <w:szCs w:val="14"/>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Equity Incentive Plan Awards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320"/>
              <w:spacing w:after="0" w:line="115" w:lineRule="exact"/>
              <w:rPr>
                <w:sz w:val="20"/>
                <w:szCs w:val="20"/>
                <w:color w:val="auto"/>
              </w:rPr>
            </w:pPr>
            <w:r>
              <w:rPr>
                <w:rFonts w:ascii="Arial" w:cs="Arial" w:eastAsia="Arial" w:hAnsi="Arial"/>
                <w:sz w:val="12"/>
                <w:szCs w:val="12"/>
                <w:b w:val="1"/>
                <w:bCs w:val="1"/>
                <w:color w:val="auto"/>
              </w:rPr>
              <w:t>Grant</w:t>
            </w:r>
          </w:p>
        </w:tc>
        <w:tc>
          <w:tcPr>
            <w:tcW w:w="60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b w:val="1"/>
                <w:bCs w:val="1"/>
                <w:color w:val="auto"/>
                <w:w w:val="99"/>
              </w:rPr>
              <w:t>Threshold</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8"/>
              </w:rPr>
              <w:t>Target</w:t>
            </w: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Maximum</w:t>
            </w:r>
          </w:p>
        </w:tc>
        <w:tc>
          <w:tcPr>
            <w:tcW w:w="2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Threshold</w:t>
            </w: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Target</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Maximum</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2"/>
                <w:szCs w:val="12"/>
                <w:b w:val="1"/>
                <w:bCs w:val="1"/>
                <w:color w:val="auto"/>
              </w:rPr>
              <w:t>Awards</w:t>
            </w:r>
          </w:p>
        </w:tc>
        <w:tc>
          <w:tcPr>
            <w:tcW w:w="280" w:type="dxa"/>
            <w:vAlign w:val="bottom"/>
          </w:tcPr>
          <w:p>
            <w:pPr>
              <w:spacing w:after="0"/>
              <w:rPr>
                <w:sz w:val="10"/>
                <w:szCs w:val="10"/>
                <w:color w:val="auto"/>
              </w:rPr>
            </w:pPr>
          </w:p>
        </w:tc>
        <w:tc>
          <w:tcPr>
            <w:tcW w:w="900" w:type="dxa"/>
            <w:vAlign w:val="bottom"/>
            <w:gridSpan w:val="2"/>
          </w:tcPr>
          <w:p>
            <w:pPr>
              <w:jc w:val="center"/>
              <w:ind w:right="80"/>
              <w:spacing w:after="0" w:line="115" w:lineRule="exact"/>
              <w:rPr>
                <w:sz w:val="20"/>
                <w:szCs w:val="20"/>
                <w:color w:val="auto"/>
              </w:rPr>
            </w:pPr>
            <w:r>
              <w:rPr>
                <w:rFonts w:ascii="Arial" w:cs="Arial" w:eastAsia="Arial" w:hAnsi="Arial"/>
                <w:sz w:val="12"/>
                <w:szCs w:val="12"/>
                <w:b w:val="1"/>
                <w:bCs w:val="1"/>
                <w:color w:val="auto"/>
              </w:rPr>
              <w:t>and Option</w:t>
            </w:r>
          </w:p>
        </w:tc>
        <w:tc>
          <w:tcPr>
            <w:tcW w:w="0" w:type="dxa"/>
            <w:vAlign w:val="bottom"/>
          </w:tcPr>
          <w:p>
            <w:pPr>
              <w:spacing w:after="0"/>
              <w:rPr>
                <w:sz w:val="1"/>
                <w:szCs w:val="1"/>
                <w:color w:val="auto"/>
              </w:rPr>
            </w:pPr>
          </w:p>
        </w:tc>
      </w:tr>
      <w:tr>
        <w:trPr>
          <w:trHeight w:val="176"/>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c>
          <w:tcPr>
            <w:tcW w:w="60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center"/>
              <w:ind w:left="176"/>
              <w:spacing w:after="0" w:line="17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(1)</w:t>
            </w:r>
          </w:p>
        </w:tc>
        <w:tc>
          <w:tcPr>
            <w:tcW w:w="88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38"/>
              <w:spacing w:after="0"/>
              <w:rPr>
                <w:sz w:val="20"/>
                <w:szCs w:val="20"/>
                <w:color w:val="auto"/>
              </w:rPr>
            </w:pPr>
            <w:r>
              <w:rPr>
                <w:rFonts w:ascii="Arial" w:cs="Arial" w:eastAsia="Arial" w:hAnsi="Arial"/>
                <w:sz w:val="14"/>
                <w:szCs w:val="14"/>
                <w:b w:val="1"/>
                <w:bCs w:val="1"/>
                <w:color w:val="auto"/>
              </w:rPr>
              <w:t>($/Sh)</w:t>
            </w:r>
          </w:p>
        </w:tc>
        <w:tc>
          <w:tcPr>
            <w:tcW w:w="280" w:type="dxa"/>
            <w:vAlign w:val="bottom"/>
          </w:tcPr>
          <w:p>
            <w:pPr>
              <w:spacing w:after="0"/>
              <w:rPr>
                <w:sz w:val="15"/>
                <w:szCs w:val="15"/>
                <w:color w:val="auto"/>
              </w:rPr>
            </w:pPr>
          </w:p>
        </w:tc>
        <w:tc>
          <w:tcPr>
            <w:tcW w:w="9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0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$294,944</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44,250</w:t>
            </w:r>
            <w:r>
              <w:rPr>
                <w:rFonts w:ascii="Arial" w:cs="Arial" w:eastAsia="Arial" w:hAnsi="Arial"/>
                <w:sz w:val="11"/>
                <w:szCs w:val="11"/>
                <w:color w:val="auto"/>
                <w:w w:val="87"/>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56,250</w:t>
            </w:r>
            <w:r>
              <w:rPr>
                <w:rFonts w:ascii="Arial" w:cs="Arial" w:eastAsia="Arial" w:hAnsi="Arial"/>
                <w:sz w:val="11"/>
                <w:szCs w:val="11"/>
                <w:color w:val="auto"/>
                <w:w w:val="87"/>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33,333</w:t>
            </w:r>
            <w:r>
              <w:rPr>
                <w:rFonts w:ascii="Arial" w:cs="Arial" w:eastAsia="Arial" w:hAnsi="Arial"/>
                <w:sz w:val="11"/>
                <w:szCs w:val="11"/>
                <w:color w:val="auto"/>
                <w:w w:val="87"/>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4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110,604</w:t>
            </w:r>
          </w:p>
        </w:tc>
        <w:tc>
          <w:tcPr>
            <w:tcW w:w="26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7"/>
              </w:rPr>
              <w:t>11,750</w:t>
            </w:r>
            <w:r>
              <w:rPr>
                <w:rFonts w:ascii="Arial" w:cs="Arial" w:eastAsia="Arial" w:hAnsi="Arial"/>
                <w:sz w:val="11"/>
                <w:szCs w:val="11"/>
                <w:color w:val="auto"/>
                <w:w w:val="87"/>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30.735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7"/>
              </w:rPr>
              <w:t>15,000</w:t>
            </w:r>
            <w:r>
              <w:rPr>
                <w:rFonts w:ascii="Arial" w:cs="Arial" w:eastAsia="Arial" w:hAnsi="Arial"/>
                <w:sz w:val="11"/>
                <w:szCs w:val="11"/>
                <w:color w:val="auto"/>
                <w:w w:val="87"/>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455,625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354,386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0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215,939</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14,750</w:t>
            </w:r>
            <w:r>
              <w:rPr>
                <w:rFonts w:ascii="Arial" w:cs="Arial" w:eastAsia="Arial" w:hAnsi="Arial"/>
                <w:sz w:val="11"/>
                <w:szCs w:val="11"/>
                <w:color w:val="auto"/>
                <w:w w:val="87"/>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18,750</w:t>
            </w:r>
            <w:r>
              <w:rPr>
                <w:rFonts w:ascii="Arial" w:cs="Arial" w:eastAsia="Arial" w:hAnsi="Arial"/>
                <w:sz w:val="11"/>
                <w:szCs w:val="11"/>
                <w:color w:val="auto"/>
                <w:w w:val="87"/>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44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110,604</w:t>
            </w:r>
          </w:p>
        </w:tc>
        <w:tc>
          <w:tcPr>
            <w:tcW w:w="26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7"/>
              </w:rPr>
              <w:t>11,750</w:t>
            </w:r>
            <w:r>
              <w:rPr>
                <w:rFonts w:ascii="Arial" w:cs="Arial" w:eastAsia="Arial" w:hAnsi="Arial"/>
                <w:sz w:val="11"/>
                <w:szCs w:val="11"/>
                <w:color w:val="auto"/>
                <w:w w:val="87"/>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30.735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7"/>
              </w:rPr>
              <w:t>15,000</w:t>
            </w:r>
            <w:r>
              <w:rPr>
                <w:rFonts w:ascii="Arial" w:cs="Arial" w:eastAsia="Arial" w:hAnsi="Arial"/>
                <w:sz w:val="11"/>
                <w:szCs w:val="11"/>
                <w:color w:val="auto"/>
                <w:w w:val="87"/>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455,625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354,386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0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110,604</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12,750</w:t>
            </w:r>
            <w:r>
              <w:rPr>
                <w:rFonts w:ascii="Arial" w:cs="Arial" w:eastAsia="Arial" w:hAnsi="Arial"/>
                <w:sz w:val="11"/>
                <w:szCs w:val="11"/>
                <w:color w:val="auto"/>
                <w:w w:val="87"/>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16,250</w:t>
            </w:r>
            <w:r>
              <w:rPr>
                <w:rFonts w:ascii="Arial" w:cs="Arial" w:eastAsia="Arial" w:hAnsi="Arial"/>
                <w:sz w:val="11"/>
                <w:szCs w:val="11"/>
                <w:color w:val="auto"/>
                <w:w w:val="87"/>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5/18/10</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left="213"/>
              <w:spacing w:after="0"/>
              <w:rPr>
                <w:sz w:val="20"/>
                <w:szCs w:val="20"/>
                <w:color w:val="auto"/>
              </w:rPr>
            </w:pPr>
            <w:r>
              <w:rPr>
                <w:rFonts w:ascii="Arial" w:cs="Arial" w:eastAsia="Arial" w:hAnsi="Arial"/>
                <w:sz w:val="18"/>
                <w:szCs w:val="18"/>
                <w:color w:val="auto"/>
                <w:w w:val="87"/>
              </w:rPr>
              <w:t>11,667</w:t>
            </w:r>
            <w:r>
              <w:rPr>
                <w:rFonts w:ascii="Arial" w:cs="Arial" w:eastAsia="Arial" w:hAnsi="Arial"/>
                <w:sz w:val="11"/>
                <w:szCs w:val="11"/>
                <w:color w:val="auto"/>
                <w:w w:val="87"/>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83"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in this column represent the maximum annual incentive payments potentially payable to the Named Executive Officers pursuant to the Eagle Annual Incentive Program or the Divisional Annual Incentive Bonus Programs, as applicable, for fiscal year 2011. There are no thresholds or maximums for these awards – they are merely a function of multiplying the pre-determined percentage of earnings for the fiscal year. The actual pay-outs to the Named Executive Officers were as follows: Mr. Rowley – $294,944; Mr. Kesler – $110,604; Mr. Essl – $209,460; Mr. Stewart – $110,604; and Mr. Graass – $110,604. These incentive programs are described in greater detail under “Annual Incentive Bonus” beginning on page 22 of this proxy statement.</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included in this column reflect the grant date fair value of the award computed in accordance with FASB ASC Topic 718. Assumptions used in the calculation of these amounts are included in footnote (I) to the Company’s audited financial statements for the fiscal year ended March 31, 2011 included in the Fiscal 2011 Form 10-K.</w:t>
      </w:r>
    </w:p>
    <w:p>
      <w:pPr>
        <w:spacing w:after="0" w:line="1"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These amounts represent grants of stock options to purchase shares of Common Stock made on May 18, 2010 under our Incentive Plan. The earning of the stock options was subject to performance vesting criteria. One-third of the earned stock options vested immediately, one-third will vest on March 31, 2012, and one-third will vest on March 31, 2013. These stock options are described in greater detail under “Long-Term Incentive Compensation – Fiscal 2011 Grants – Annual Grants” beginning on page 26 of this proxy statement.</w:t>
      </w:r>
    </w:p>
    <w:p>
      <w:pPr>
        <w:spacing w:after="0" w:line="2"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amounts represent grants of RSUs made on May 18, 2010 under our Incentive Plan. The vesting of the RSUs was subject to performance vesting criteria. One-third of the earned RSUs vested immediately, one-third will vest on March 31, 2012, and one-third will vest on March 31, 2013. These RSUs are described in greater detail under “Long-Term Incentive Compensation – Fiscal 2011 Grants – Annual Grants” beginning on page 26 of this proxy statement.</w:t>
      </w:r>
    </w:p>
    <w:p>
      <w:pPr>
        <w:spacing w:after="0" w:line="1" w:lineRule="exact"/>
        <w:rPr>
          <w:rFonts w:ascii="Arial" w:cs="Arial" w:eastAsia="Arial" w:hAnsi="Arial"/>
          <w:sz w:val="18"/>
          <w:szCs w:val="18"/>
          <w:color w:val="auto"/>
        </w:rPr>
      </w:pPr>
    </w:p>
    <w:p>
      <w:pPr>
        <w:ind w:left="460" w:right="2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amounts represent grants of restricted stock made on May 18, 2010 under our Incentive Plan. The vesting of the restricted stock is subject to a performance vesting criterion. The restrictions on the earned restricted stock do not lapse until the recipient meets the requirements for retirement, as defined in the award agreement. This restricted stock is described in greater detail under “Long-Term Incentive Compensation – Fiscal 2011 Grants – ‘Hold to Retirement’ Grant” beginning on page 29 of this proxy statement.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2011 for each of the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Equity</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Market</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Value of</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Shares or</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Units of</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Unearned</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Units of</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Shares,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That Have</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or Other</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9"/>
              </w:rPr>
              <w:t>Other 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Unearned</w:t>
            </w: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That Have</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Unexercisable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Expiration</w:t>
            </w: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2"/>
              </w:rPr>
              <w:t>Vested</w:t>
            </w: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Have Not</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76"/>
        </w:trPr>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98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9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Vested (#)</w:t>
            </w:r>
          </w:p>
        </w:tc>
        <w:tc>
          <w:tcPr>
            <w:tcW w:w="760" w:type="dxa"/>
            <w:vAlign w:val="bottom"/>
            <w:gridSpan w:val="2"/>
          </w:tcPr>
          <w:p>
            <w:pPr>
              <w:jc w:val="center"/>
              <w:ind w:left="21"/>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26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Vested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82,776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$11.763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05/08/2013</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0"/>
              </w:rPr>
              <w:t>56,250</w:t>
            </w:r>
            <w:r>
              <w:rPr>
                <w:rFonts w:ascii="Arial" w:cs="Arial" w:eastAsia="Arial" w:hAnsi="Arial"/>
                <w:sz w:val="11"/>
                <w:szCs w:val="11"/>
                <w:color w:val="auto"/>
                <w:w w:val="90"/>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1,702,125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51,245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29.076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06/09/2012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0"/>
              </w:rPr>
              <w:t>33,333</w:t>
            </w:r>
            <w:r>
              <w:rPr>
                <w:rFonts w:ascii="Arial" w:cs="Arial" w:eastAsia="Arial" w:hAnsi="Arial"/>
                <w:sz w:val="11"/>
                <w:szCs w:val="11"/>
                <w:color w:val="auto"/>
                <w:w w:val="90"/>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62.830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05/09/2016</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47.530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06/20/2014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26.695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08/21/2015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90"/>
              </w:rPr>
              <w:t>44,250</w:t>
            </w:r>
            <w:r>
              <w:rPr>
                <w:rFonts w:ascii="Arial" w:cs="Arial" w:eastAsia="Arial" w:hAnsi="Arial"/>
                <w:sz w:val="11"/>
                <w:szCs w:val="11"/>
                <w:color w:val="auto"/>
                <w:w w:val="90"/>
              </w:rPr>
              <w:t>(4)</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30.735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05/18/2020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00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6,500</w:t>
            </w:r>
          </w:p>
        </w:tc>
        <w:tc>
          <w:tcPr>
            <w:tcW w:w="160" w:type="dxa"/>
            <w:vAlign w:val="bottom"/>
          </w:tcPr>
          <w:p>
            <w:pPr>
              <w:spacing w:after="0"/>
              <w:rPr>
                <w:sz w:val="24"/>
                <w:szCs w:val="24"/>
                <w:color w:val="auto"/>
              </w:rPr>
            </w:pPr>
          </w:p>
        </w:tc>
        <w:tc>
          <w:tcPr>
            <w:tcW w:w="100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1020" w:type="dxa"/>
            <w:vAlign w:val="bottom"/>
            <w:gridSpan w:val="2"/>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23.583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10/07/2014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r>
              <w:rPr>
                <w:rFonts w:ascii="Arial" w:cs="Arial" w:eastAsia="Arial" w:hAnsi="Arial"/>
                <w:sz w:val="11"/>
                <w:szCs w:val="11"/>
                <w:color w:val="auto"/>
              </w:rPr>
              <w:t>(6)</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$242,080</w:t>
            </w:r>
          </w:p>
        </w:tc>
        <w:tc>
          <w:tcPr>
            <w:tcW w:w="1160" w:type="dxa"/>
            <w:vAlign w:val="bottom"/>
            <w:gridSpan w:val="2"/>
          </w:tcPr>
          <w:p>
            <w:pPr>
              <w:jc w:val="center"/>
              <w:ind w:left="98"/>
              <w:spacing w:after="0"/>
              <w:rPr>
                <w:sz w:val="20"/>
                <w:szCs w:val="20"/>
                <w:color w:val="auto"/>
              </w:rPr>
            </w:pPr>
            <w:r>
              <w:rPr>
                <w:rFonts w:ascii="Arial" w:cs="Arial" w:eastAsia="Arial" w:hAnsi="Arial"/>
                <w:sz w:val="18"/>
                <w:szCs w:val="18"/>
                <w:color w:val="auto"/>
                <w:w w:val="90"/>
              </w:rPr>
              <w:t>15,000</w:t>
            </w:r>
            <w:r>
              <w:rPr>
                <w:rFonts w:ascii="Arial" w:cs="Arial" w:eastAsia="Arial" w:hAnsi="Arial"/>
                <w:sz w:val="11"/>
                <w:szCs w:val="11"/>
                <w:color w:val="auto"/>
                <w:w w:val="90"/>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453,900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18"/>
                <w:szCs w:val="18"/>
                <w:color w:val="auto"/>
              </w:rPr>
            </w:pPr>
          </w:p>
        </w:tc>
        <w:tc>
          <w:tcPr>
            <w:tcW w:w="100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20" w:type="dxa"/>
            <w:vAlign w:val="bottom"/>
            <w:gridSpan w:val="2"/>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29.076</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06/09/2012</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98"/>
              <w:spacing w:after="0"/>
              <w:rPr>
                <w:sz w:val="20"/>
                <w:szCs w:val="20"/>
                <w:color w:val="auto"/>
              </w:rPr>
            </w:pPr>
            <w:r>
              <w:rPr>
                <w:rFonts w:ascii="Arial" w:cs="Arial" w:eastAsia="Arial" w:hAnsi="Arial"/>
                <w:sz w:val="18"/>
                <w:szCs w:val="18"/>
                <w:color w:val="auto"/>
                <w:w w:val="90"/>
              </w:rPr>
              <w:t>11,667</w:t>
            </w:r>
            <w:r>
              <w:rPr>
                <w:rFonts w:ascii="Arial" w:cs="Arial" w:eastAsia="Arial" w:hAnsi="Arial"/>
                <w:sz w:val="11"/>
                <w:szCs w:val="11"/>
                <w:color w:val="auto"/>
                <w:w w:val="90"/>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353,044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1,342</w:t>
            </w:r>
          </w:p>
        </w:tc>
        <w:tc>
          <w:tcPr>
            <w:tcW w:w="160" w:type="dxa"/>
            <w:vAlign w:val="bottom"/>
          </w:tcPr>
          <w:p>
            <w:pPr>
              <w:spacing w:after="0"/>
              <w:rPr>
                <w:sz w:val="18"/>
                <w:szCs w:val="18"/>
                <w:color w:val="auto"/>
              </w:rPr>
            </w:pPr>
          </w:p>
        </w:tc>
        <w:tc>
          <w:tcPr>
            <w:tcW w:w="100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20" w:type="dxa"/>
            <w:vAlign w:val="bottom"/>
            <w:gridSpan w:val="2"/>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62.830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05/09/2016</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24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47.530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06/20/2014</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14,000</w:t>
            </w:r>
          </w:p>
        </w:tc>
        <w:tc>
          <w:tcPr>
            <w:tcW w:w="160" w:type="dxa"/>
            <w:vAlign w:val="bottom"/>
          </w:tcPr>
          <w:p>
            <w:pPr>
              <w:spacing w:after="0"/>
              <w:rPr>
                <w:sz w:val="18"/>
                <w:szCs w:val="18"/>
                <w:color w:val="auto"/>
              </w:rPr>
            </w:pPr>
          </w:p>
        </w:tc>
        <w:tc>
          <w:tcPr>
            <w:tcW w:w="100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20" w:type="dxa"/>
            <w:vAlign w:val="bottom"/>
            <w:gridSpan w:val="2"/>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26.695</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08/21/2015</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center"/>
              <w:ind w:left="256"/>
              <w:spacing w:after="0"/>
              <w:rPr>
                <w:sz w:val="20"/>
                <w:szCs w:val="20"/>
                <w:color w:val="auto"/>
              </w:rPr>
            </w:pPr>
            <w:r>
              <w:rPr>
                <w:rFonts w:ascii="Arial" w:cs="Arial" w:eastAsia="Arial" w:hAnsi="Arial"/>
                <w:sz w:val="18"/>
                <w:szCs w:val="18"/>
                <w:color w:val="auto"/>
                <w:w w:val="90"/>
              </w:rPr>
              <w:t>11,750</w:t>
            </w:r>
            <w:r>
              <w:rPr>
                <w:rFonts w:ascii="Arial" w:cs="Arial" w:eastAsia="Arial" w:hAnsi="Arial"/>
                <w:sz w:val="11"/>
                <w:szCs w:val="11"/>
                <w:color w:val="auto"/>
                <w:w w:val="90"/>
              </w:rPr>
              <w:t>(4)</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30.735</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05/18/2020</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49,665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11.763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05/08/2013</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0"/>
              </w:rPr>
              <w:t>18,750</w:t>
            </w:r>
            <w:r>
              <w:rPr>
                <w:rFonts w:ascii="Arial" w:cs="Arial" w:eastAsia="Arial" w:hAnsi="Arial"/>
                <w:sz w:val="11"/>
                <w:szCs w:val="11"/>
                <w:color w:val="auto"/>
                <w:w w:val="90"/>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16,305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29.076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06/09/2012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0"/>
              </w:rPr>
              <w:t>11,667</w:t>
            </w:r>
            <w:r>
              <w:rPr>
                <w:rFonts w:ascii="Arial" w:cs="Arial" w:eastAsia="Arial" w:hAnsi="Arial"/>
                <w:sz w:val="11"/>
                <w:szCs w:val="11"/>
                <w:color w:val="auto"/>
                <w:w w:val="90"/>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62.830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05/09/2016</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2,000</w:t>
            </w:r>
            <w:r>
              <w:rPr>
                <w:rFonts w:ascii="Arial" w:cs="Arial" w:eastAsia="Arial" w:hAnsi="Arial"/>
                <w:sz w:val="11"/>
                <w:szCs w:val="11"/>
                <w:color w:val="auto"/>
              </w:rPr>
              <w:t>(5)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49.770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05/04/2014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47.530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06/20/2014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26.695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08/21/2015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90"/>
              </w:rPr>
              <w:t>14,750</w:t>
            </w:r>
            <w:r>
              <w:rPr>
                <w:rFonts w:ascii="Arial" w:cs="Arial" w:eastAsia="Arial" w:hAnsi="Arial"/>
                <w:sz w:val="11"/>
                <w:szCs w:val="11"/>
                <w:color w:val="auto"/>
                <w:w w:val="90"/>
              </w:rPr>
              <w:t>(4)</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30.735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05/18/2020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00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6,000</w:t>
            </w:r>
          </w:p>
        </w:tc>
        <w:tc>
          <w:tcPr>
            <w:tcW w:w="1160" w:type="dxa"/>
            <w:vAlign w:val="bottom"/>
            <w:gridSpan w:val="3"/>
          </w:tcPr>
          <w:p>
            <w:pPr>
              <w:jc w:val="center"/>
              <w:ind w:left="359"/>
              <w:spacing w:after="0"/>
              <w:rPr>
                <w:sz w:val="20"/>
                <w:szCs w:val="20"/>
                <w:color w:val="auto"/>
              </w:rPr>
            </w:pPr>
            <w:r>
              <w:rPr>
                <w:rFonts w:ascii="Arial" w:cs="Arial" w:eastAsia="Arial" w:hAnsi="Arial"/>
                <w:sz w:val="18"/>
                <w:szCs w:val="18"/>
                <w:color w:val="auto"/>
                <w:w w:val="87"/>
              </w:rPr>
              <w:t>24,000</w:t>
            </w:r>
            <w:r>
              <w:rPr>
                <w:rFonts w:ascii="Arial" w:cs="Arial" w:eastAsia="Arial" w:hAnsi="Arial"/>
                <w:sz w:val="11"/>
                <w:szCs w:val="11"/>
                <w:color w:val="auto"/>
                <w:w w:val="87"/>
              </w:rPr>
              <w:t>(7)</w:t>
            </w:r>
          </w:p>
        </w:tc>
        <w:tc>
          <w:tcPr>
            <w:tcW w:w="140" w:type="dxa"/>
            <w:vAlign w:val="bottom"/>
          </w:tcPr>
          <w:p>
            <w:pPr>
              <w:spacing w:after="0"/>
              <w:rPr>
                <w:sz w:val="24"/>
                <w:szCs w:val="24"/>
                <w:color w:val="auto"/>
              </w:rPr>
            </w:pPr>
          </w:p>
        </w:tc>
        <w:tc>
          <w:tcPr>
            <w:tcW w:w="1020" w:type="dxa"/>
            <w:vAlign w:val="bottom"/>
            <w:gridSpan w:val="2"/>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27.710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08/21/2016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r>
              <w:rPr>
                <w:rFonts w:ascii="Arial" w:cs="Arial" w:eastAsia="Arial" w:hAnsi="Arial"/>
                <w:sz w:val="11"/>
                <w:szCs w:val="11"/>
                <w:color w:val="auto"/>
              </w:rPr>
              <w:t>(6)</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242,080</w:t>
            </w:r>
          </w:p>
        </w:tc>
        <w:tc>
          <w:tcPr>
            <w:tcW w:w="1160" w:type="dxa"/>
            <w:vAlign w:val="bottom"/>
            <w:gridSpan w:val="2"/>
          </w:tcPr>
          <w:p>
            <w:pPr>
              <w:jc w:val="center"/>
              <w:ind w:left="98"/>
              <w:spacing w:after="0"/>
              <w:rPr>
                <w:sz w:val="20"/>
                <w:szCs w:val="20"/>
                <w:color w:val="auto"/>
              </w:rPr>
            </w:pPr>
            <w:r>
              <w:rPr>
                <w:rFonts w:ascii="Arial" w:cs="Arial" w:eastAsia="Arial" w:hAnsi="Arial"/>
                <w:sz w:val="18"/>
                <w:szCs w:val="18"/>
                <w:color w:val="auto"/>
                <w:w w:val="90"/>
              </w:rPr>
              <w:t>15,000</w:t>
            </w:r>
            <w:r>
              <w:rPr>
                <w:rFonts w:ascii="Arial" w:cs="Arial" w:eastAsia="Arial" w:hAnsi="Arial"/>
                <w:sz w:val="11"/>
                <w:szCs w:val="11"/>
                <w:color w:val="auto"/>
                <w:w w:val="90"/>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453,900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center"/>
              <w:ind w:left="256"/>
              <w:spacing w:after="0"/>
              <w:rPr>
                <w:sz w:val="20"/>
                <w:szCs w:val="20"/>
                <w:color w:val="auto"/>
              </w:rPr>
            </w:pPr>
            <w:r>
              <w:rPr>
                <w:rFonts w:ascii="Arial" w:cs="Arial" w:eastAsia="Arial" w:hAnsi="Arial"/>
                <w:sz w:val="18"/>
                <w:szCs w:val="18"/>
                <w:color w:val="auto"/>
                <w:w w:val="90"/>
              </w:rPr>
              <w:t>11,750</w:t>
            </w:r>
            <w:r>
              <w:rPr>
                <w:rFonts w:ascii="Arial" w:cs="Arial" w:eastAsia="Arial" w:hAnsi="Arial"/>
                <w:sz w:val="11"/>
                <w:szCs w:val="11"/>
                <w:color w:val="auto"/>
                <w:w w:val="90"/>
              </w:rPr>
              <w:t>(4)</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30.735</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05/18/2020</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98"/>
              <w:spacing w:after="0"/>
              <w:rPr>
                <w:sz w:val="20"/>
                <w:szCs w:val="20"/>
                <w:color w:val="auto"/>
              </w:rPr>
            </w:pPr>
            <w:r>
              <w:rPr>
                <w:rFonts w:ascii="Arial" w:cs="Arial" w:eastAsia="Arial" w:hAnsi="Arial"/>
                <w:sz w:val="18"/>
                <w:szCs w:val="18"/>
                <w:color w:val="auto"/>
                <w:w w:val="90"/>
              </w:rPr>
              <w:t>11,667</w:t>
            </w:r>
            <w:r>
              <w:rPr>
                <w:rFonts w:ascii="Arial" w:cs="Arial" w:eastAsia="Arial" w:hAnsi="Arial"/>
                <w:sz w:val="11"/>
                <w:szCs w:val="11"/>
                <w:color w:val="auto"/>
                <w:w w:val="90"/>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353,044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92,709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13.425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05/09/2012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0"/>
              </w:rPr>
              <w:t>16,250</w:t>
            </w:r>
            <w:r>
              <w:rPr>
                <w:rFonts w:ascii="Arial" w:cs="Arial" w:eastAsia="Arial" w:hAnsi="Arial"/>
                <w:sz w:val="11"/>
                <w:szCs w:val="11"/>
                <w:color w:val="auto"/>
                <w:w w:val="90"/>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49,665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11.763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05/08/2013</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0"/>
              </w:rPr>
              <w:t>11,667</w:t>
            </w:r>
            <w:r>
              <w:rPr>
                <w:rFonts w:ascii="Arial" w:cs="Arial" w:eastAsia="Arial" w:hAnsi="Arial"/>
                <w:sz w:val="11"/>
                <w:szCs w:val="11"/>
                <w:color w:val="auto"/>
                <w:w w:val="90"/>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29.076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06/09/2012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62.830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05/09/2016</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2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47.530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06/20/2014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26.695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08/21/2015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16"/>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center"/>
              <w:ind w:left="256"/>
              <w:spacing w:after="0"/>
              <w:rPr>
                <w:sz w:val="20"/>
                <w:szCs w:val="20"/>
                <w:color w:val="auto"/>
              </w:rPr>
            </w:pPr>
            <w:r>
              <w:rPr>
                <w:rFonts w:ascii="Arial" w:cs="Arial" w:eastAsia="Arial" w:hAnsi="Arial"/>
                <w:sz w:val="18"/>
                <w:szCs w:val="18"/>
                <w:color w:val="auto"/>
                <w:w w:val="90"/>
              </w:rPr>
              <w:t>12,750</w:t>
            </w:r>
            <w:r>
              <w:rPr>
                <w:rFonts w:ascii="Arial" w:cs="Arial" w:eastAsia="Arial" w:hAnsi="Arial"/>
                <w:sz w:val="11"/>
                <w:szCs w:val="11"/>
                <w:color w:val="auto"/>
                <w:w w:val="90"/>
              </w:rPr>
              <w:t>(4)</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30.735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05/18/2020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ind w:left="98"/>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31, 2011 ($30.26).</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RSUs granted on May 18, 2010. The Compensation Committee determined in May 2011 that 75.1% (or, in the case of Mr. Essl, 85.96%) of the RSUs was earned (the remainder was forfeited), at which time one-third of the earned RSUs were paid to the Named Executive Officer in shares of Common Stock. The remaining two-thirds will become payable to the Named Executive Officer in shares of Common Stock on March 31, 2012 and March 31, 2013.</w:t>
      </w:r>
    </w:p>
    <w:p>
      <w:pPr>
        <w:spacing w:after="0" w:line="1" w:lineRule="exact"/>
        <w:rPr>
          <w:rFonts w:ascii="Arial" w:cs="Arial" w:eastAsia="Arial" w:hAnsi="Arial"/>
          <w:sz w:val="18"/>
          <w:szCs w:val="18"/>
          <w:color w:val="auto"/>
        </w:rPr>
      </w:pPr>
    </w:p>
    <w:p>
      <w:pPr>
        <w:ind w:left="460" w:right="180" w:hanging="452"/>
        <w:spacing w:after="0" w:line="30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Represents restricted stock granted on May 18, 2010. The Compensation Committee determined in April 2011 that 100% of such stock was earned. Restrictions will lapse on the earned stock upon the Named Executive Officer meeting the requirements of retirement, as defined in the award agreement.</w:t>
      </w:r>
    </w:p>
    <w:p>
      <w:pPr>
        <w:ind w:left="460" w:right="2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stock options granted on May 18, 2010. The Compensation Committee determined in May 2011 that 75.1% (or, in the case of Mr. Essl, 85.96%) of such stock options was earned (the remainder was forfeited), at which time one-third of the earned stock options became exercisable. The remaining two-thirds will become exercisable on March 31, 2012 and March 31, 2013.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unvested portion of options to purchase 5,000 shares of Common Stock granted to Mr. Essl on May 4, 2007 under our Incentive Plan. The options vest ratably over 5 years.</w:t>
      </w:r>
    </w:p>
    <w:p>
      <w:pPr>
        <w:jc w:val="both"/>
        <w:ind w:left="4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remaining unvested shares under a restricted stock grant of 10,000 shares made to the listed Named Executive Officers on August 21, 2009 under our Incentive Plan. The remaining shares will vest as follows: 2,000 on August 21, 2011; 2,000 on August 21, 2012; 2,000 on August 21, 2013; and 2,000 on August 21, 2014.</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unvested portion of options to purchase 30,000 shares of Common Stock granted to Mr. Stewart on August 21, 2009 under our Incentive Plan. The options vest ratably over 5 years.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or restricted stock units during fiscal 2011 for each of our Named Executive Officers.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Option Awards</w:t>
            </w:r>
          </w:p>
        </w:tc>
        <w:tc>
          <w:tcPr>
            <w:tcW w:w="9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Value Realized</w:t>
            </w: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320" w:type="dxa"/>
            <w:vAlign w:val="bottom"/>
          </w:tcPr>
          <w:p>
            <w:pPr>
              <w:spacing w:after="0"/>
              <w:rPr>
                <w:sz w:val="6"/>
                <w:szCs w:val="6"/>
                <w:color w:val="auto"/>
              </w:rPr>
            </w:pPr>
          </w:p>
        </w:tc>
        <w:tc>
          <w:tcPr>
            <w:tcW w:w="2040" w:type="dxa"/>
            <w:vAlign w:val="bottom"/>
            <w:gridSpan w:val="2"/>
            <w:vMerge w:val="restart"/>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800" w:type="dxa"/>
            <w:vAlign w:val="bottom"/>
          </w:tcPr>
          <w:p>
            <w:pPr>
              <w:spacing w:after="0"/>
              <w:rPr>
                <w:sz w:val="6"/>
                <w:szCs w:val="6"/>
                <w:color w:val="auto"/>
              </w:rPr>
            </w:pPr>
          </w:p>
        </w:tc>
        <w:tc>
          <w:tcPr>
            <w:tcW w:w="198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4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restart"/>
          </w:tcPr>
          <w:p>
            <w:pPr>
              <w:jc w:val="center"/>
              <w:ind w:right="140"/>
              <w:spacing w:after="0" w:line="218" w:lineRule="exact"/>
              <w:rPr>
                <w:sz w:val="20"/>
                <w:szCs w:val="20"/>
                <w:color w:val="auto"/>
              </w:rPr>
            </w:pPr>
            <w:r>
              <w:rPr>
                <w:rFonts w:ascii="Arial" w:cs="Arial" w:eastAsia="Arial" w:hAnsi="Arial"/>
                <w:sz w:val="14"/>
                <w:szCs w:val="14"/>
                <w:b w:val="1"/>
                <w:bCs w:val="1"/>
                <w:color w:val="auto"/>
                <w:w w:val="81"/>
              </w:rPr>
              <w:t>Vesting</w:t>
            </w:r>
            <w:r>
              <w:rPr>
                <w:rFonts w:ascii="Arial" w:cs="Arial" w:eastAsia="Arial" w:hAnsi="Arial"/>
                <w:sz w:val="22"/>
                <w:szCs w:val="22"/>
                <w:b w:val="1"/>
                <w:bCs w:val="1"/>
                <w:color w:val="auto"/>
                <w:w w:val="81"/>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tcPr>
          <w:p>
            <w:pPr>
              <w:spacing w:after="0"/>
              <w:rPr>
                <w:sz w:val="12"/>
                <w:szCs w:val="12"/>
                <w:color w:val="auto"/>
              </w:rPr>
            </w:pPr>
          </w:p>
        </w:tc>
        <w:tc>
          <w:tcPr>
            <w:tcW w:w="19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980" w:type="dxa"/>
            <w:vAlign w:val="bottom"/>
            <w:gridSpan w:val="2"/>
          </w:tcPr>
          <w:p>
            <w:pPr>
              <w:jc w:val="center"/>
              <w:ind w:left="737"/>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98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71,316</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594,401</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6,429</w:t>
            </w:r>
            <w:r>
              <w:rPr>
                <w:rFonts w:ascii="Arial" w:cs="Arial" w:eastAsia="Arial" w:hAnsi="Arial"/>
                <w:sz w:val="11"/>
                <w:szCs w:val="11"/>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0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780" w:type="dxa"/>
            <w:vAlign w:val="bottom"/>
            <w:gridSpan w:val="3"/>
          </w:tcPr>
          <w:p>
            <w:pPr>
              <w:jc w:val="right"/>
              <w:ind w:right="660"/>
              <w:spacing w:after="0"/>
              <w:rPr>
                <w:sz w:val="20"/>
                <w:szCs w:val="20"/>
                <w:color w:val="auto"/>
              </w:rPr>
            </w:pPr>
            <w:r>
              <w:rPr>
                <w:rFonts w:ascii="Arial" w:cs="Arial" w:eastAsia="Arial" w:hAnsi="Arial"/>
                <w:sz w:val="18"/>
                <w:szCs w:val="18"/>
                <w:color w:val="auto"/>
              </w:rPr>
              <w:t>2,000</w:t>
            </w:r>
            <w:r>
              <w:rPr>
                <w:rFonts w:ascii="Arial" w:cs="Arial" w:eastAsia="Arial" w:hAnsi="Arial"/>
                <w:sz w:val="11"/>
                <w:szCs w:val="11"/>
                <w:color w:val="auto"/>
              </w:rPr>
              <w:t>(3)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23,772</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131,666</w:t>
            </w:r>
          </w:p>
        </w:tc>
        <w:tc>
          <w:tcPr>
            <w:tcW w:w="8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20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780" w:type="dxa"/>
            <w:vAlign w:val="bottom"/>
            <w:gridSpan w:val="3"/>
          </w:tcPr>
          <w:p>
            <w:pPr>
              <w:jc w:val="right"/>
              <w:ind w:right="660"/>
              <w:spacing w:after="0"/>
              <w:rPr>
                <w:sz w:val="20"/>
                <w:szCs w:val="20"/>
                <w:color w:val="auto"/>
              </w:rPr>
            </w:pPr>
            <w:r>
              <w:rPr>
                <w:rFonts w:ascii="Arial" w:cs="Arial" w:eastAsia="Arial" w:hAnsi="Arial"/>
                <w:sz w:val="18"/>
                <w:szCs w:val="18"/>
                <w:color w:val="auto"/>
              </w:rPr>
              <w:t>2,000</w:t>
            </w:r>
            <w:r>
              <w:rPr>
                <w:rFonts w:ascii="Arial" w:cs="Arial" w:eastAsia="Arial" w:hAnsi="Arial"/>
                <w:sz w:val="11"/>
                <w:szCs w:val="11"/>
                <w:color w:val="auto"/>
              </w:rPr>
              <w:t>(4)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134,870</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2,732,257</w:t>
            </w:r>
          </w:p>
        </w:tc>
        <w:tc>
          <w:tcPr>
            <w:tcW w:w="8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amount in this column represents the dollar amount realized by the Named Executive Officer valued at the time of the vesting of such shares.</w:t>
      </w:r>
    </w:p>
    <w:p>
      <w:pPr>
        <w:spacing w:after="0" w:line="38"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represents 6,429 shares of Common Stock for which restrictions lapsed during fiscal 2011 under the terms of a restricted stock grant of 45,000 shares made to Mr. Rowley on September 18, 2003 under our Incentive Plan.</w:t>
      </w:r>
    </w:p>
    <w:p>
      <w:pPr>
        <w:ind w:left="4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represents 2,000 shares of Common Stock for which restrictions lapsed during fiscal 2011 under the terms of a restricted stock grant of 10,000 shares made to Mr. Kesler on August 21, 2009 under our Incentive Plan.</w:t>
      </w:r>
    </w:p>
    <w:p>
      <w:pPr>
        <w:ind w:left="46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amount represents 2,000 shares of Common Stock for which restrictions lapsed during fiscal 2011 under the terms of a restricted stock grant of 10,000 shares made to Mr. Stewart on August 21, 2009 under our Incentive Plan.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Registrant</w:t>
            </w:r>
          </w:p>
        </w:tc>
        <w:tc>
          <w:tcPr>
            <w:tcW w:w="560" w:type="dxa"/>
            <w:vAlign w:val="bottom"/>
          </w:tcPr>
          <w:p>
            <w:pPr>
              <w:spacing w:after="0"/>
              <w:rPr>
                <w:sz w:val="12"/>
                <w:szCs w:val="12"/>
                <w:color w:val="auto"/>
              </w:rPr>
            </w:pPr>
          </w:p>
        </w:tc>
        <w:tc>
          <w:tcPr>
            <w:tcW w:w="17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Aggregate Earnings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5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58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Contributions in</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96"/>
              </w:rPr>
              <w:t>in</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Withdrawals/</w:t>
            </w:r>
          </w:p>
        </w:tc>
        <w:tc>
          <w:tcPr>
            <w:tcW w:w="5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Last FY</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1"/>
              <w:spacing w:after="0" w:line="16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(1)</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740"/>
              <w:spacing w:after="0" w:line="163"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Distributions</w:t>
            </w:r>
          </w:p>
        </w:tc>
        <w:tc>
          <w:tcPr>
            <w:tcW w:w="560" w:type="dxa"/>
            <w:vAlign w:val="bottom"/>
          </w:tcPr>
          <w:p>
            <w:pPr>
              <w:spacing w:after="0"/>
              <w:rPr>
                <w:sz w:val="14"/>
                <w:szCs w:val="14"/>
                <w:color w:val="auto"/>
              </w:rPr>
            </w:pPr>
          </w:p>
        </w:tc>
        <w:tc>
          <w:tcPr>
            <w:tcW w:w="800" w:type="dxa"/>
            <w:vAlign w:val="bottom"/>
            <w:gridSpan w:val="2"/>
          </w:tcPr>
          <w:p>
            <w:pPr>
              <w:jc w:val="center"/>
              <w:ind w:right="100"/>
              <w:spacing w:after="0" w:line="163"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496"/>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75,915</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$ 650,441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5,416</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8,368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20</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10,904</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83"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amounts in this column represent contributions made by the Company for the account of the Named Executive Officers during fiscal 2011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30 of this proxy statement. The amounts in this column are reflected in the “All Other Compensation” column of the Summary Compensation Table located on page 32.</w:t>
      </w:r>
    </w:p>
    <w:p>
      <w:pPr>
        <w:spacing w:after="0" w:line="2" w:lineRule="exact"/>
        <w:rPr>
          <w:rFonts w:ascii="Arial" w:cs="Arial" w:eastAsia="Arial" w:hAnsi="Arial"/>
          <w:sz w:val="16"/>
          <w:szCs w:val="16"/>
          <w:color w:val="auto"/>
        </w:rPr>
      </w:pPr>
    </w:p>
    <w:p>
      <w:pPr>
        <w:ind w:left="460" w:right="40" w:hanging="452"/>
        <w:spacing w:after="0" w:line="28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32 of this proxy statement. The table below shows the investment options available under our PSRP (other than the Common Stock fund) and the annual rate of return for the 12 month period ended March 31, 2011, as reported to us by the administrator of the plan.</w:t>
      </w:r>
    </w:p>
    <w:p>
      <w:pPr>
        <w:spacing w:after="0" w:line="16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Fund</w:t>
            </w:r>
          </w:p>
        </w:tc>
        <w:tc>
          <w:tcPr>
            <w:tcW w:w="2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Rate of Return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ABF Large Cap Value</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Legg Mason Partners Aggressive Growth A</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500 Index Fund</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Fidelity Growth Strategies</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Low Price Stock Fund</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JP Morgan Midcap Growth Fund</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Extended Market Index Fund</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ABF Small Cap Value PA</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Small Cap Fund</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Fidelity Diversified International Fund</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2000 Fund</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Managed Income Portfolio</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Fidelity US Bond Index Fund</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inflation Protected Securities Fund</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Spartan Short-term Treasury Bond Index Fund</w:t>
            </w:r>
          </w:p>
        </w:tc>
        <w:tc>
          <w:tcPr>
            <w:tcW w:w="2780" w:type="dxa"/>
            <w:vAlign w:val="bottom"/>
            <w:gridSpan w:val="3"/>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Retirement Money Market</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4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2011,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Any Termination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Deferred Compensation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SERP. These balances are shown in the Nonqualified Deferred Compensation in FY 2011 Table on page 39 of this proxy statement.</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u w:val="single" w:color="auto"/>
          <w:color w:val="auto"/>
        </w:rPr>
        <w:t>Death and Disability</w:t>
      </w:r>
      <w:r>
        <w:rPr>
          <w:rFonts w:ascii="Arial" w:cs="Arial" w:eastAsia="Arial" w:hAnsi="Arial"/>
          <w:sz w:val="18"/>
          <w:szCs w:val="18"/>
          <w:color w:val="auto"/>
        </w:rPr>
        <w:t>. A termination of employment due to death or disability does not entitle the Named Executive Officer to any payments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30 of this proxy statement.</w:t>
      </w:r>
    </w:p>
    <w:p>
      <w:pPr>
        <w:spacing w:after="0" w:line="143"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i w:val="1"/>
          <w:iCs w:val="1"/>
          <w:u w:val="single" w:color="auto"/>
          <w:color w:val="auto"/>
        </w:rPr>
        <w:t>Accrued Pay and Profit Sharing Plan Benefits</w:t>
      </w:r>
      <w:r>
        <w:rPr>
          <w:rFonts w:ascii="Arial" w:cs="Arial" w:eastAsia="Arial" w:hAnsi="Arial"/>
          <w:sz w:val="15"/>
          <w:szCs w:val="15"/>
          <w:color w:val="auto"/>
        </w:rPr>
        <w:t>. The amounts shown in the table below do not include payments and benefits to the extent they are provided</w:t>
      </w:r>
      <w:r>
        <w:rPr>
          <w:rFonts w:ascii="Arial" w:cs="Arial" w:eastAsia="Arial" w:hAnsi="Arial"/>
          <w:sz w:val="15"/>
          <w:szCs w:val="15"/>
          <w:i w:val="1"/>
          <w:iCs w:val="1"/>
          <w:color w:val="auto"/>
        </w:rPr>
        <w:t xml:space="preserve"> </w:t>
      </w:r>
      <w:r>
        <w:rPr>
          <w:rFonts w:ascii="Arial" w:cs="Arial" w:eastAsia="Arial" w:hAnsi="Arial"/>
          <w:sz w:val="15"/>
          <w:szCs w:val="15"/>
          <w:color w:val="auto"/>
        </w:rPr>
        <w:t>on a non-discriminatory basis to salaried employees generally upon termination of employment or relate to equity grants that have already vested. These include:</w:t>
      </w: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accrued salary and vacation pay through the date of termination;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unused vacation pay.</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Involuntary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Termination or</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Termination (non</w:t>
            </w: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Change</w:t>
            </w:r>
          </w:p>
        </w:tc>
        <w:tc>
          <w:tcPr>
            <w:tcW w:w="66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7"/>
              </w:rPr>
              <w:t>Death or</w:t>
            </w:r>
          </w:p>
        </w:tc>
        <w:tc>
          <w:tcPr>
            <w:tcW w:w="30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76"/>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Type of Payment</w:t>
            </w:r>
          </w:p>
        </w:tc>
        <w:tc>
          <w:tcPr>
            <w:tcW w:w="3340" w:type="dxa"/>
            <w:vAlign w:val="bottom"/>
            <w:vMerge w:val="restart"/>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in Control)</w:t>
            </w:r>
          </w:p>
        </w:tc>
        <w:tc>
          <w:tcPr>
            <w:tcW w:w="66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Disability</w:t>
            </w:r>
          </w:p>
        </w:tc>
        <w:tc>
          <w:tcPr>
            <w:tcW w:w="300" w:type="dxa"/>
            <w:vAlign w:val="bottom"/>
          </w:tcPr>
          <w:p>
            <w:pPr>
              <w:spacing w:after="0"/>
              <w:rPr>
                <w:sz w:val="15"/>
                <w:szCs w:val="15"/>
                <w:color w:val="auto"/>
              </w:rPr>
            </w:pPr>
          </w:p>
        </w:tc>
        <w:tc>
          <w:tcPr>
            <w:tcW w:w="98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2"/>
              </w:rPr>
              <w:t>Control</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42"/>
        </w:trPr>
        <w:tc>
          <w:tcPr>
            <w:tcW w:w="1040" w:type="dxa"/>
            <w:vAlign w:val="bottom"/>
            <w:tcBorders>
              <w:bottom w:val="single" w:sz="8" w:color="auto"/>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Steven R. Rowley</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w w:val="97"/>
              </w:rPr>
              <w:t>Unexercisable and Accelerated Awards</w:t>
            </w:r>
          </w:p>
        </w:tc>
        <w:tc>
          <w:tcPr>
            <w:tcW w:w="102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$1,702,125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334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1,008,657</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1,500,000</w:t>
            </w:r>
            <w:r>
              <w:rPr>
                <w:rFonts w:ascii="Arial" w:cs="Arial" w:eastAsia="Arial" w:hAnsi="Arial"/>
                <w:sz w:val="11"/>
                <w:szCs w:val="11"/>
                <w:color w:val="auto"/>
              </w:rPr>
              <w:t>(5)</w:t>
            </w:r>
          </w:p>
        </w:tc>
        <w:tc>
          <w:tcPr>
            <w:tcW w:w="3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3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ROWLEY TOTAL</w:t>
            </w:r>
          </w:p>
        </w:tc>
        <w:tc>
          <w:tcPr>
            <w:tcW w:w="10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$1,500,000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$2,710,782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10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39</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Termination or</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Voluntary</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Termination (non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1"/>
              </w:rPr>
              <w:t>Death or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76"/>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1"/>
              </w:rPr>
              <w:t>Type of Payment</w:t>
            </w:r>
          </w:p>
        </w:tc>
        <w:tc>
          <w:tcPr>
            <w:tcW w:w="4380" w:type="dxa"/>
            <w:vAlign w:val="bottom"/>
            <w:vMerge w:val="restart"/>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in Control)</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Disability</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2"/>
              </w:rPr>
              <w:t>Control</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42"/>
        </w:trPr>
        <w:tc>
          <w:tcPr>
            <w:tcW w:w="1040" w:type="dxa"/>
            <w:vAlign w:val="bottom"/>
            <w:tcBorders>
              <w:bottom w:val="single" w:sz="8" w:color="auto"/>
            </w:tcBorders>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 Craig Kesler</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453,900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595,124</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1,500,000</w:t>
            </w:r>
            <w:r>
              <w:rPr>
                <w:rFonts w:ascii="Arial" w:cs="Arial" w:eastAsia="Arial" w:hAnsi="Arial"/>
                <w:sz w:val="11"/>
                <w:szCs w:val="11"/>
                <w:color w:val="auto"/>
                <w:w w:val="87"/>
              </w:rPr>
              <w:t>(5)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KESLER TOTAL</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1,500,000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1,049,024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Gerald J. Essl</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567,375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353,044</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23"/>
        </w:trPr>
        <w:tc>
          <w:tcPr>
            <w:tcW w:w="5420" w:type="dxa"/>
            <w:vAlign w:val="bottom"/>
            <w:gridSpan w:val="2"/>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999,377</w:t>
            </w:r>
            <w:r>
              <w:rPr>
                <w:rFonts w:ascii="Arial" w:cs="Arial" w:eastAsia="Arial" w:hAnsi="Arial"/>
                <w:sz w:val="11"/>
                <w:szCs w:val="11"/>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80" w:type="dxa"/>
            <w:vAlign w:val="bottom"/>
          </w:tcPr>
          <w:p>
            <w:pPr>
              <w:ind w:left="700"/>
              <w:spacing w:after="0"/>
              <w:rPr>
                <w:sz w:val="20"/>
                <w:szCs w:val="20"/>
                <w:color w:val="auto"/>
              </w:rPr>
            </w:pPr>
            <w:r>
              <w:rPr>
                <w:rFonts w:ascii="Arial" w:cs="Arial" w:eastAsia="Arial" w:hAnsi="Arial"/>
                <w:sz w:val="18"/>
                <w:szCs w:val="18"/>
                <w:b w:val="1"/>
                <w:bCs w:val="1"/>
                <w:color w:val="auto"/>
              </w:rPr>
              <w:t>ESSL TOTAL</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999,377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920,419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S. Stewart</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61,200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453,900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19"/>
                <w:szCs w:val="19"/>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595,124</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1,500,000</w:t>
            </w:r>
            <w:r>
              <w:rPr>
                <w:rFonts w:ascii="Arial" w:cs="Arial" w:eastAsia="Arial" w:hAnsi="Arial"/>
                <w:sz w:val="11"/>
                <w:szCs w:val="11"/>
                <w:color w:val="auto"/>
                <w:w w:val="87"/>
              </w:rPr>
              <w:t>(5)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STEWART TOTAL</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1,500,000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1,110,224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James H. Graass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Long-Term Incentives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Stock Options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Unexercisable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Restricted Stock Units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491,725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Restricted Stock Award</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Unvested and Accelerated Awards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353,044</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323"/>
        </w:trPr>
        <w:tc>
          <w:tcPr>
            <w:tcW w:w="5420" w:type="dxa"/>
            <w:vAlign w:val="bottom"/>
            <w:gridSpan w:val="2"/>
          </w:tcPr>
          <w:p>
            <w:pPr>
              <w:ind w:left="440"/>
              <w:spacing w:after="0"/>
              <w:rPr>
                <w:sz w:val="20"/>
                <w:szCs w:val="20"/>
                <w:color w:val="auto"/>
              </w:rPr>
            </w:pPr>
            <w:r>
              <w:rPr>
                <w:rFonts w:ascii="Arial" w:cs="Arial" w:eastAsia="Arial" w:hAnsi="Arial"/>
                <w:sz w:val="18"/>
                <w:szCs w:val="18"/>
                <w:i w:val="1"/>
                <w:iCs w:val="1"/>
                <w:color w:val="auto"/>
              </w:rPr>
              <w:t>Benefits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Salary Continuation Plan Payments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1,500,000</w:t>
            </w:r>
            <w:r>
              <w:rPr>
                <w:rFonts w:ascii="Arial" w:cs="Arial" w:eastAsia="Arial" w:hAnsi="Arial"/>
                <w:sz w:val="11"/>
                <w:szCs w:val="11"/>
                <w:color w:val="auto"/>
                <w:w w:val="87"/>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380" w:type="dxa"/>
            <w:vAlign w:val="bottom"/>
          </w:tcPr>
          <w:p>
            <w:pPr>
              <w:ind w:left="700"/>
              <w:spacing w:after="0"/>
              <w:rPr>
                <w:sz w:val="20"/>
                <w:szCs w:val="20"/>
                <w:color w:val="auto"/>
              </w:rPr>
            </w:pPr>
            <w:r>
              <w:rPr>
                <w:rFonts w:ascii="Arial" w:cs="Arial" w:eastAsia="Arial" w:hAnsi="Arial"/>
                <w:sz w:val="18"/>
                <w:szCs w:val="18"/>
                <w:b w:val="1"/>
                <w:bCs w:val="1"/>
                <w:color w:val="auto"/>
              </w:rPr>
              <w:t>GRAASS TOTAL</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1,500,000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844,769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040" w:type="dxa"/>
            <w:vAlign w:val="bottom"/>
            <w:shd w:val="clear" w:color="auto" w:fill="CCEEFF"/>
          </w:tcPr>
          <w:p>
            <w:pPr>
              <w:spacing w:after="0"/>
              <w:rPr>
                <w:sz w:val="17"/>
                <w:szCs w:val="17"/>
                <w:color w:val="auto"/>
              </w:rPr>
            </w:pPr>
          </w:p>
        </w:tc>
        <w:tc>
          <w:tcPr>
            <w:tcW w:w="43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b w:val="1"/>
                <w:bCs w:val="1"/>
                <w:color w:val="auto"/>
              </w:rPr>
              <w:t>AGGREGATE TOTAL FOR NAMED</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438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EXECUTIVE OFFICERS</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4"/>
              </w:rPr>
              <w:t>6,999,377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6,635,218</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definition of “Change in Control” is described under “Change in Control Benefits” on page 30 of this proxy statement.</w:t>
      </w:r>
    </w:p>
    <w:p>
      <w:pPr>
        <w:spacing w:after="0" w:line="15"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dollar value of the unexercisable stock options that are accelerated because of a change in control based on the amount, if any, that the closing price of our Common Stock on March 31, 2011 ($30.26) exceeds the exercise price of the stock option.</w:t>
      </w:r>
    </w:p>
    <w:p>
      <w:pPr>
        <w:spacing w:after="0" w:line="1"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dollar value of the RSUs, if any, that are accelerated or paid to the Named Executive Officer in the form of Common Stock because of a change in control, based on the closing price of our Common Stock on March 31, 2011 ($30.26).</w:t>
      </w:r>
    </w:p>
    <w:p>
      <w:pPr>
        <w:sectPr>
          <w:pgSz w:w="11900" w:h="16838" w:orient="portrait"/>
          <w:cols w:equalWidth="0" w:num="1">
            <w:col w:w="11080"/>
          </w:cols>
          <w:pgMar w:left="240" w:top="459" w:right="579" w:bottom="1440" w:gutter="0" w:footer="0" w:header="0"/>
        </w:sectPr>
      </w:pP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080"/>
          </w:cols>
          <w:pgMar w:left="240" w:top="459" w:right="57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a change in control based on the closing price of our Common Stock on March 31, 2011 ($30.26).</w:t>
      </w:r>
    </w:p>
    <w:p>
      <w:pPr>
        <w:ind w:left="46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2011 salaries):</w:t>
      </w:r>
    </w:p>
    <w:p>
      <w:pPr>
        <w:spacing w:after="0" w:line="63" w:lineRule="exact"/>
        <w:rPr>
          <w:rFonts w:ascii="Arial" w:cs="Arial" w:eastAsia="Arial" w:hAnsi="Arial"/>
          <w:sz w:val="18"/>
          <w:szCs w:val="18"/>
          <w:color w:val="auto"/>
        </w:rPr>
      </w:pPr>
    </w:p>
    <w:p>
      <w:pPr>
        <w:ind w:left="1480" w:hanging="567"/>
        <w:spacing w:after="0"/>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Rowley – $820,000 in a lump sum payment plus $410,000 per year until the beneficiaries have received a total of $1,500,000 in payments.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Kesler – $256,250 in a lump sum payment plus $128,125 per year until the beneficiaries have received a total of $1,500,000 in payments.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Essl – $333,125 in a lump sum payment plus $166,563 per year until the date Mr. Essl would have reached 66.</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Stewart – $358,750 in a lump sum payment plus $179,375 per year until the beneficiaries have received a total of $1,500,000 in payments.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Graass – $333,125 in a lump sum payment plus $166,563 per year until the beneficiaries have received a total of $1,500,000 in payments.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OWNERSHIP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our current executive officers and (c) by all directors and executive officers of the Company as a group (15 persons). Except as otherwise indicated, all shares are owned directly, and the owner of such shares has the sole voting and investment power with respect thereto.</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Amount and Nature of Beneficial Ownership </w:t>
      </w:r>
      <w:r>
        <w:rPr>
          <w:rFonts w:ascii="Arial" w:cs="Arial" w:eastAsia="Arial" w:hAnsi="Arial"/>
          <w:sz w:val="11"/>
          <w:szCs w:val="11"/>
          <w:b w:val="1"/>
          <w:bCs w:val="1"/>
          <w:color w:val="auto"/>
        </w:rPr>
        <w:t>(1)</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20" w:type="dxa"/>
            <w:vAlign w:val="bottom"/>
            <w:gridSpan w:val="2"/>
          </w:tcPr>
          <w:p>
            <w:pPr>
              <w:jc w:val="center"/>
              <w:ind w:left="453"/>
              <w:spacing w:after="0"/>
              <w:rPr>
                <w:sz w:val="20"/>
                <w:szCs w:val="20"/>
                <w:color w:val="auto"/>
              </w:rPr>
            </w:pPr>
            <w:r>
              <w:rPr>
                <w:rFonts w:ascii="Arial" w:cs="Arial" w:eastAsia="Arial" w:hAnsi="Arial"/>
                <w:sz w:val="14"/>
                <w:szCs w:val="14"/>
                <w:b w:val="1"/>
                <w:bCs w:val="1"/>
                <w:color w:val="auto"/>
                <w:w w:val="89"/>
              </w:rPr>
              <w:t>Number of Shares</w:t>
            </w:r>
          </w:p>
        </w:tc>
        <w:tc>
          <w:tcPr>
            <w:tcW w:w="8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r>
      <w:tr>
        <w:trPr>
          <w:trHeight w:val="134"/>
        </w:trPr>
        <w:tc>
          <w:tcPr>
            <w:tcW w:w="5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Beneficially</w:t>
            </w:r>
          </w:p>
        </w:tc>
        <w:tc>
          <w:tcPr>
            <w:tcW w:w="1720" w:type="dxa"/>
            <w:vAlign w:val="bottom"/>
            <w:gridSpan w:val="3"/>
          </w:tcPr>
          <w:p>
            <w:pPr>
              <w:jc w:val="center"/>
              <w:ind w:left="513"/>
              <w:spacing w:after="0" w:line="135" w:lineRule="exact"/>
              <w:rPr>
                <w:sz w:val="20"/>
                <w:szCs w:val="20"/>
                <w:color w:val="auto"/>
              </w:rPr>
            </w:pPr>
            <w:r>
              <w:rPr>
                <w:rFonts w:ascii="Arial" w:cs="Arial" w:eastAsia="Arial" w:hAnsi="Arial"/>
                <w:sz w:val="14"/>
                <w:szCs w:val="14"/>
                <w:b w:val="1"/>
                <w:bCs w:val="1"/>
                <w:color w:val="auto"/>
                <w:w w:val="87"/>
              </w:rPr>
              <w:t>of Common</w:t>
            </w:r>
          </w:p>
        </w:tc>
      </w:tr>
      <w:tr>
        <w:trPr>
          <w:trHeight w:val="176"/>
        </w:trPr>
        <w:tc>
          <w:tcPr>
            <w:tcW w:w="5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(2)</w:t>
            </w:r>
          </w:p>
        </w:tc>
        <w:tc>
          <w:tcPr>
            <w:tcW w:w="8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5"/>
                <w:szCs w:val="15"/>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99,065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Ed H. Bowman</w:t>
            </w:r>
          </w:p>
        </w:tc>
        <w:tc>
          <w:tcPr>
            <w:tcW w:w="540" w:type="dxa"/>
            <w:vAlign w:val="bottom"/>
          </w:tcPr>
          <w:p>
            <w:pPr>
              <w:spacing w:after="0"/>
              <w:rPr>
                <w:sz w:val="18"/>
                <w:szCs w:val="18"/>
                <w:color w:val="auto"/>
              </w:rPr>
            </w:pPr>
          </w:p>
        </w:tc>
        <w:tc>
          <w:tcPr>
            <w:tcW w:w="108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1"/>
                <w:szCs w:val="11"/>
                <w:color w:val="auto"/>
              </w:rPr>
              <w:t>(3)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139,140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William R. Devlin</w:t>
            </w:r>
            <w:r>
              <w:rPr>
                <w:rFonts w:ascii="Arial" w:cs="Arial" w:eastAsia="Arial" w:hAnsi="Arial"/>
                <w:sz w:val="11"/>
                <w:szCs w:val="11"/>
                <w:color w:val="auto"/>
              </w:rPr>
              <w:t>(4)(5)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45,181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James H. Graass</w:t>
            </w:r>
            <w:r>
              <w:rPr>
                <w:rFonts w:ascii="Arial" w:cs="Arial" w:eastAsia="Arial" w:hAnsi="Arial"/>
                <w:sz w:val="11"/>
                <w:szCs w:val="11"/>
                <w:color w:val="auto"/>
              </w:rPr>
              <w:t>(6)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288,862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1"/>
                <w:szCs w:val="11"/>
                <w:color w:val="auto"/>
              </w:rPr>
              <w:t>(7)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1,635,180</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 Craig Kesler</w:t>
            </w:r>
            <w:r>
              <w:rPr>
                <w:rFonts w:ascii="Arial" w:cs="Arial" w:eastAsia="Arial" w:hAnsi="Arial"/>
                <w:sz w:val="11"/>
                <w:szCs w:val="11"/>
                <w:color w:val="auto"/>
              </w:rPr>
              <w:t>(5) (8)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56,205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Frank W. Maresh</w:t>
            </w:r>
            <w:r>
              <w:rPr>
                <w:rFonts w:ascii="Arial" w:cs="Arial" w:eastAsia="Arial" w:hAnsi="Arial"/>
                <w:sz w:val="11"/>
                <w:szCs w:val="11"/>
                <w:color w:val="auto"/>
              </w:rPr>
              <w:t>(9)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1"/>
                <w:szCs w:val="11"/>
                <w:color w:val="auto"/>
              </w:rPr>
              <w:t>(10)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72,114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99,425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David W. Quinn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106,816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r>
              <w:rPr>
                <w:rFonts w:ascii="Arial" w:cs="Arial" w:eastAsia="Arial" w:hAnsi="Arial"/>
                <w:sz w:val="11"/>
                <w:szCs w:val="11"/>
                <w:color w:val="auto"/>
              </w:rPr>
              <w:t>(11)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725,502</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1"/>
                <w:szCs w:val="11"/>
                <w:color w:val="auto"/>
              </w:rPr>
              <w:t>(12)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37,014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Robert S. Stewart</w:t>
            </w:r>
            <w:r>
              <w:rPr>
                <w:rFonts w:ascii="Arial" w:cs="Arial" w:eastAsia="Arial" w:hAnsi="Arial"/>
                <w:sz w:val="11"/>
                <w:szCs w:val="11"/>
                <w:color w:val="auto"/>
              </w:rPr>
              <w:t>(5)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8"/>
                <w:szCs w:val="18"/>
                <w:color w:val="auto"/>
                <w:w w:val="97"/>
              </w:rPr>
              <w:t>All current directors, nominees and executive officers as a group (15</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340" w:type="dxa"/>
            <w:vAlign w:val="bottom"/>
          </w:tcPr>
          <w:p>
            <w:pPr>
              <w:ind w:left="220"/>
              <w:spacing w:after="0"/>
              <w:rPr>
                <w:sz w:val="20"/>
                <w:szCs w:val="20"/>
                <w:color w:val="auto"/>
              </w:rPr>
            </w:pPr>
            <w:r>
              <w:rPr>
                <w:rFonts w:ascii="Arial" w:cs="Arial" w:eastAsia="Arial" w:hAnsi="Arial"/>
                <w:sz w:val="18"/>
                <w:szCs w:val="18"/>
                <w:color w:val="auto"/>
              </w:rPr>
              <w:t>persons)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3,543,273</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right="10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2" w:lineRule="exact"/>
        <w:rPr>
          <w:rFonts w:ascii="Arial" w:cs="Arial" w:eastAsia="Arial" w:hAnsi="Arial"/>
          <w:sz w:val="18"/>
          <w:szCs w:val="18"/>
          <w:color w:val="auto"/>
        </w:rPr>
      </w:pPr>
    </w:p>
    <w:p>
      <w:pPr>
        <w:ind w:left="580" w:hanging="572"/>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include the following shares of Common Stock that may be acquired upon exercise of stock options awarded under our Incentive Plan:</w:t>
      </w:r>
    </w:p>
    <w:p>
      <w:pPr>
        <w:spacing w:after="0" w:line="3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5"/>
          <w:szCs w:val="15"/>
          <w:color w:val="auto"/>
        </w:rPr>
        <w:t>Mr. Barnett – 99,065 shares; Mr. Clarke – 84,848 shares; Mr. Devlin – 22,344 shares; Mr. Essl – 112,892 shares; Mr. Graass – 208,567 shares; Mr. Hirsch</w:t>
      </w:r>
    </w:p>
    <w:p>
      <w:pPr>
        <w:spacing w:after="0" w:line="43" w:lineRule="exact"/>
        <w:rPr>
          <w:rFonts w:ascii="Arial" w:cs="Arial" w:eastAsia="Arial" w:hAnsi="Arial"/>
          <w:sz w:val="16"/>
          <w:szCs w:val="16"/>
          <w:color w:val="auto"/>
        </w:rPr>
      </w:pPr>
    </w:p>
    <w:p>
      <w:pPr>
        <w:ind w:left="580" w:right="40"/>
        <w:spacing w:after="0" w:line="300" w:lineRule="auto"/>
        <w:rPr>
          <w:rFonts w:ascii="Arial" w:cs="Arial" w:eastAsia="Arial" w:hAnsi="Arial"/>
          <w:sz w:val="16"/>
          <w:szCs w:val="16"/>
          <w:color w:val="auto"/>
        </w:rPr>
      </w:pPr>
      <w:r>
        <w:rPr>
          <w:rFonts w:ascii="Arial" w:cs="Arial" w:eastAsia="Arial" w:hAnsi="Arial"/>
          <w:sz w:val="15"/>
          <w:szCs w:val="15"/>
          <w:color w:val="auto"/>
        </w:rPr>
        <w:t>– 112,610 shares; Mr. Kesler – 27,113 shares; Mr. Maresh – 36,314 shares; Mr. Nicolais – 56,180 shares; Mr. Powers – 72,073 shares; Mr. Quinn – 88,555 shares; Mr. Rowley – 356,854 shares; Mr. Richard Stewart – 31,014 shares; Mr. Robert Stewart – 8,942 shares; and all directors and executive officers of the Company as a group (15 persons) – 1,317,371 shares. In addition, this table includes shares of Common Stock that are held for the account of participants as of May 6, 2011, pursuant to the Common Stock fund of the PSRP, as follows: Mr. Devlin – 1,279 shares; Mr. Graass – 480 shares; Mr. Kesler – 662 shares; Mr. Powers – 1,508 shares; Mr. Rowley – 2,276 shares; and all directors and executive officers of the Company as a group (15 persons) – 6,205 shares. Additionally, this table includes unvested shares of “hold to retirement” restricted stock under awards originally made on</w:t>
      </w:r>
    </w:p>
    <w:p>
      <w:pPr>
        <w:spacing w:after="0" w:line="2" w:lineRule="exact"/>
        <w:rPr>
          <w:rFonts w:ascii="Arial" w:cs="Arial" w:eastAsia="Arial" w:hAnsi="Arial"/>
          <w:sz w:val="16"/>
          <w:szCs w:val="16"/>
          <w:color w:val="auto"/>
        </w:rPr>
      </w:pPr>
    </w:p>
    <w:p>
      <w:pPr>
        <w:ind w:left="580" w:right="100"/>
        <w:spacing w:after="0" w:line="281" w:lineRule="auto"/>
        <w:rPr>
          <w:rFonts w:ascii="Arial" w:cs="Arial" w:eastAsia="Arial" w:hAnsi="Arial"/>
          <w:sz w:val="16"/>
          <w:szCs w:val="16"/>
          <w:color w:val="auto"/>
        </w:rPr>
      </w:pPr>
      <w:r>
        <w:rPr>
          <w:rFonts w:ascii="Arial" w:cs="Arial" w:eastAsia="Arial" w:hAnsi="Arial"/>
          <w:sz w:val="16"/>
          <w:szCs w:val="16"/>
          <w:color w:val="auto"/>
        </w:rPr>
        <w:t>May 18, 2010, as follows: Mr. Devlin – 5,000 shares; Mr. Essl – 11,667 shares; Mr. Graass – 11,667 shares; Mr. Kesler – 11,667 shares; Mr. Powers – 11,667 shares; Mr. Rowley – 33,333 shares; Mr. Robert Stewart – 11,667 shares; and all directors and executive officers of the Company as a group (15 persons) – 96,668 shares. These amounts do not include the RSUs previously granted to the non-employee directors (including dividend equivalent units accrued since the date of grant) disclosed in the table on page 9 of this proxy statement.</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54,292 shares pledged as collateral for a loan.</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1,200 shares of Common Stock held in Mr. Devlin’s IRA.</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20" w:hanging="572"/>
        <w:spacing w:after="0" w:line="254"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8,000 shares of Common Stock representing the remaining unvested shares under a restricted stock award originally made to the executive on August 21, 2009.</w:t>
      </w: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64,568 shares pledged as collateral for a loan. Also includes 543 shares of Common Stock held in Mr. Graass’s IRA.</w:t>
      </w:r>
    </w:p>
    <w:p>
      <w:pPr>
        <w:spacing w:after="0" w:line="9" w:lineRule="exact"/>
        <w:rPr>
          <w:rFonts w:ascii="Arial" w:cs="Arial" w:eastAsia="Arial" w:hAnsi="Arial"/>
          <w:sz w:val="18"/>
          <w:szCs w:val="18"/>
          <w:color w:val="auto"/>
        </w:rPr>
      </w:pPr>
    </w:p>
    <w:p>
      <w:pPr>
        <w:ind w:left="580" w:right="180" w:hanging="572"/>
        <w:spacing w:after="0" w:line="250"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845,546 shares of Common Stock owned by Highlander. Also includes 5,173 shares of Common Stock owned by Hirsch Family Partnership No. 1, Ltd.; and 5,173 shares of Common Stock owned by Hirsch Family Partnership No. 2, Ltd., with respect to which Mr. Hirsch disclaims beneficial ownership.</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Also includes 160 shares of Common Stock held in Mr. Kesler’s IRA.</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3,325 shares of Common Stock held in Mr. Maresh’s IRA.</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(a) 1,386 shares of Common Stock owned by Mr. Nicolais’ wife; (b) 1,550 shares of Common Stock owned by the profit sharing plan of</w:t>
      </w:r>
    </w:p>
    <w:p>
      <w:pPr>
        <w:spacing w:after="0" w:line="32" w:lineRule="exact"/>
        <w:rPr>
          <w:rFonts w:ascii="Arial" w:cs="Arial" w:eastAsia="Arial" w:hAnsi="Arial"/>
          <w:sz w:val="16"/>
          <w:szCs w:val="16"/>
          <w:color w:val="auto"/>
        </w:rPr>
      </w:pPr>
    </w:p>
    <w:p>
      <w:pPr>
        <w:ind w:left="580" w:right="100"/>
        <w:spacing w:after="0" w:line="250" w:lineRule="auto"/>
        <w:rPr>
          <w:rFonts w:ascii="Arial" w:cs="Arial" w:eastAsia="Arial" w:hAnsi="Arial"/>
          <w:sz w:val="16"/>
          <w:szCs w:val="16"/>
          <w:color w:val="auto"/>
        </w:rPr>
      </w:pPr>
      <w:r>
        <w:rPr>
          <w:rFonts w:ascii="Arial" w:cs="Arial" w:eastAsia="Arial" w:hAnsi="Arial"/>
          <w:sz w:val="18"/>
          <w:szCs w:val="18"/>
          <w:color w:val="auto"/>
        </w:rPr>
        <w:t>Mr. Nicolais’ employer; (c) 3,500 shares of Common Stock held in Mr. Nicolais’ IRA; (d) 555 shares of Common Stock held in trust (Mr. Nicolais’ wife is trustee) for their daughter; and (e) 555 shares of Common Stock held in trust (Mr. Nicolais’ wife is trustee) for their son. Mr. Nicolais has disclaimed beneficial ownership of the shares of Common Stock held in trust.</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280,833 shares pledged as collateral for a loan. Also includes 1,929 shares held in Mr. Rowley’s IRA.</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6,000 shares owned by Stewart Family Trust.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9, 2011, the record date for our annual meeting of stockholders.</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Number of Shares</w:t>
            </w:r>
          </w:p>
        </w:tc>
        <w:tc>
          <w:tcPr>
            <w:tcW w:w="8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446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8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FMR, LLC</w:t>
            </w:r>
            <w:r>
              <w:rPr>
                <w:rFonts w:ascii="Arial" w:cs="Arial" w:eastAsia="Arial" w:hAnsi="Arial"/>
                <w:sz w:val="11"/>
                <w:szCs w:val="11"/>
                <w:color w:val="auto"/>
              </w:rPr>
              <w:t>(1)</w:t>
            </w:r>
          </w:p>
        </w:tc>
        <w:tc>
          <w:tcPr>
            <w:tcW w:w="33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82 Devonshire Street</w:t>
            </w: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Boston, MA 02109</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4,638,902</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16"/>
        </w:trPr>
        <w:tc>
          <w:tcPr>
            <w:tcW w:w="2400" w:type="dxa"/>
            <w:vAlign w:val="bottom"/>
            <w:gridSpan w:val="2"/>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(2)</w:t>
            </w: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New York, NY 10022</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2,671,059</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Samana Capital, L.P. </w:t>
            </w:r>
            <w:r>
              <w:rPr>
                <w:rFonts w:ascii="Arial" w:cs="Arial" w:eastAsia="Arial" w:hAnsi="Arial"/>
                <w:sz w:val="11"/>
                <w:szCs w:val="11"/>
                <w:color w:val="auto"/>
              </w:rPr>
              <w:t>(3)</w:t>
            </w: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35 Ocean Reef Drive</w:t>
            </w: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Suite 142</w:t>
            </w: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Key Largo, FL 33037</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2,643,285</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6"/>
        </w:trPr>
        <w:tc>
          <w:tcPr>
            <w:tcW w:w="2400" w:type="dxa"/>
            <w:vAlign w:val="bottom"/>
            <w:gridSpan w:val="2"/>
          </w:tcPr>
          <w:p>
            <w:pPr>
              <w:spacing w:after="0"/>
              <w:rPr>
                <w:sz w:val="20"/>
                <w:szCs w:val="20"/>
                <w:color w:val="auto"/>
              </w:rPr>
            </w:pPr>
            <w:r>
              <w:rPr>
                <w:rFonts w:ascii="Arial" w:cs="Arial" w:eastAsia="Arial" w:hAnsi="Arial"/>
                <w:sz w:val="18"/>
                <w:szCs w:val="18"/>
                <w:color w:val="auto"/>
                <w:w w:val="95"/>
              </w:rPr>
              <w:t>Ash Grove Cement Company</w:t>
            </w:r>
            <w:r>
              <w:rPr>
                <w:rFonts w:ascii="Arial" w:cs="Arial" w:eastAsia="Arial" w:hAnsi="Arial"/>
                <w:sz w:val="11"/>
                <w:szCs w:val="11"/>
                <w:color w:val="auto"/>
                <w:w w:val="95"/>
              </w:rPr>
              <w:t>(4)</w:t>
            </w: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11011 Cody</w:t>
            </w: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Overland Park, KS 66210</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2,194,298</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53"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14, 2011. Of the shares reported in the Schedule 13G/A, FMR, LLC has sole voting power with respect to 804,102 shares, and sole dispositive power with respect to 4,638,902 shares, and Edward C. Johnson, III, has sole dispositive power with respect to 4,638,902 shares.</w:t>
      </w:r>
    </w:p>
    <w:p>
      <w:pPr>
        <w:ind w:left="460" w:right="58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 filed with the SEC on February 14, 2011. Of the shares reported in the Schedule 13G, BlackRock, Inc. has sole voting and dispositive power with respect to 2,671,059 shares.</w:t>
      </w: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13G/A filed with the SEC on February 14, 2011. Of the shares reported in the Schedule 13G/A,</w:t>
      </w:r>
    </w:p>
    <w:p>
      <w:pPr>
        <w:spacing w:after="0" w:line="32" w:lineRule="exact"/>
        <w:rPr>
          <w:rFonts w:ascii="Arial" w:cs="Arial" w:eastAsia="Arial" w:hAnsi="Arial"/>
          <w:sz w:val="16"/>
          <w:szCs w:val="16"/>
          <w:color w:val="auto"/>
        </w:rPr>
      </w:pPr>
    </w:p>
    <w:p>
      <w:pPr>
        <w:ind w:left="460"/>
        <w:spacing w:after="0" w:line="250" w:lineRule="auto"/>
        <w:rPr>
          <w:rFonts w:ascii="Arial" w:cs="Arial" w:eastAsia="Arial" w:hAnsi="Arial"/>
          <w:sz w:val="16"/>
          <w:szCs w:val="16"/>
          <w:color w:val="auto"/>
        </w:rPr>
      </w:pPr>
      <w:r>
        <w:rPr>
          <w:rFonts w:ascii="Arial" w:cs="Arial" w:eastAsia="Arial" w:hAnsi="Arial"/>
          <w:sz w:val="18"/>
          <w:szCs w:val="18"/>
          <w:color w:val="auto"/>
        </w:rPr>
        <w:t>(i) Samana Capital, L.P. (“SC”) has shared voting and dispositive power with respect to 2,206,751 shares; and (ii) Morton Holdings, Inc. (“MH”) and Philip B. Korsant have shared voting and dispositive power with respect to 2,643,285 shares. MH is the general partner of SC.</w:t>
      </w:r>
    </w:p>
    <w:p>
      <w:pPr>
        <w:ind w:left="460" w:right="120" w:hanging="452"/>
        <w:spacing w:after="0" w:line="290"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13D filed with the SEC on August 19, 2008. Of the shares reported in the Schedule 13D, (i) Ash Grove Cement Company (“Ash Grove”) has sole voting power with respect to 2,194,298 shares; (ii) Ash Grove has sole dispositive power with respect to 2,194,298 shares; and (iii) Robert Sunderland, James P. Sunderland, Charles T. Sunderland, and Kenton W. Sunderland have shared voting and dispositive power with respect to 2,194,298. Ash Grove is a private company controlled by various family trusts and partnerships for the benefit of Paul Sunderland and his descendants (collectively, the “Sunderland Family Trusts”). Each of Robert Sunderland, James P. Sunderland, Charles T. Sunderland, and Kenton W. Sunderland is a beneficiary of certain Sunderland Family Trusts and a trustee of certain Sunderland Family Trusts.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Eagle Ethics, officers or employees are encouraged to consult with their supervisors regarding any matter that may involve a conflict of interest. In addition, Eagle Ethics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solely on our review of the copies of such forms we received with respect to fiscal 2011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2011 applicable to such persons, except for the late reporting of dividend equivalent RSUs accrued by Messrs. Barnett, Clarke, Hirsch, Nicolais and Quinn in connection with our November 2010 cash dividend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5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All of the Company’s employees and directors are required to certify to the Company, on an annual basis, that they have complied with the Company’s code of conduct without exception or, if they have not so complied, to list the exceptions.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The Company has posted the text of its code of conduct on its Internet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ADVISORY VOTE ON COMPENSATION OF OUR NAMED EXECUTIVE OFFICERS</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are seeking your advisory vote approving the compensation paid to our named executive officers as disclosed in this proxy statement. We believe the structure of our executive compensation programs promoted our business objectives and serves to motivate, attract and retain executive talent.</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urge stockholders to read our “Compensation Discussion and Analysis” beginning on page 16 of this proxy statement, which describes in more detail how our executive compensation policies and programs operate.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seeking stockholder approval of the following advisory resolution:</w:t>
      </w:r>
    </w:p>
    <w:p>
      <w:pPr>
        <w:spacing w:after="0" w:line="84" w:lineRule="exact"/>
        <w:rPr>
          <w:sz w:val="20"/>
          <w:szCs w:val="20"/>
          <w:color w:val="auto"/>
        </w:rPr>
      </w:pPr>
    </w:p>
    <w:p>
      <w:pPr>
        <w:jc w:val="both"/>
        <w:ind w:left="920" w:right="260" w:firstLine="420"/>
        <w:spacing w:after="0" w:line="26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as disclosed pursuant to the compensation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rules of the Securities and Exchange Commission, including the Compensation Discussion and Analysis, the compensation tables and the related material disclosed in this Proxy Statement, is hereby approved.</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holders of Common Stock vote “for” the non-binding advisory resolution approving the compensation paid to our named executive officers.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ADVISORY VOTE REGARDING FREQUENCY OF FUTURE ADVISORY VOTES ON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required to provide a non-binding, advisory vote on the compensation of our named executive officers at least once every three years. In this proposal, we are asking stockholders to provide their view on whether future advisory votes on the compensation of our named executive officers should occur every three years, every two years or every year.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Board believes that future advisory votes on executive compensation should occur every three years. We believe that this frequency is appropriate for a number of reasons, including:</w:t>
      </w:r>
    </w:p>
    <w:p>
      <w:pPr>
        <w:spacing w:after="0" w:line="51" w:lineRule="exact"/>
        <w:rPr>
          <w:sz w:val="20"/>
          <w:szCs w:val="20"/>
          <w:color w:val="auto"/>
        </w:rPr>
      </w:pPr>
    </w:p>
    <w:p>
      <w:pPr>
        <w:ind w:left="440" w:right="640" w:hanging="324"/>
        <w:spacing w:after="0" w:line="268"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compensation policies and practices have emphasized sustained economic performance over time rather than quarter-to-quarter or year-to-year achievements.</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three-year vote cycle will provide investors sufficient time to evaluate the effectiveness of these short and long-term compensation policies and practices and the related performance of the Company.</w:t>
      </w:r>
    </w:p>
    <w:p>
      <w:pPr>
        <w:spacing w:after="0" w:line="50" w:lineRule="exact"/>
        <w:rPr>
          <w:rFonts w:ascii="Arial" w:cs="Arial" w:eastAsia="Arial" w:hAnsi="Arial"/>
          <w:sz w:val="18"/>
          <w:szCs w:val="18"/>
          <w:color w:val="auto"/>
        </w:rPr>
      </w:pPr>
    </w:p>
    <w:p>
      <w:pPr>
        <w:jc w:val="both"/>
        <w:ind w:left="440" w:hanging="324"/>
        <w:spacing w:after="0" w:line="259"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three-year vote cycle gives the Board and the Compensation Committee sufficient time to thoughtfully respond to stockholders’ sentiments, to implement any necessary changes to our executive compensation policies and practices and to evaluate the results of such changes before the next stockholder advisory vote.</w:t>
      </w:r>
    </w:p>
    <w:p>
      <w:pPr>
        <w:spacing w:after="0" w:line="59" w:lineRule="exact"/>
        <w:rPr>
          <w:rFonts w:ascii="Arial" w:cs="Arial" w:eastAsia="Arial" w:hAnsi="Arial"/>
          <w:sz w:val="18"/>
          <w:szCs w:val="18"/>
          <w:color w:val="auto"/>
        </w:rPr>
      </w:pPr>
    </w:p>
    <w:p>
      <w:pPr>
        <w:jc w:val="both"/>
        <w:ind w:left="440" w:right="40" w:hanging="324"/>
        <w:spacing w:after="0" w:line="259"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rules of the NYSE require the Company to seek stockholder approval for new employee equity compensation plans and material revisions thereto. This requirement provides our stockholders with the opportunity to provide additional feedback on important matters involving executive compensation, even in years when advisory votes on executive compensation do not occur.</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will continue to engage with stockholders on executive compensation during the period between stockholder advisory votes.</w:t>
      </w:r>
    </w:p>
    <w:p>
      <w:pPr>
        <w:spacing w:after="0" w:line="19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We understand, however, that our stockholders may have different views as to what is an appropriate frequency for advisory votes on executive compensation, and the Board has determined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to make a recommendation regarding the frequency of future votes on executive compensation. Stockholders will be able to specify one of four choices for this proposal on the proxy card: three years, two years, one year or abstain. Although the vote on this proposal is advisory and non-binding, the Compensation Committee and the Board will review the results of the vote and consider them when making its determination regarding the frequency of future votes. The frequency receiving the greatest number of votes will be considered the frequency recommended by our stockholders, even if that alternative does not receive a majority of the votes cast. Because the Board is not making a recommendation on its preferred alternative under this proposal, shares will not be voted on this proposal unless stockholders indicate their preference among the alternatives presented. Abstentions and broker non-votes are not counted as votes cast, and therefore do not affect the outcome of the vote.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Our Board of Directors does not make a recommendation regarding the frequency of future advisory votes on the compensation of our named executive officers.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4: APPROVAL OF EXPECTED APPOINTMENT OF INDEPENDENT AUDITORS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2011, and the Audit Committee expects to appoint Ernst &amp; Young as our independent auditors for fiscal year 2012 if its proposal for audit services is satisfactory.</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Our board unanimously recommends a vote “for” the approval of the expected appointment of Ernst &amp; Young as the Company’s auditors for the fiscal year ending March 31, 2012.</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LLP, which we refer to as Ernst &amp; Young, audited the Company’s financial statements for the fiscal years ended March 31, 2009, 2010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2011 and 2010, all of which services have been approved by the Audit Committee: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Fiscal Year Ended March 31,</w:t>
            </w:r>
          </w:p>
        </w:tc>
        <w:tc>
          <w:tcPr>
            <w:tcW w:w="38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Audit Fees</w:t>
            </w:r>
          </w:p>
        </w:tc>
        <w:tc>
          <w:tcPr>
            <w:tcW w:w="440" w:type="dxa"/>
            <w:vAlign w:val="bottom"/>
          </w:tcPr>
          <w:p>
            <w:pPr>
              <w:spacing w:after="0"/>
              <w:rPr>
                <w:sz w:val="14"/>
                <w:szCs w:val="14"/>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88"/>
              </w:rPr>
              <w:t>Audit Related Fees</w:t>
            </w:r>
          </w:p>
        </w:tc>
        <w:tc>
          <w:tcPr>
            <w:tcW w:w="220" w:type="dxa"/>
            <w:vAlign w:val="bottom"/>
          </w:tcPr>
          <w:p>
            <w:pPr>
              <w:spacing w:after="0"/>
              <w:rPr>
                <w:sz w:val="14"/>
                <w:szCs w:val="14"/>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6"/>
              </w:rPr>
              <w:t>Tax Fees</w:t>
            </w: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88"/>
              </w:rPr>
              <w:t>All Other Fees</w:t>
            </w:r>
          </w:p>
        </w:tc>
        <w:tc>
          <w:tcPr>
            <w:tcW w:w="460" w:type="dxa"/>
            <w:vAlign w:val="bottom"/>
          </w:tcPr>
          <w:p>
            <w:pPr>
              <w:spacing w:after="0"/>
              <w:rPr>
                <w:sz w:val="14"/>
                <w:szCs w:val="14"/>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00" w:type="dxa"/>
            <w:vAlign w:val="bottom"/>
            <w:gridSpan w:val="2"/>
            <w:vMerge w:val="continue"/>
          </w:tcPr>
          <w:p>
            <w:pPr>
              <w:spacing w:after="0"/>
              <w:rPr>
                <w:sz w:val="12"/>
                <w:szCs w:val="12"/>
                <w:color w:val="auto"/>
              </w:rPr>
            </w:pPr>
          </w:p>
        </w:tc>
        <w:tc>
          <w:tcPr>
            <w:tcW w:w="4480" w:type="dxa"/>
            <w:vAlign w:val="bottom"/>
            <w:gridSpan w:val="2"/>
          </w:tcPr>
          <w:p>
            <w:pPr>
              <w:jc w:val="right"/>
              <w:ind w:right="212"/>
              <w:spacing w:after="0"/>
              <w:rPr>
                <w:sz w:val="20"/>
                <w:szCs w:val="20"/>
                <w:color w:val="auto"/>
              </w:rPr>
            </w:pPr>
            <w:r>
              <w:rPr>
                <w:rFonts w:ascii="Arial" w:cs="Arial" w:eastAsia="Arial" w:hAnsi="Arial"/>
                <w:sz w:val="11"/>
                <w:szCs w:val="11"/>
                <w:b w:val="1"/>
                <w:bCs w:val="1"/>
                <w:color w:val="auto"/>
              </w:rPr>
              <w:t>(1)</w:t>
            </w:r>
          </w:p>
        </w:tc>
        <w:tc>
          <w:tcPr>
            <w:tcW w:w="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$609,100</w:t>
            </w: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$80,000</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800" w:type="dxa"/>
            <w:vAlign w:val="bottom"/>
            <w:gridSpan w:val="2"/>
          </w:tcPr>
          <w:p>
            <w:pPr>
              <w:spacing w:after="0"/>
              <w:rPr>
                <w:sz w:val="20"/>
                <w:szCs w:val="20"/>
                <w:color w:val="auto"/>
              </w:rPr>
            </w:pPr>
            <w:r>
              <w:rPr>
                <w:rFonts w:ascii="Arial" w:cs="Arial" w:eastAsia="Arial" w:hAnsi="Arial"/>
                <w:sz w:val="18"/>
                <w:szCs w:val="18"/>
                <w:color w:val="auto"/>
              </w:rPr>
              <w:t>2010</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608,100</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52,200</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55,000</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715,300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0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We have reviewed and discussed with management and the independent registered public accounting firm, Ernst &amp; Young, as appropriate, (1) the audited financial statements of Eagle Materials Inc. as of and for the fiscal year ended March 31, 2011 and (2) management’s report on internal control over financial reporting and the independent registered accounting firm’s related opinions.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We have discussed with the independent registered public accounting firm the required communications specified by auditing standards together with guidelines established by the SEC and the Sarbanes-Oxley Act.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We have received and reviewed the written disclosures and the letter from the independent registered public accounting firm required by the applicable requirements of the Public Company Accounting Oversight Board concerning independence and have discussed with Ernst &amp; Young the auditors’ independence. We have also considered whether the auditors’ provision of non-audit services to Eagle Materials Inc. and its affiliates is compatible with the auditors’ independence.</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David W. Quinn, </w:t>
      </w:r>
      <w:r>
        <w:rPr>
          <w:rFonts w:ascii="Arial" w:cs="Arial" w:eastAsia="Arial" w:hAnsi="Arial"/>
          <w:sz w:val="18"/>
          <w:szCs w:val="18"/>
          <w:i w:val="1"/>
          <w:iCs w:val="1"/>
          <w:color w:val="auto"/>
        </w:rPr>
        <w:t>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Maresh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Next year’s annual meeting of stockholders is scheduled to be held on August 7, 2012. In order to be considered for inclusion in the Company’s proxy material for that meeting, stockholder proposals must be received at our executive offices, addressed to the attention of the Secretary, not later than February 25, 2012.</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For any proposal that is not submitted for inclusion in our proxy material for the 2012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9, 2012, and the stockholder satisfies the other requirements of Rule 14a-4(c). Our Bylaws provide that, to be considered at the 2012 annual meeting, a stockholder proposal must be submitted in writing and received by our Secretary at the executive offices of the Company during the period beginning on February 9, 2012 and ending May 9, 2012, and must contain the information specified by and otherwise comply with our Bylaws. Any stockholder wishing to receive a copy of our Bylaws should direct a written request to our Secretary at the Company’s principal executive office.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2011,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4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231140</wp:posOffset>
            </wp:positionV>
            <wp:extent cx="3404870" cy="26670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0487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EAGLE MATERIALS INC.</w:t>
      </w:r>
    </w:p>
    <w:p>
      <w:pPr>
        <w:ind w:left="680"/>
        <w:spacing w:after="0" w:line="221" w:lineRule="auto"/>
        <w:rPr>
          <w:sz w:val="20"/>
          <w:szCs w:val="20"/>
          <w:color w:val="auto"/>
        </w:rPr>
      </w:pPr>
      <w:r>
        <w:rPr>
          <w:rFonts w:ascii="Arial" w:cs="Arial" w:eastAsia="Arial" w:hAnsi="Arial"/>
          <w:sz w:val="14"/>
          <w:szCs w:val="14"/>
          <w:b w:val="1"/>
          <w:bCs w:val="1"/>
          <w:i w:val="1"/>
          <w:iCs w:val="1"/>
          <w:color w:val="auto"/>
        </w:rPr>
        <w:t>3811 TURTLE CREEK BLVD.</w:t>
      </w:r>
    </w:p>
    <w:p>
      <w:pPr>
        <w:ind w:left="680"/>
        <w:spacing w:after="0" w:line="221" w:lineRule="auto"/>
        <w:rPr>
          <w:sz w:val="20"/>
          <w:szCs w:val="20"/>
          <w:color w:val="auto"/>
        </w:rPr>
      </w:pPr>
      <w:r>
        <w:rPr>
          <w:rFonts w:ascii="Arial" w:cs="Arial" w:eastAsia="Arial" w:hAnsi="Arial"/>
          <w:sz w:val="14"/>
          <w:szCs w:val="14"/>
          <w:b w:val="1"/>
          <w:bCs w:val="1"/>
          <w:i w:val="1"/>
          <w:iCs w:val="1"/>
          <w:color w:val="auto"/>
        </w:rPr>
        <w:t>SUITE 1100</w:t>
      </w:r>
    </w:p>
    <w:p>
      <w:pPr>
        <w:ind w:left="680"/>
        <w:spacing w:after="0"/>
        <w:rPr>
          <w:sz w:val="20"/>
          <w:szCs w:val="20"/>
          <w:color w:val="auto"/>
        </w:rPr>
      </w:pPr>
      <w:r>
        <w:rPr>
          <w:rFonts w:ascii="Arial" w:cs="Arial" w:eastAsia="Arial" w:hAnsi="Arial"/>
          <w:sz w:val="14"/>
          <w:szCs w:val="14"/>
          <w:b w:val="1"/>
          <w:bCs w:val="1"/>
          <w:i w:val="1"/>
          <w:iCs w:val="1"/>
          <w:color w:val="auto"/>
        </w:rPr>
        <w:t>DALLAS, TX 75219</w:t>
      </w:r>
    </w:p>
    <w:p>
      <w:pPr>
        <w:spacing w:after="0" w:line="200" w:lineRule="exact"/>
        <w:rPr>
          <w:sz w:val="20"/>
          <w:szCs w:val="20"/>
          <w:color w:val="auto"/>
        </w:rPr>
      </w:pPr>
    </w:p>
    <w:p>
      <w:pPr>
        <w:spacing w:after="0" w:line="29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Investor Address Line 1</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Investor Address Line 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Investor Address Line 3</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Investor Address Line 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Investor Address Line 5</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John Sample</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1234 ANYWHERE STREET</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ANY CITY, ON A1A 1A1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left="1220"/>
        <w:spacing w:after="0"/>
        <w:tabs>
          <w:tab w:leader="none" w:pos="1600" w:val="left"/>
          <w:tab w:leader="none" w:pos="2320" w:val="left"/>
          <w:tab w:leader="none" w:pos="3100" w:val="left"/>
        </w:tabs>
        <w:rPr>
          <w:sz w:val="20"/>
          <w:szCs w:val="20"/>
          <w:color w:val="auto"/>
        </w:rPr>
      </w:pPr>
      <w:r>
        <w:rPr>
          <w:rFonts w:ascii="Arial" w:cs="Arial" w:eastAsia="Arial" w:hAnsi="Arial"/>
          <w:sz w:val="32"/>
          <w:szCs w:val="32"/>
          <w:color w:val="auto"/>
        </w:rPr>
        <w:t>|</w:t>
        <w:tab/>
        <w:t>|</w:t>
      </w:r>
      <w:r>
        <w:rPr>
          <w:sz w:val="20"/>
          <w:szCs w:val="20"/>
          <w:color w:val="auto"/>
        </w:rPr>
        <w:tab/>
      </w: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-803910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-240030</wp:posOffset>
            </wp:positionV>
            <wp:extent cx="3022600" cy="295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22600" cy="29591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2"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jc w:val="both"/>
        <w:ind w:right="100"/>
        <w:spacing w:after="0" w:line="277"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-210185</wp:posOffset>
            </wp:positionV>
            <wp:extent cx="411480" cy="25387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1480" cy="2538730"/>
                    </a:xfrm>
                    <a:prstGeom prst="rect">
                      <a:avLst/>
                    </a:prstGeom>
                    <a:noFill/>
                  </pic:spPr>
                </pic:pic>
              </a:graphicData>
            </a:graphic>
          </wp:anchor>
        </w:drawing>
      </w:r>
    </w:p>
    <w:p>
      <w:pPr>
        <w:spacing w:after="0" w:line="37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____</w:t>
      </w:r>
    </w:p>
    <w:p>
      <w:pPr>
        <w:spacing w:after="0" w:line="200" w:lineRule="exact"/>
        <w:rPr>
          <w:sz w:val="20"/>
          <w:szCs w:val="20"/>
          <w:color w:val="auto"/>
        </w:rPr>
      </w:pPr>
    </w:p>
    <w:p>
      <w:pPr>
        <w:spacing w:after="0" w:line="39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____</w:t>
      </w:r>
    </w:p>
    <w:p>
      <w:pPr>
        <w:spacing w:after="0" w:line="200" w:lineRule="exact"/>
        <w:rPr>
          <w:sz w:val="20"/>
          <w:szCs w:val="20"/>
          <w:color w:val="auto"/>
        </w:rPr>
      </w:pPr>
    </w:p>
    <w:p>
      <w:pPr>
        <w:spacing w:after="0" w:line="39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____</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____</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w:t>
      </w:r>
    </w:p>
    <w:p>
      <w:pPr>
        <w:spacing w:after="0" w:line="935" w:lineRule="exact"/>
        <w:rPr>
          <w:sz w:val="20"/>
          <w:szCs w:val="20"/>
          <w:color w:val="auto"/>
        </w:rPr>
      </w:pPr>
    </w:p>
    <w:p>
      <w:pPr>
        <w:sectPr>
          <w:pgSz w:w="11900" w:h="16838" w:orient="portrait"/>
          <w:cols w:equalWidth="0" w:num="3">
            <w:col w:w="5100" w:space="720"/>
            <w:col w:w="4740" w:space="140"/>
            <w:col w:w="720"/>
          </w:cols>
          <w:pgMar w:left="240" w:top="459" w:right="239" w:bottom="0" w:gutter="0" w:footer="0" w:header="0"/>
        </w:sectPr>
      </w:pPr>
    </w:p>
    <w:tbl>
      <w:tblPr>
        <w:tblLayout w:type="fixed"/>
        <w:tblInd w:w="10" w:type="dxa"/>
        <w:tblCellMar>
          <w:top w:w="0" w:type="dxa"/>
          <w:left w:w="0" w:type="dxa"/>
          <w:bottom w:w="0" w:type="dxa"/>
          <w:right w:w="0" w:type="dxa"/>
        </w:tblCellMar>
      </w:tblPr>
      <w:tr>
        <w:trPr>
          <w:trHeight w:val="270"/>
        </w:trPr>
        <w:tc>
          <w:tcPr>
            <w:tcW w:w="4800" w:type="dxa"/>
            <w:vAlign w:val="bottom"/>
            <w:tcBorders>
              <w:top w:val="single" w:sz="8" w:color="auto"/>
              <w:left w:val="single" w:sz="8" w:color="auto"/>
              <w:bottom w:val="single" w:sz="8" w:color="E5E5E5"/>
            </w:tcBorders>
            <w:shd w:val="clear" w:color="auto" w:fill="E5E5E5"/>
          </w:tcPr>
          <w:p>
            <w:pPr>
              <w:spacing w:after="0"/>
              <w:rPr>
                <w:sz w:val="23"/>
                <w:szCs w:val="23"/>
                <w:color w:val="auto"/>
              </w:rPr>
            </w:pPr>
          </w:p>
        </w:tc>
        <w:tc>
          <w:tcPr>
            <w:tcW w:w="1360" w:type="dxa"/>
            <w:vAlign w:val="bottom"/>
            <w:tcBorders>
              <w:top w:val="single" w:sz="8" w:color="auto"/>
              <w:bottom w:val="single" w:sz="8" w:color="E5E5E5"/>
            </w:tcBorders>
            <w:shd w:val="clear" w:color="auto" w:fill="E5E5E5"/>
          </w:tcPr>
          <w:p>
            <w:pPr>
              <w:spacing w:after="0"/>
              <w:rPr>
                <w:sz w:val="23"/>
                <w:szCs w:val="23"/>
                <w:color w:val="auto"/>
              </w:rPr>
            </w:pPr>
          </w:p>
        </w:tc>
        <w:tc>
          <w:tcPr>
            <w:tcW w:w="100" w:type="dxa"/>
            <w:vAlign w:val="bottom"/>
            <w:tcBorders>
              <w:top w:val="single" w:sz="8" w:color="auto"/>
              <w:left w:val="single" w:sz="8" w:color="auto"/>
              <w:bottom w:val="single" w:sz="8" w:color="E5E5E5"/>
            </w:tcBorders>
            <w:shd w:val="clear" w:color="auto" w:fill="E5E5E5"/>
          </w:tcPr>
          <w:p>
            <w:pPr>
              <w:spacing w:after="0"/>
              <w:rPr>
                <w:sz w:val="23"/>
                <w:szCs w:val="23"/>
                <w:color w:val="auto"/>
              </w:rPr>
            </w:pPr>
          </w:p>
        </w:tc>
        <w:tc>
          <w:tcPr>
            <w:tcW w:w="1420" w:type="dxa"/>
            <w:vAlign w:val="bottom"/>
            <w:tcBorders>
              <w:top w:val="single" w:sz="8" w:color="auto"/>
              <w:bottom w:val="single" w:sz="8" w:color="auto"/>
            </w:tcBorders>
            <w:vMerge w:val="restart"/>
            <w:shd w:val="clear" w:color="auto" w:fill="E5E5E5"/>
          </w:tcPr>
          <w:p>
            <w:pPr>
              <w:spacing w:after="0"/>
              <w:rPr>
                <w:sz w:val="20"/>
                <w:szCs w:val="20"/>
                <w:color w:val="auto"/>
              </w:rPr>
            </w:pPr>
            <w:r>
              <w:rPr>
                <w:rFonts w:ascii="Arial" w:cs="Arial" w:eastAsia="Arial" w:hAnsi="Arial"/>
                <w:sz w:val="18"/>
                <w:szCs w:val="18"/>
                <w:b w:val="1"/>
                <w:bCs w:val="1"/>
                <w:color w:val="auto"/>
              </w:rPr>
              <w:t xml:space="preserve">CONTROL # </w:t>
            </w:r>
            <w:r>
              <w:rPr>
                <w:rFonts w:ascii="Arial" w:cs="Arial" w:eastAsia="Arial" w:hAnsi="Arial"/>
                <w:sz w:val="32"/>
                <w:szCs w:val="32"/>
                <w:b w:val="1"/>
                <w:bCs w:val="1"/>
                <w:color w:val="auto"/>
              </w:rPr>
              <w:t>g</w:t>
            </w:r>
          </w:p>
        </w:tc>
        <w:tc>
          <w:tcPr>
            <w:tcW w:w="1200" w:type="dxa"/>
            <w:vAlign w:val="bottom"/>
            <w:tcBorders>
              <w:top w:val="single" w:sz="8" w:color="auto"/>
              <w:bottom w:val="single" w:sz="8" w:color="E5E5E5"/>
              <w:right w:val="single" w:sz="8" w:color="E5E5E5"/>
            </w:tcBorders>
            <w:shd w:val="clear" w:color="auto" w:fill="E5E5E5"/>
          </w:tcPr>
          <w:p>
            <w:pPr>
              <w:spacing w:after="0"/>
              <w:rPr>
                <w:sz w:val="23"/>
                <w:szCs w:val="23"/>
                <w:color w:val="auto"/>
              </w:rPr>
            </w:pPr>
          </w:p>
        </w:tc>
        <w:tc>
          <w:tcPr>
            <w:tcW w:w="1980" w:type="dxa"/>
            <w:vAlign w:val="bottom"/>
            <w:tcBorders>
              <w:top w:val="single" w:sz="8" w:color="auto"/>
              <w:bottom w:val="single" w:sz="8" w:color="auto"/>
              <w:right w:val="single" w:sz="8" w:color="E5E5E5"/>
            </w:tcBorders>
            <w:shd w:val="clear" w:color="auto" w:fill="E5E5E5"/>
          </w:tcPr>
          <w:p>
            <w:pPr>
              <w:spacing w:after="0"/>
              <w:rPr>
                <w:sz w:val="23"/>
                <w:szCs w:val="23"/>
                <w:color w:val="auto"/>
              </w:rPr>
            </w:pPr>
          </w:p>
        </w:tc>
        <w:tc>
          <w:tcPr>
            <w:tcW w:w="440" w:type="dxa"/>
            <w:vAlign w:val="bottom"/>
            <w:tcBorders>
              <w:top w:val="single" w:sz="8" w:color="auto"/>
              <w:bottom w:val="single" w:sz="8" w:color="E5E5E5"/>
              <w:right w:val="single" w:sz="8" w:color="auto"/>
            </w:tcBorders>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4800" w:type="dxa"/>
            <w:vAlign w:val="bottom"/>
            <w:tcBorders>
              <w:left w:val="single" w:sz="8" w:color="auto"/>
              <w:bottom w:val="single" w:sz="8" w:color="E5E5E5"/>
            </w:tcBorders>
            <w:shd w:val="clear" w:color="auto" w:fill="E5E5E5"/>
          </w:tcPr>
          <w:p>
            <w:pPr>
              <w:spacing w:after="0"/>
              <w:rPr>
                <w:sz w:val="24"/>
                <w:szCs w:val="24"/>
                <w:color w:val="auto"/>
              </w:rPr>
            </w:pPr>
          </w:p>
        </w:tc>
        <w:tc>
          <w:tcPr>
            <w:tcW w:w="1360" w:type="dxa"/>
            <w:vAlign w:val="bottom"/>
            <w:tcBorders>
              <w:bottom w:val="single" w:sz="8" w:color="E5E5E5"/>
            </w:tcBorders>
            <w:shd w:val="clear" w:color="auto" w:fill="E5E5E5"/>
          </w:tcPr>
          <w:p>
            <w:pPr>
              <w:spacing w:after="0"/>
              <w:rPr>
                <w:sz w:val="24"/>
                <w:szCs w:val="24"/>
                <w:color w:val="auto"/>
              </w:rPr>
            </w:pPr>
          </w:p>
        </w:tc>
        <w:tc>
          <w:tcPr>
            <w:tcW w:w="100" w:type="dxa"/>
            <w:vAlign w:val="bottom"/>
            <w:tcBorders>
              <w:left w:val="single" w:sz="8" w:color="auto"/>
              <w:bottom w:val="single" w:sz="8" w:color="E5E5E5"/>
            </w:tcBorders>
            <w:shd w:val="clear" w:color="auto" w:fill="E5E5E5"/>
          </w:tcPr>
          <w:p>
            <w:pPr>
              <w:spacing w:after="0"/>
              <w:rPr>
                <w:sz w:val="24"/>
                <w:szCs w:val="24"/>
                <w:color w:val="auto"/>
              </w:rPr>
            </w:pPr>
          </w:p>
        </w:tc>
        <w:tc>
          <w:tcPr>
            <w:tcW w:w="1420" w:type="dxa"/>
            <w:vAlign w:val="bottom"/>
            <w:tcBorders>
              <w:bottom w:val="single" w:sz="8" w:color="E5E5E5"/>
            </w:tcBorders>
            <w:vMerge w:val="continue"/>
            <w:shd w:val="clear" w:color="auto" w:fill="E5E5E5"/>
          </w:tcPr>
          <w:p>
            <w:pPr>
              <w:spacing w:after="0"/>
              <w:rPr>
                <w:sz w:val="24"/>
                <w:szCs w:val="24"/>
                <w:color w:val="auto"/>
              </w:rPr>
            </w:pPr>
          </w:p>
        </w:tc>
        <w:tc>
          <w:tcPr>
            <w:tcW w:w="1200" w:type="dxa"/>
            <w:vAlign w:val="bottom"/>
            <w:tcBorders>
              <w:bottom w:val="single" w:sz="8" w:color="E5E5E5"/>
              <w:right w:val="single" w:sz="8" w:color="auto"/>
            </w:tcBorders>
            <w:shd w:val="clear" w:color="auto" w:fill="E5E5E5"/>
          </w:tcPr>
          <w:p>
            <w:pPr>
              <w:spacing w:after="0"/>
              <w:rPr>
                <w:sz w:val="24"/>
                <w:szCs w:val="24"/>
                <w:color w:val="auto"/>
              </w:rPr>
            </w:pPr>
          </w:p>
        </w:tc>
        <w:tc>
          <w:tcPr>
            <w:tcW w:w="1980" w:type="dxa"/>
            <w:vAlign w:val="bottom"/>
            <w:tcBorders>
              <w:bottom w:val="single" w:sz="8" w:color="auto"/>
              <w:right w:val="single" w:sz="8" w:color="auto"/>
            </w:tcBorders>
            <w:shd w:val="clear" w:color="auto" w:fill="E5E5E5"/>
          </w:tcPr>
          <w:p>
            <w:pPr>
              <w:jc w:val="right"/>
              <w:ind w:right="352"/>
              <w:spacing w:after="0"/>
              <w:rPr>
                <w:sz w:val="20"/>
                <w:szCs w:val="20"/>
                <w:color w:val="auto"/>
              </w:rPr>
            </w:pPr>
            <w:r>
              <w:rPr>
                <w:rFonts w:ascii="Arial" w:cs="Arial" w:eastAsia="Arial" w:hAnsi="Arial"/>
                <w:sz w:val="18"/>
                <w:szCs w:val="18"/>
                <w:b w:val="1"/>
                <w:bCs w:val="1"/>
                <w:color w:val="auto"/>
              </w:rPr>
              <w:t>000000000000</w:t>
            </w:r>
          </w:p>
        </w:tc>
        <w:tc>
          <w:tcPr>
            <w:tcW w:w="440" w:type="dxa"/>
            <w:vAlign w:val="bottom"/>
            <w:tcBorders>
              <w:bottom w:val="single" w:sz="8" w:color="E5E5E5"/>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640"/>
        </w:trPr>
        <w:tc>
          <w:tcPr>
            <w:tcW w:w="4800" w:type="dxa"/>
            <w:vAlign w:val="bottom"/>
            <w:tcBorders>
              <w:left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NAME</w:t>
            </w:r>
          </w:p>
        </w:tc>
        <w:tc>
          <w:tcPr>
            <w:tcW w:w="1360" w:type="dxa"/>
            <w:vAlign w:val="bottom"/>
            <w:shd w:val="clear" w:color="auto" w:fill="E5E5E5"/>
          </w:tcPr>
          <w:p>
            <w:pPr>
              <w:spacing w:after="0"/>
              <w:rPr>
                <w:sz w:val="24"/>
                <w:szCs w:val="24"/>
                <w:color w:val="auto"/>
              </w:rPr>
            </w:pPr>
          </w:p>
        </w:tc>
        <w:tc>
          <w:tcPr>
            <w:tcW w:w="100" w:type="dxa"/>
            <w:vAlign w:val="bottom"/>
            <w:tcBorders>
              <w:left w:val="single" w:sz="8" w:color="auto"/>
            </w:tcBorders>
            <w:shd w:val="clear" w:color="auto" w:fill="E5E5E5"/>
          </w:tcPr>
          <w:p>
            <w:pPr>
              <w:spacing w:after="0"/>
              <w:rPr>
                <w:sz w:val="24"/>
                <w:szCs w:val="24"/>
                <w:color w:val="auto"/>
              </w:rPr>
            </w:pPr>
          </w:p>
        </w:tc>
        <w:tc>
          <w:tcPr>
            <w:tcW w:w="1420" w:type="dxa"/>
            <w:vAlign w:val="bottom"/>
            <w:shd w:val="clear" w:color="auto" w:fill="E5E5E5"/>
          </w:tcPr>
          <w:p>
            <w:pPr>
              <w:spacing w:after="0"/>
              <w:rPr>
                <w:sz w:val="24"/>
                <w:szCs w:val="24"/>
                <w:color w:val="auto"/>
              </w:rPr>
            </w:pPr>
          </w:p>
        </w:tc>
        <w:tc>
          <w:tcPr>
            <w:tcW w:w="1200" w:type="dxa"/>
            <w:vAlign w:val="bottom"/>
            <w:tcBorders>
              <w:right w:val="single" w:sz="8" w:color="E5E5E5"/>
            </w:tcBorders>
            <w:shd w:val="clear" w:color="auto" w:fill="E5E5E5"/>
          </w:tcPr>
          <w:p>
            <w:pPr>
              <w:spacing w:after="0"/>
              <w:rPr>
                <w:sz w:val="24"/>
                <w:szCs w:val="24"/>
                <w:color w:val="auto"/>
              </w:rPr>
            </w:pPr>
          </w:p>
        </w:tc>
        <w:tc>
          <w:tcPr>
            <w:tcW w:w="1980" w:type="dxa"/>
            <w:vAlign w:val="bottom"/>
            <w:tcBorders>
              <w:right w:val="single" w:sz="8" w:color="E5E5E5"/>
            </w:tcBorders>
            <w:shd w:val="clear" w:color="auto" w:fill="E5E5E5"/>
          </w:tcPr>
          <w:p>
            <w:pPr>
              <w:spacing w:after="0"/>
              <w:rPr>
                <w:sz w:val="24"/>
                <w:szCs w:val="24"/>
                <w:color w:val="auto"/>
              </w:rPr>
            </w:pPr>
          </w:p>
        </w:tc>
        <w:tc>
          <w:tcPr>
            <w:tcW w:w="44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00" w:type="dxa"/>
            <w:vAlign w:val="bottom"/>
            <w:tcBorders>
              <w:left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THE COMPANY NAME INC. - COMMON</w:t>
            </w:r>
          </w:p>
        </w:tc>
        <w:tc>
          <w:tcPr>
            <w:tcW w:w="1360" w:type="dxa"/>
            <w:vAlign w:val="bottom"/>
            <w:shd w:val="clear" w:color="auto" w:fill="E5E5E5"/>
          </w:tcPr>
          <w:p>
            <w:pPr>
              <w:spacing w:after="0"/>
              <w:rPr>
                <w:sz w:val="24"/>
                <w:szCs w:val="24"/>
                <w:color w:val="auto"/>
              </w:rPr>
            </w:pPr>
          </w:p>
        </w:tc>
        <w:tc>
          <w:tcPr>
            <w:tcW w:w="100" w:type="dxa"/>
            <w:vAlign w:val="bottom"/>
            <w:tcBorders>
              <w:left w:val="single" w:sz="8" w:color="auto"/>
            </w:tcBorders>
            <w:shd w:val="clear" w:color="auto" w:fill="E5E5E5"/>
          </w:tcPr>
          <w:p>
            <w:pPr>
              <w:spacing w:after="0"/>
              <w:rPr>
                <w:sz w:val="24"/>
                <w:szCs w:val="24"/>
                <w:color w:val="auto"/>
              </w:rPr>
            </w:pPr>
          </w:p>
        </w:tc>
        <w:tc>
          <w:tcPr>
            <w:tcW w:w="1420" w:type="dxa"/>
            <w:vAlign w:val="bottom"/>
            <w:vMerge w:val="restart"/>
            <w:shd w:val="clear" w:color="auto" w:fill="E5E5E5"/>
          </w:tcPr>
          <w:p>
            <w:pPr>
              <w:spacing w:after="0"/>
              <w:rPr>
                <w:sz w:val="20"/>
                <w:szCs w:val="20"/>
                <w:color w:val="auto"/>
              </w:rPr>
            </w:pPr>
            <w:r>
              <w:rPr>
                <w:rFonts w:ascii="Arial" w:cs="Arial" w:eastAsia="Arial" w:hAnsi="Arial"/>
                <w:sz w:val="18"/>
                <w:szCs w:val="18"/>
                <w:b w:val="1"/>
                <w:bCs w:val="1"/>
                <w:color w:val="auto"/>
              </w:rPr>
              <w:t>SHARES</w:t>
            </w:r>
          </w:p>
        </w:tc>
        <w:tc>
          <w:tcPr>
            <w:tcW w:w="1200" w:type="dxa"/>
            <w:vAlign w:val="bottom"/>
            <w:tcBorders>
              <w:right w:val="single" w:sz="8" w:color="E5E5E5"/>
            </w:tcBorders>
            <w:shd w:val="clear" w:color="auto" w:fill="E5E5E5"/>
          </w:tcPr>
          <w:p>
            <w:pPr>
              <w:spacing w:after="0"/>
              <w:rPr>
                <w:sz w:val="24"/>
                <w:szCs w:val="24"/>
                <w:color w:val="auto"/>
              </w:rPr>
            </w:pPr>
          </w:p>
        </w:tc>
        <w:tc>
          <w:tcPr>
            <w:tcW w:w="1980" w:type="dxa"/>
            <w:vAlign w:val="bottom"/>
            <w:tcBorders>
              <w:right w:val="single" w:sz="8" w:color="E5E5E5"/>
            </w:tcBorders>
            <w:vMerge w:val="restart"/>
            <w:shd w:val="clear" w:color="auto" w:fill="E5E5E5"/>
          </w:tcPr>
          <w:p>
            <w:pPr>
              <w:jc w:val="right"/>
              <w:spacing w:after="0"/>
              <w:rPr>
                <w:sz w:val="20"/>
                <w:szCs w:val="20"/>
                <w:color w:val="auto"/>
              </w:rPr>
            </w:pPr>
            <w:r>
              <w:rPr>
                <w:rFonts w:ascii="Arial" w:cs="Arial" w:eastAsia="Arial" w:hAnsi="Arial"/>
                <w:sz w:val="18"/>
                <w:szCs w:val="18"/>
                <w:b w:val="1"/>
                <w:bCs w:val="1"/>
                <w:color w:val="auto"/>
              </w:rPr>
              <w:t>123,456,789,012.12345</w:t>
            </w:r>
          </w:p>
        </w:tc>
        <w:tc>
          <w:tcPr>
            <w:tcW w:w="44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800" w:type="dxa"/>
            <w:vAlign w:val="bottom"/>
            <w:tcBorders>
              <w:left w:val="single" w:sz="8" w:color="auto"/>
            </w:tcBorders>
            <w:vMerge w:val="restart"/>
            <w:shd w:val="clear" w:color="auto" w:fill="E5E5E5"/>
          </w:tcPr>
          <w:p>
            <w:pPr>
              <w:ind w:left="560"/>
              <w:spacing w:after="0" w:line="176" w:lineRule="exact"/>
              <w:rPr>
                <w:sz w:val="20"/>
                <w:szCs w:val="20"/>
                <w:color w:val="auto"/>
              </w:rPr>
            </w:pPr>
            <w:r>
              <w:rPr>
                <w:rFonts w:ascii="Arial" w:cs="Arial" w:eastAsia="Arial" w:hAnsi="Arial"/>
                <w:sz w:val="18"/>
                <w:szCs w:val="18"/>
                <w:b w:val="1"/>
                <w:bCs w:val="1"/>
                <w:color w:val="auto"/>
              </w:rPr>
              <w:t>THE COMPANY NAME INC. - CLASS A</w:t>
            </w:r>
          </w:p>
        </w:tc>
        <w:tc>
          <w:tcPr>
            <w:tcW w:w="1360" w:type="dxa"/>
            <w:vAlign w:val="bottom"/>
            <w:shd w:val="clear" w:color="auto" w:fill="E5E5E5"/>
          </w:tcPr>
          <w:p>
            <w:pPr>
              <w:spacing w:after="0"/>
              <w:rPr>
                <w:sz w:val="6"/>
                <w:szCs w:val="6"/>
                <w:color w:val="auto"/>
              </w:rPr>
            </w:pPr>
          </w:p>
        </w:tc>
        <w:tc>
          <w:tcPr>
            <w:tcW w:w="100" w:type="dxa"/>
            <w:vAlign w:val="bottom"/>
            <w:tcBorders>
              <w:left w:val="single" w:sz="8" w:color="auto"/>
            </w:tcBorders>
            <w:shd w:val="clear" w:color="auto" w:fill="E5E5E5"/>
          </w:tcPr>
          <w:p>
            <w:pPr>
              <w:spacing w:after="0"/>
              <w:rPr>
                <w:sz w:val="6"/>
                <w:szCs w:val="6"/>
                <w:color w:val="auto"/>
              </w:rPr>
            </w:pPr>
          </w:p>
        </w:tc>
        <w:tc>
          <w:tcPr>
            <w:tcW w:w="1420" w:type="dxa"/>
            <w:vAlign w:val="bottom"/>
            <w:vMerge w:val="continue"/>
            <w:shd w:val="clear" w:color="auto" w:fill="E5E5E5"/>
          </w:tcPr>
          <w:p>
            <w:pPr>
              <w:spacing w:after="0"/>
              <w:rPr>
                <w:sz w:val="6"/>
                <w:szCs w:val="6"/>
                <w:color w:val="auto"/>
              </w:rPr>
            </w:pPr>
          </w:p>
        </w:tc>
        <w:tc>
          <w:tcPr>
            <w:tcW w:w="1200" w:type="dxa"/>
            <w:vAlign w:val="bottom"/>
            <w:tcBorders>
              <w:right w:val="single" w:sz="8" w:color="E5E5E5"/>
            </w:tcBorders>
            <w:shd w:val="clear" w:color="auto" w:fill="E5E5E5"/>
          </w:tcPr>
          <w:p>
            <w:pPr>
              <w:spacing w:after="0"/>
              <w:rPr>
                <w:sz w:val="6"/>
                <w:szCs w:val="6"/>
                <w:color w:val="auto"/>
              </w:rPr>
            </w:pPr>
          </w:p>
        </w:tc>
        <w:tc>
          <w:tcPr>
            <w:tcW w:w="1980" w:type="dxa"/>
            <w:vAlign w:val="bottom"/>
            <w:tcBorders>
              <w:right w:val="single" w:sz="8" w:color="E5E5E5"/>
            </w:tcBorders>
            <w:vMerge w:val="continue"/>
            <w:shd w:val="clear" w:color="auto" w:fill="E5E5E5"/>
          </w:tcPr>
          <w:p>
            <w:pPr>
              <w:spacing w:after="0"/>
              <w:rPr>
                <w:sz w:val="6"/>
                <w:szCs w:val="6"/>
                <w:color w:val="auto"/>
              </w:rPr>
            </w:pPr>
          </w:p>
        </w:tc>
        <w:tc>
          <w:tcPr>
            <w:tcW w:w="440" w:type="dxa"/>
            <w:vAlign w:val="bottom"/>
            <w:tcBorders>
              <w:right w:val="single" w:sz="8" w:color="auto"/>
            </w:tcBorders>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4800" w:type="dxa"/>
            <w:vAlign w:val="bottom"/>
            <w:tcBorders>
              <w:left w:val="single" w:sz="8" w:color="auto"/>
            </w:tcBorders>
            <w:vMerge w:val="continue"/>
            <w:shd w:val="clear" w:color="auto" w:fill="E5E5E5"/>
          </w:tcPr>
          <w:p>
            <w:pPr>
              <w:spacing w:after="0"/>
              <w:rPr>
                <w:sz w:val="8"/>
                <w:szCs w:val="8"/>
                <w:color w:val="auto"/>
              </w:rPr>
            </w:pPr>
          </w:p>
        </w:tc>
        <w:tc>
          <w:tcPr>
            <w:tcW w:w="1360" w:type="dxa"/>
            <w:vAlign w:val="bottom"/>
            <w:shd w:val="clear" w:color="auto" w:fill="E5E5E5"/>
          </w:tcPr>
          <w:p>
            <w:pPr>
              <w:spacing w:after="0"/>
              <w:rPr>
                <w:sz w:val="8"/>
                <w:szCs w:val="8"/>
                <w:color w:val="auto"/>
              </w:rPr>
            </w:pPr>
          </w:p>
        </w:tc>
        <w:tc>
          <w:tcPr>
            <w:tcW w:w="100" w:type="dxa"/>
            <w:vAlign w:val="bottom"/>
            <w:tcBorders>
              <w:left w:val="single" w:sz="8" w:color="auto"/>
            </w:tcBorders>
            <w:shd w:val="clear" w:color="auto" w:fill="E5E5E5"/>
          </w:tcPr>
          <w:p>
            <w:pPr>
              <w:spacing w:after="0"/>
              <w:rPr>
                <w:sz w:val="8"/>
                <w:szCs w:val="8"/>
                <w:color w:val="auto"/>
              </w:rPr>
            </w:pPr>
          </w:p>
        </w:tc>
        <w:tc>
          <w:tcPr>
            <w:tcW w:w="1420" w:type="dxa"/>
            <w:vAlign w:val="bottom"/>
            <w:shd w:val="clear" w:color="auto" w:fill="E5E5E5"/>
          </w:tcPr>
          <w:p>
            <w:pPr>
              <w:spacing w:after="0"/>
              <w:rPr>
                <w:sz w:val="8"/>
                <w:szCs w:val="8"/>
                <w:color w:val="auto"/>
              </w:rPr>
            </w:pPr>
          </w:p>
        </w:tc>
        <w:tc>
          <w:tcPr>
            <w:tcW w:w="1200" w:type="dxa"/>
            <w:vAlign w:val="bottom"/>
            <w:tcBorders>
              <w:right w:val="single" w:sz="8" w:color="E5E5E5"/>
            </w:tcBorders>
            <w:shd w:val="clear" w:color="auto" w:fill="E5E5E5"/>
          </w:tcPr>
          <w:p>
            <w:pPr>
              <w:spacing w:after="0"/>
              <w:rPr>
                <w:sz w:val="8"/>
                <w:szCs w:val="8"/>
                <w:color w:val="auto"/>
              </w:rPr>
            </w:pPr>
          </w:p>
        </w:tc>
        <w:tc>
          <w:tcPr>
            <w:tcW w:w="1980" w:type="dxa"/>
            <w:vAlign w:val="bottom"/>
            <w:tcBorders>
              <w:right w:val="single" w:sz="8" w:color="E5E5E5"/>
            </w:tcBorders>
            <w:vMerge w:val="continue"/>
            <w:shd w:val="clear" w:color="auto" w:fill="E5E5E5"/>
          </w:tcPr>
          <w:p>
            <w:pPr>
              <w:spacing w:after="0"/>
              <w:rPr>
                <w:sz w:val="8"/>
                <w:szCs w:val="8"/>
                <w:color w:val="auto"/>
              </w:rPr>
            </w:pPr>
          </w:p>
        </w:tc>
        <w:tc>
          <w:tcPr>
            <w:tcW w:w="440" w:type="dxa"/>
            <w:vAlign w:val="bottom"/>
            <w:tcBorders>
              <w:right w:val="single" w:sz="8" w:color="auto"/>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THE COMPANY NAME INC. - CLASS B</w:t>
            </w:r>
          </w:p>
        </w:tc>
        <w:tc>
          <w:tcPr>
            <w:tcW w:w="1360" w:type="dxa"/>
            <w:vAlign w:val="bottom"/>
            <w:shd w:val="clear" w:color="auto" w:fill="E5E5E5"/>
          </w:tcPr>
          <w:p>
            <w:pPr>
              <w:spacing w:after="0"/>
              <w:rPr>
                <w:sz w:val="18"/>
                <w:szCs w:val="18"/>
                <w:color w:val="auto"/>
              </w:rPr>
            </w:pPr>
          </w:p>
        </w:tc>
        <w:tc>
          <w:tcPr>
            <w:tcW w:w="100" w:type="dxa"/>
            <w:vAlign w:val="bottom"/>
            <w:tcBorders>
              <w:left w:val="single" w:sz="8" w:color="auto"/>
            </w:tcBorders>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200" w:type="dxa"/>
            <w:vAlign w:val="bottom"/>
            <w:tcBorders>
              <w:right w:val="single" w:sz="8" w:color="E5E5E5"/>
            </w:tcBorders>
            <w:shd w:val="clear" w:color="auto" w:fill="E5E5E5"/>
          </w:tcPr>
          <w:p>
            <w:pPr>
              <w:spacing w:after="0"/>
              <w:rPr>
                <w:sz w:val="18"/>
                <w:szCs w:val="18"/>
                <w:color w:val="auto"/>
              </w:rPr>
            </w:pPr>
          </w:p>
        </w:tc>
        <w:tc>
          <w:tcPr>
            <w:tcW w:w="198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123,456,789,012.12345</w:t>
            </w:r>
          </w:p>
        </w:tc>
        <w:tc>
          <w:tcPr>
            <w:tcW w:w="44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THE COMPANY NAME INC. - CLASS C</w:t>
            </w:r>
          </w:p>
        </w:tc>
        <w:tc>
          <w:tcPr>
            <w:tcW w:w="1360" w:type="dxa"/>
            <w:vAlign w:val="bottom"/>
            <w:shd w:val="clear" w:color="auto" w:fill="E5E5E5"/>
          </w:tcPr>
          <w:p>
            <w:pPr>
              <w:spacing w:after="0"/>
              <w:rPr>
                <w:sz w:val="18"/>
                <w:szCs w:val="18"/>
                <w:color w:val="auto"/>
              </w:rPr>
            </w:pPr>
          </w:p>
        </w:tc>
        <w:tc>
          <w:tcPr>
            <w:tcW w:w="100" w:type="dxa"/>
            <w:vAlign w:val="bottom"/>
            <w:tcBorders>
              <w:left w:val="single" w:sz="8" w:color="auto"/>
            </w:tcBorders>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200" w:type="dxa"/>
            <w:vAlign w:val="bottom"/>
            <w:tcBorders>
              <w:right w:val="single" w:sz="8" w:color="E5E5E5"/>
            </w:tcBorders>
            <w:shd w:val="clear" w:color="auto" w:fill="E5E5E5"/>
          </w:tcPr>
          <w:p>
            <w:pPr>
              <w:spacing w:after="0"/>
              <w:rPr>
                <w:sz w:val="18"/>
                <w:szCs w:val="18"/>
                <w:color w:val="auto"/>
              </w:rPr>
            </w:pPr>
          </w:p>
        </w:tc>
        <w:tc>
          <w:tcPr>
            <w:tcW w:w="198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123,456,789,012.12345</w:t>
            </w:r>
          </w:p>
        </w:tc>
        <w:tc>
          <w:tcPr>
            <w:tcW w:w="44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THE COMPANY NAME INC. - CLASS D</w:t>
            </w:r>
          </w:p>
        </w:tc>
        <w:tc>
          <w:tcPr>
            <w:tcW w:w="1360" w:type="dxa"/>
            <w:vAlign w:val="bottom"/>
            <w:shd w:val="clear" w:color="auto" w:fill="E5E5E5"/>
          </w:tcPr>
          <w:p>
            <w:pPr>
              <w:spacing w:after="0"/>
              <w:rPr>
                <w:sz w:val="18"/>
                <w:szCs w:val="18"/>
                <w:color w:val="auto"/>
              </w:rPr>
            </w:pPr>
          </w:p>
        </w:tc>
        <w:tc>
          <w:tcPr>
            <w:tcW w:w="100" w:type="dxa"/>
            <w:vAlign w:val="bottom"/>
            <w:tcBorders>
              <w:left w:val="single" w:sz="8" w:color="auto"/>
            </w:tcBorders>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200" w:type="dxa"/>
            <w:vAlign w:val="bottom"/>
            <w:tcBorders>
              <w:right w:val="single" w:sz="8" w:color="E5E5E5"/>
            </w:tcBorders>
            <w:shd w:val="clear" w:color="auto" w:fill="E5E5E5"/>
          </w:tcPr>
          <w:p>
            <w:pPr>
              <w:spacing w:after="0"/>
              <w:rPr>
                <w:sz w:val="18"/>
                <w:szCs w:val="18"/>
                <w:color w:val="auto"/>
              </w:rPr>
            </w:pPr>
          </w:p>
        </w:tc>
        <w:tc>
          <w:tcPr>
            <w:tcW w:w="198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123,456,789,012.12345</w:t>
            </w:r>
          </w:p>
        </w:tc>
        <w:tc>
          <w:tcPr>
            <w:tcW w:w="44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THE COMPANY NAME INC. - CLASS E</w:t>
            </w:r>
          </w:p>
        </w:tc>
        <w:tc>
          <w:tcPr>
            <w:tcW w:w="1360" w:type="dxa"/>
            <w:vAlign w:val="bottom"/>
            <w:shd w:val="clear" w:color="auto" w:fill="E5E5E5"/>
          </w:tcPr>
          <w:p>
            <w:pPr>
              <w:spacing w:after="0"/>
              <w:rPr>
                <w:sz w:val="18"/>
                <w:szCs w:val="18"/>
                <w:color w:val="auto"/>
              </w:rPr>
            </w:pPr>
          </w:p>
        </w:tc>
        <w:tc>
          <w:tcPr>
            <w:tcW w:w="100" w:type="dxa"/>
            <w:vAlign w:val="bottom"/>
            <w:tcBorders>
              <w:left w:val="single" w:sz="8" w:color="auto"/>
            </w:tcBorders>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200" w:type="dxa"/>
            <w:vAlign w:val="bottom"/>
            <w:tcBorders>
              <w:right w:val="single" w:sz="8" w:color="E5E5E5"/>
            </w:tcBorders>
            <w:shd w:val="clear" w:color="auto" w:fill="E5E5E5"/>
          </w:tcPr>
          <w:p>
            <w:pPr>
              <w:spacing w:after="0"/>
              <w:rPr>
                <w:sz w:val="18"/>
                <w:szCs w:val="18"/>
                <w:color w:val="auto"/>
              </w:rPr>
            </w:pPr>
          </w:p>
        </w:tc>
        <w:tc>
          <w:tcPr>
            <w:tcW w:w="198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123,456,789,012.12345</w:t>
            </w:r>
          </w:p>
        </w:tc>
        <w:tc>
          <w:tcPr>
            <w:tcW w:w="44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THE COMPANY NAME INC. - CLASS F</w:t>
            </w:r>
          </w:p>
        </w:tc>
        <w:tc>
          <w:tcPr>
            <w:tcW w:w="1360" w:type="dxa"/>
            <w:vAlign w:val="bottom"/>
            <w:shd w:val="clear" w:color="auto" w:fill="E5E5E5"/>
          </w:tcPr>
          <w:p>
            <w:pPr>
              <w:spacing w:after="0"/>
              <w:rPr>
                <w:sz w:val="18"/>
                <w:szCs w:val="18"/>
                <w:color w:val="auto"/>
              </w:rPr>
            </w:pPr>
          </w:p>
        </w:tc>
        <w:tc>
          <w:tcPr>
            <w:tcW w:w="100" w:type="dxa"/>
            <w:vAlign w:val="bottom"/>
            <w:tcBorders>
              <w:left w:val="single" w:sz="8" w:color="auto"/>
            </w:tcBorders>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200" w:type="dxa"/>
            <w:vAlign w:val="bottom"/>
            <w:tcBorders>
              <w:right w:val="single" w:sz="8" w:color="E5E5E5"/>
            </w:tcBorders>
            <w:shd w:val="clear" w:color="auto" w:fill="E5E5E5"/>
          </w:tcPr>
          <w:p>
            <w:pPr>
              <w:spacing w:after="0"/>
              <w:rPr>
                <w:sz w:val="18"/>
                <w:szCs w:val="18"/>
                <w:color w:val="auto"/>
              </w:rPr>
            </w:pPr>
          </w:p>
        </w:tc>
        <w:tc>
          <w:tcPr>
            <w:tcW w:w="198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123,456,789,012.12345</w:t>
            </w:r>
          </w:p>
        </w:tc>
        <w:tc>
          <w:tcPr>
            <w:tcW w:w="44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rPr>
              <w:t>THE COMPANY NAME INC. - 401 K</w:t>
            </w:r>
          </w:p>
        </w:tc>
        <w:tc>
          <w:tcPr>
            <w:tcW w:w="1360" w:type="dxa"/>
            <w:vAlign w:val="bottom"/>
            <w:shd w:val="clear" w:color="auto" w:fill="E5E5E5"/>
          </w:tcPr>
          <w:p>
            <w:pPr>
              <w:spacing w:after="0"/>
              <w:rPr>
                <w:sz w:val="18"/>
                <w:szCs w:val="18"/>
                <w:color w:val="auto"/>
              </w:rPr>
            </w:pPr>
          </w:p>
        </w:tc>
        <w:tc>
          <w:tcPr>
            <w:tcW w:w="100" w:type="dxa"/>
            <w:vAlign w:val="bottom"/>
            <w:tcBorders>
              <w:left w:val="single" w:sz="8" w:color="auto"/>
            </w:tcBorders>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200" w:type="dxa"/>
            <w:vAlign w:val="bottom"/>
            <w:tcBorders>
              <w:right w:val="single" w:sz="8" w:color="E5E5E5"/>
            </w:tcBorders>
            <w:shd w:val="clear" w:color="auto" w:fill="E5E5E5"/>
          </w:tcPr>
          <w:p>
            <w:pPr>
              <w:spacing w:after="0"/>
              <w:rPr>
                <w:sz w:val="18"/>
                <w:szCs w:val="18"/>
                <w:color w:val="auto"/>
              </w:rPr>
            </w:pPr>
          </w:p>
        </w:tc>
        <w:tc>
          <w:tcPr>
            <w:tcW w:w="198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123,456,789,012.12345</w:t>
            </w:r>
          </w:p>
        </w:tc>
        <w:tc>
          <w:tcPr>
            <w:tcW w:w="44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tcBorders>
            <w:shd w:val="clear" w:color="auto" w:fill="E5E5E5"/>
          </w:tcPr>
          <w:p>
            <w:pPr>
              <w:spacing w:after="0"/>
              <w:rPr>
                <w:sz w:val="18"/>
                <w:szCs w:val="18"/>
                <w:color w:val="auto"/>
              </w:rPr>
            </w:pPr>
          </w:p>
        </w:tc>
        <w:tc>
          <w:tcPr>
            <w:tcW w:w="1360" w:type="dxa"/>
            <w:vAlign w:val="bottom"/>
            <w:tcBorders>
              <w:bottom w:val="single" w:sz="8" w:color="auto"/>
            </w:tcBorders>
            <w:shd w:val="clear" w:color="auto" w:fill="E5E5E5"/>
          </w:tcPr>
          <w:p>
            <w:pPr>
              <w:spacing w:after="0"/>
              <w:rPr>
                <w:sz w:val="18"/>
                <w:szCs w:val="18"/>
                <w:color w:val="auto"/>
              </w:rPr>
            </w:pPr>
          </w:p>
        </w:tc>
        <w:tc>
          <w:tcPr>
            <w:tcW w:w="100" w:type="dxa"/>
            <w:vAlign w:val="bottom"/>
            <w:tcBorders>
              <w:left w:val="single" w:sz="8" w:color="auto"/>
              <w:bottom w:val="single" w:sz="8" w:color="E5E5E5"/>
            </w:tcBorders>
            <w:shd w:val="clear" w:color="auto" w:fill="E5E5E5"/>
          </w:tcPr>
          <w:p>
            <w:pPr>
              <w:spacing w:after="0"/>
              <w:rPr>
                <w:sz w:val="18"/>
                <w:szCs w:val="18"/>
                <w:color w:val="auto"/>
              </w:rPr>
            </w:pPr>
          </w:p>
        </w:tc>
        <w:tc>
          <w:tcPr>
            <w:tcW w:w="1420" w:type="dxa"/>
            <w:vAlign w:val="bottom"/>
            <w:tcBorders>
              <w:bottom w:val="single" w:sz="8" w:color="E5E5E5"/>
            </w:tcBorders>
            <w:shd w:val="clear" w:color="auto" w:fill="E5E5E5"/>
          </w:tcPr>
          <w:p>
            <w:pPr>
              <w:spacing w:after="0"/>
              <w:rPr>
                <w:sz w:val="18"/>
                <w:szCs w:val="18"/>
                <w:color w:val="auto"/>
              </w:rPr>
            </w:pPr>
          </w:p>
        </w:tc>
        <w:tc>
          <w:tcPr>
            <w:tcW w:w="1200" w:type="dxa"/>
            <w:vAlign w:val="bottom"/>
            <w:tcBorders>
              <w:bottom w:val="single" w:sz="8" w:color="E5E5E5"/>
              <w:right w:val="single" w:sz="8" w:color="E5E5E5"/>
            </w:tcBorders>
            <w:shd w:val="clear" w:color="auto" w:fill="E5E5E5"/>
          </w:tcPr>
          <w:p>
            <w:pPr>
              <w:spacing w:after="0"/>
              <w:rPr>
                <w:sz w:val="18"/>
                <w:szCs w:val="18"/>
                <w:color w:val="auto"/>
              </w:rPr>
            </w:pPr>
          </w:p>
        </w:tc>
        <w:tc>
          <w:tcPr>
            <w:tcW w:w="1980" w:type="dxa"/>
            <w:vAlign w:val="bottom"/>
            <w:tcBorders>
              <w:bottom w:val="single" w:sz="8" w:color="E5E5E5"/>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123,456,789,012.12345</w:t>
            </w:r>
          </w:p>
        </w:tc>
        <w:tc>
          <w:tcPr>
            <w:tcW w:w="440" w:type="dxa"/>
            <w:vAlign w:val="bottom"/>
            <w:tcBorders>
              <w:bottom w:val="single" w:sz="8" w:color="E5E5E5"/>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Borders>
              <w:left w:val="single" w:sz="8" w:color="auto"/>
            </w:tcBorders>
            <w:shd w:val="clear" w:color="auto" w:fill="E5E5E5"/>
          </w:tcPr>
          <w:p>
            <w:pPr>
              <w:spacing w:after="0"/>
              <w:rPr>
                <w:sz w:val="17"/>
                <w:szCs w:val="17"/>
                <w:color w:val="auto"/>
              </w:rPr>
            </w:pPr>
          </w:p>
        </w:tc>
        <w:tc>
          <w:tcPr>
            <w:tcW w:w="1420" w:type="dxa"/>
            <w:vAlign w:val="bottom"/>
            <w:shd w:val="clear" w:color="auto" w:fill="E5E5E5"/>
          </w:tcPr>
          <w:p>
            <w:pPr>
              <w:ind w:left="440"/>
              <w:spacing w:after="0" w:line="201" w:lineRule="exact"/>
              <w:rPr>
                <w:sz w:val="20"/>
                <w:szCs w:val="20"/>
                <w:color w:val="auto"/>
              </w:rPr>
            </w:pPr>
            <w:r>
              <w:rPr>
                <w:rFonts w:ascii="Arial" w:cs="Arial" w:eastAsia="Arial" w:hAnsi="Arial"/>
                <w:sz w:val="18"/>
                <w:szCs w:val="18"/>
                <w:color w:val="auto"/>
              </w:rPr>
              <w:t>PAGE</w:t>
            </w:r>
          </w:p>
        </w:tc>
        <w:tc>
          <w:tcPr>
            <w:tcW w:w="1200" w:type="dxa"/>
            <w:vAlign w:val="bottom"/>
            <w:tcBorders>
              <w:right w:val="single" w:sz="8" w:color="E5E5E5"/>
            </w:tcBorders>
            <w:shd w:val="clear" w:color="auto" w:fill="E5E5E5"/>
          </w:tcPr>
          <w:p>
            <w:pPr>
              <w:ind w:left="160"/>
              <w:spacing w:after="0" w:line="201" w:lineRule="exact"/>
              <w:rPr>
                <w:sz w:val="20"/>
                <w:szCs w:val="20"/>
                <w:color w:val="auto"/>
              </w:rPr>
            </w:pPr>
            <w:r>
              <w:rPr>
                <w:rFonts w:ascii="Arial" w:cs="Arial" w:eastAsia="Arial" w:hAnsi="Arial"/>
                <w:sz w:val="18"/>
                <w:szCs w:val="18"/>
                <w:color w:val="auto"/>
              </w:rPr>
              <w:t>1  OF</w:t>
            </w:r>
          </w:p>
        </w:tc>
        <w:tc>
          <w:tcPr>
            <w:tcW w:w="2420" w:type="dxa"/>
            <w:vAlign w:val="bottom"/>
            <w:tcBorders>
              <w:right w:val="single" w:sz="8" w:color="auto"/>
            </w:tcBorders>
            <w:gridSpan w:val="2"/>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136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100" w:type="dxa"/>
            <w:vAlign w:val="bottom"/>
            <w:tcBorders>
              <w:left w:val="single" w:sz="8" w:color="auto"/>
              <w:bottom w:val="single" w:sz="8" w:color="auto"/>
            </w:tcBorders>
            <w:shd w:val="clear" w:color="auto" w:fill="E5E5E5"/>
          </w:tcPr>
          <w:p>
            <w:pPr>
              <w:spacing w:after="0"/>
              <w:rPr>
                <w:sz w:val="19"/>
                <w:szCs w:val="19"/>
                <w:color w:val="auto"/>
              </w:rPr>
            </w:pPr>
          </w:p>
        </w:tc>
        <w:tc>
          <w:tcPr>
            <w:tcW w:w="1420" w:type="dxa"/>
            <w:vAlign w:val="bottom"/>
            <w:tcBorders>
              <w:bottom w:val="single" w:sz="8" w:color="auto"/>
            </w:tcBorders>
            <w:shd w:val="clear" w:color="auto" w:fill="E5E5E5"/>
          </w:tcPr>
          <w:p>
            <w:pPr>
              <w:jc w:val="right"/>
              <w:ind w:right="592"/>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auto"/>
              <w:right w:val="single" w:sz="8" w:color="E5E5E5"/>
            </w:tcBorders>
            <w:shd w:val="clear" w:color="auto" w:fill="E5E5E5"/>
          </w:tcPr>
          <w:p>
            <w:pPr>
              <w:spacing w:after="0"/>
              <w:rPr>
                <w:sz w:val="19"/>
                <w:szCs w:val="19"/>
                <w:color w:val="auto"/>
              </w:rPr>
            </w:pPr>
          </w:p>
        </w:tc>
        <w:tc>
          <w:tcPr>
            <w:tcW w:w="1980" w:type="dxa"/>
            <w:vAlign w:val="bottom"/>
            <w:tcBorders>
              <w:bottom w:val="single" w:sz="8" w:color="auto"/>
              <w:right w:val="single" w:sz="8" w:color="E5E5E5"/>
            </w:tcBorders>
            <w:shd w:val="clear" w:color="auto" w:fill="E5E5E5"/>
          </w:tcPr>
          <w:p>
            <w:pPr>
              <w:spacing w:after="0"/>
              <w:rPr>
                <w:sz w:val="19"/>
                <w:szCs w:val="19"/>
                <w:color w:val="auto"/>
              </w:rPr>
            </w:pPr>
          </w:p>
        </w:tc>
        <w:tc>
          <w:tcPr>
            <w:tcW w:w="440" w:type="dxa"/>
            <w:vAlign w:val="bottom"/>
            <w:tcBorders>
              <w:bottom w:val="single" w:sz="8" w:color="auto"/>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800" w:type="dxa"/>
            <w:vAlign w:val="bottom"/>
          </w:tcPr>
          <w:p>
            <w:pPr>
              <w:spacing w:after="0" w:line="145" w:lineRule="exact"/>
              <w:rPr>
                <w:sz w:val="20"/>
                <w:szCs w:val="20"/>
                <w:color w:val="auto"/>
              </w:rPr>
            </w:pPr>
            <w:r>
              <w:rPr>
                <w:rFonts w:ascii="Arial" w:cs="Arial" w:eastAsia="Arial" w:hAnsi="Arial"/>
                <w:sz w:val="14"/>
                <w:szCs w:val="14"/>
                <w:color w:val="auto"/>
                <w:w w:val="98"/>
              </w:rPr>
              <w:t>TO VOTE, MARK BLOCKS BELOW IN BLUE OR BLACK INK AS FOLLOWS:</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760"/>
        <w:spacing w:after="0"/>
        <w:rPr>
          <w:sz w:val="20"/>
          <w:szCs w:val="20"/>
          <w:color w:val="auto"/>
        </w:rPr>
      </w:pPr>
      <w:r>
        <w:rPr>
          <w:rFonts w:ascii="Arial" w:cs="Arial" w:eastAsia="Arial" w:hAnsi="Arial"/>
          <w:sz w:val="12"/>
          <w:szCs w:val="12"/>
          <w:color w:val="auto"/>
        </w:rPr>
        <w:t>KEEP THIS PORTION FOR YOUR RECORDS</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1905</wp:posOffset>
            </wp:positionV>
            <wp:extent cx="7040880" cy="4323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40880" cy="432371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7470" cy="1149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1493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b w:val="1"/>
          <w:bCs w:val="1"/>
          <w:color w:val="auto"/>
        </w:rPr>
        <w:t>FOR the following:</w:t>
      </w:r>
    </w:p>
    <w:p>
      <w:pPr>
        <w:spacing w:after="0" w:line="219" w:lineRule="exact"/>
        <w:rPr>
          <w:sz w:val="20"/>
          <w:szCs w:val="20"/>
          <w:color w:val="auto"/>
        </w:rPr>
      </w:pPr>
    </w:p>
    <w:p>
      <w:pPr>
        <w:ind w:left="620" w:hanging="234"/>
        <w:spacing w:after="0"/>
        <w:tabs>
          <w:tab w:leader="none" w:pos="620" w:val="left"/>
        </w:tabs>
        <w:numPr>
          <w:ilvl w:val="0"/>
          <w:numId w:val="55"/>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80" w:lineRule="exact"/>
        <w:rPr>
          <w:rFonts w:ascii="Arial" w:cs="Arial" w:eastAsia="Arial" w:hAnsi="Arial"/>
          <w:sz w:val="14"/>
          <w:szCs w:val="14"/>
          <w:b w:val="1"/>
          <w:bCs w:val="1"/>
          <w:color w:val="auto"/>
        </w:rPr>
      </w:pPr>
    </w:p>
    <w:p>
      <w:pPr>
        <w:ind w:left="6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84" w:lineRule="exact"/>
        <w:rPr>
          <w:sz w:val="20"/>
          <w:szCs w:val="20"/>
          <w:color w:val="auto"/>
        </w:rPr>
      </w:pPr>
    </w:p>
    <w:p>
      <w:pPr>
        <w:ind w:left="380"/>
        <w:spacing w:after="0"/>
        <w:tabs>
          <w:tab w:leader="none" w:pos="2180" w:val="left"/>
          <w:tab w:leader="none" w:pos="2460" w:val="left"/>
        </w:tabs>
        <w:rPr>
          <w:sz w:val="20"/>
          <w:szCs w:val="20"/>
          <w:color w:val="auto"/>
        </w:rPr>
      </w:pPr>
      <w:r>
        <w:rPr>
          <w:rFonts w:ascii="Arial" w:cs="Arial" w:eastAsia="Arial" w:hAnsi="Arial"/>
          <w:sz w:val="14"/>
          <w:szCs w:val="14"/>
          <w:color w:val="auto"/>
        </w:rPr>
        <w:t>01  Laurence E. Hirsch</w:t>
      </w:r>
      <w:r>
        <w:rPr>
          <w:sz w:val="20"/>
          <w:szCs w:val="20"/>
          <w:color w:val="auto"/>
        </w:rPr>
        <w:tab/>
      </w:r>
      <w:r>
        <w:rPr>
          <w:rFonts w:ascii="Arial" w:cs="Arial" w:eastAsia="Arial" w:hAnsi="Arial"/>
          <w:sz w:val="14"/>
          <w:szCs w:val="14"/>
          <w:color w:val="auto"/>
        </w:rPr>
        <w:t>02</w:t>
      </w:r>
      <w:r>
        <w:rPr>
          <w:sz w:val="20"/>
          <w:szCs w:val="20"/>
          <w:color w:val="auto"/>
        </w:rPr>
        <w:tab/>
      </w:r>
      <w:r>
        <w:rPr>
          <w:rFonts w:ascii="Arial" w:cs="Arial" w:eastAsia="Arial" w:hAnsi="Arial"/>
          <w:sz w:val="12"/>
          <w:szCs w:val="12"/>
          <w:color w:val="auto"/>
        </w:rPr>
        <w:t>Michael R. Nicolais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The Board of Directors recommends you vote</w:t>
      </w:r>
    </w:p>
    <w:p>
      <w:pPr>
        <w:ind w:left="380"/>
        <w:spacing w:after="0" w:line="223" w:lineRule="auto"/>
        <w:rPr>
          <w:sz w:val="20"/>
          <w:szCs w:val="20"/>
          <w:color w:val="auto"/>
        </w:rPr>
      </w:pPr>
      <w:r>
        <w:rPr>
          <w:rFonts w:ascii="Arial" w:cs="Arial" w:eastAsia="Arial" w:hAnsi="Arial"/>
          <w:sz w:val="14"/>
          <w:szCs w:val="14"/>
          <w:b w:val="1"/>
          <w:bCs w:val="1"/>
          <w:color w:val="auto"/>
        </w:rPr>
        <w:t>FOR the following</w:t>
      </w:r>
    </w:p>
    <w:p>
      <w:pPr>
        <w:ind w:left="380"/>
        <w:spacing w:after="0"/>
        <w:rPr>
          <w:sz w:val="20"/>
          <w:szCs w:val="20"/>
          <w:color w:val="auto"/>
        </w:rPr>
      </w:pPr>
      <w:r>
        <w:rPr>
          <w:rFonts w:ascii="Arial" w:cs="Arial" w:eastAsia="Arial" w:hAnsi="Arial"/>
          <w:sz w:val="14"/>
          <w:szCs w:val="14"/>
          <w:b w:val="1"/>
          <w:bCs w:val="1"/>
          <w:color w:val="auto"/>
        </w:rPr>
        <w:t>proposal:</w:t>
      </w:r>
    </w:p>
    <w:p>
      <w:pPr>
        <w:spacing w:after="0" w:line="71" w:lineRule="exact"/>
        <w:rPr>
          <w:sz w:val="20"/>
          <w:szCs w:val="20"/>
          <w:color w:val="auto"/>
        </w:rPr>
      </w:pPr>
    </w:p>
    <w:p>
      <w:pPr>
        <w:ind w:left="620" w:hanging="234"/>
        <w:spacing w:after="0" w:line="239" w:lineRule="auto"/>
        <w:tabs>
          <w:tab w:leader="none" w:pos="620" w:val="left"/>
        </w:tabs>
        <w:numPr>
          <w:ilvl w:val="0"/>
          <w:numId w:val="56"/>
        </w:numPr>
        <w:rPr>
          <w:rFonts w:ascii="Arial" w:cs="Arial" w:eastAsia="Arial" w:hAnsi="Arial"/>
          <w:sz w:val="14"/>
          <w:szCs w:val="14"/>
          <w:b w:val="1"/>
          <w:bCs w:val="1"/>
          <w:color w:val="auto"/>
        </w:rPr>
      </w:pPr>
      <w:r>
        <w:rPr>
          <w:rFonts w:ascii="Arial" w:cs="Arial" w:eastAsia="Arial" w:hAnsi="Arial"/>
          <w:sz w:val="14"/>
          <w:szCs w:val="14"/>
          <w:color w:val="auto"/>
        </w:rPr>
        <w:t>Advisory resolution regarding the compensation of our named executive officers.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For All  Withhold</w:t>
      </w:r>
      <w:r>
        <w:rPr>
          <w:sz w:val="20"/>
          <w:szCs w:val="20"/>
          <w:color w:val="auto"/>
        </w:rPr>
        <w:tab/>
      </w:r>
      <w:r>
        <w:rPr>
          <w:rFonts w:ascii="Arial" w:cs="Arial" w:eastAsia="Arial" w:hAnsi="Arial"/>
          <w:sz w:val="12"/>
          <w:szCs w:val="12"/>
          <w:b w:val="1"/>
          <w:bCs w:val="1"/>
          <w:color w:val="auto"/>
        </w:rPr>
        <w:t>For All</w:t>
      </w:r>
    </w:p>
    <w:p>
      <w:pPr>
        <w:spacing w:after="0" w:line="2" w:lineRule="exact"/>
        <w:rPr>
          <w:sz w:val="20"/>
          <w:szCs w:val="20"/>
          <w:color w:val="auto"/>
        </w:rPr>
      </w:pPr>
    </w:p>
    <w:p>
      <w:pPr>
        <w:ind w:left="700"/>
        <w:spacing w:after="0"/>
        <w:tabs>
          <w:tab w:leader="none" w:pos="1180" w:val="left"/>
        </w:tabs>
        <w:rPr>
          <w:sz w:val="20"/>
          <w:szCs w:val="20"/>
          <w:color w:val="auto"/>
        </w:rPr>
      </w:pPr>
      <w:r>
        <w:rPr>
          <w:rFonts w:ascii="Arial" w:cs="Arial" w:eastAsia="Arial" w:hAnsi="Arial"/>
          <w:sz w:val="12"/>
          <w:szCs w:val="12"/>
          <w:b w:val="1"/>
          <w:bCs w:val="1"/>
          <w:color w:val="auto"/>
        </w:rPr>
        <w:t>All</w:t>
      </w:r>
      <w:r>
        <w:rPr>
          <w:sz w:val="20"/>
          <w:szCs w:val="20"/>
          <w:color w:val="auto"/>
        </w:rPr>
        <w:tab/>
      </w:r>
      <w:r>
        <w:rPr>
          <w:rFonts w:ascii="Arial" w:cs="Arial" w:eastAsia="Arial" w:hAnsi="Arial"/>
          <w:sz w:val="12"/>
          <w:szCs w:val="12"/>
          <w:b w:val="1"/>
          <w:bCs w:val="1"/>
          <w:color w:val="auto"/>
        </w:rPr>
        <w:t>Except</w:t>
      </w:r>
    </w:p>
    <w:p>
      <w:pPr>
        <w:spacing w:after="0" w:line="347" w:lineRule="exact"/>
        <w:rPr>
          <w:sz w:val="20"/>
          <w:szCs w:val="20"/>
          <w:color w:val="auto"/>
        </w:rPr>
      </w:pPr>
    </w:p>
    <w:p>
      <w:pPr>
        <w:ind w:left="140"/>
        <w:spacing w:after="0" w:line="181" w:lineRule="exact"/>
        <w:tabs>
          <w:tab w:leader="none" w:pos="700" w:val="left"/>
          <w:tab w:leader="none" w:pos="13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0"/>
        <w:spacing w:after="0"/>
        <w:tabs>
          <w:tab w:leader="none" w:pos="380" w:val="left"/>
        </w:tabs>
        <w:rPr>
          <w:sz w:val="20"/>
          <w:szCs w:val="20"/>
          <w:color w:val="auto"/>
        </w:rPr>
      </w:pPr>
      <w:r>
        <w:rPr>
          <w:rFonts w:ascii="Arial" w:cs="Arial" w:eastAsia="Arial" w:hAnsi="Arial"/>
          <w:sz w:val="14"/>
          <w:szCs w:val="14"/>
          <w:color w:val="auto"/>
        </w:rPr>
        <w:t>03</w:t>
      </w:r>
      <w:r>
        <w:rPr>
          <w:sz w:val="20"/>
          <w:szCs w:val="20"/>
          <w:color w:val="auto"/>
        </w:rPr>
        <w:tab/>
      </w:r>
      <w:r>
        <w:rPr>
          <w:rFonts w:ascii="Arial" w:cs="Arial" w:eastAsia="Arial" w:hAnsi="Arial"/>
          <w:sz w:val="12"/>
          <w:szCs w:val="12"/>
          <w:color w:val="auto"/>
        </w:rPr>
        <w:t>Richard R. Stewart</w:t>
      </w:r>
    </w:p>
    <w:p>
      <w:pPr>
        <w:spacing w:after="0" w:line="391" w:lineRule="exact"/>
        <w:rPr>
          <w:sz w:val="20"/>
          <w:szCs w:val="20"/>
          <w:color w:val="auto"/>
        </w:rPr>
      </w:pPr>
    </w:p>
    <w:p>
      <w:pPr>
        <w:ind w:left="100"/>
        <w:spacing w:after="0"/>
        <w:tabs>
          <w:tab w:leader="none" w:pos="560" w:val="left"/>
          <w:tab w:leader="none" w:pos="11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41" w:lineRule="exact"/>
        <w:rPr>
          <w:sz w:val="20"/>
          <w:szCs w:val="20"/>
          <w:color w:val="auto"/>
        </w:rPr>
      </w:pPr>
    </w:p>
    <w:p>
      <w:pPr>
        <w:ind w:left="140"/>
        <w:spacing w:after="0" w:line="181" w:lineRule="exact"/>
        <w:tabs>
          <w:tab w:leader="none" w:pos="700" w:val="left"/>
          <w:tab w:leader="none" w:pos="13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To withhold authority to vote for any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-94615</wp:posOffset>
            </wp:positionV>
            <wp:extent cx="68580" cy="7029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702945"/>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12"/>
          <w:szCs w:val="12"/>
          <w:color w:val="auto"/>
        </w:rPr>
        <w:t>nominee(s), mark “For All Except” and write</w:t>
      </w:r>
    </w:p>
    <w:p>
      <w:pPr>
        <w:ind w:right="1560"/>
        <w:spacing w:after="0" w:line="445" w:lineRule="exact"/>
        <w:rPr>
          <w:sz w:val="20"/>
          <w:szCs w:val="20"/>
          <w:color w:val="auto"/>
        </w:rPr>
      </w:pPr>
      <w:r>
        <w:rPr>
          <w:rFonts w:ascii="Arial" w:cs="Arial" w:eastAsia="Arial" w:hAnsi="Arial"/>
          <w:sz w:val="12"/>
          <w:szCs w:val="12"/>
          <w:color w:val="auto"/>
        </w:rPr>
        <w:t xml:space="preserve">the number(s) of the nominee(s) on the line </w:t>
      </w:r>
      <w:r>
        <w:rPr>
          <w:rFonts w:ascii="MS PGothic" w:cs="MS PGothic" w:eastAsia="MS PGothic" w:hAnsi="MS PGothic"/>
          <w:sz w:val="51"/>
          <w:szCs w:val="51"/>
          <w:color w:val="auto"/>
        </w:rPr>
        <w:t>☐</w:t>
      </w:r>
      <w:r>
        <w:rPr>
          <w:rFonts w:ascii="Arial" w:cs="Arial" w:eastAsia="Arial" w:hAnsi="Arial"/>
          <w:sz w:val="12"/>
          <w:szCs w:val="12"/>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920"/>
        <w:spacing w:after="0" w:line="265"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THE SHARES REPRESENTED BY THIS PROXY WHEN</w:t>
      </w:r>
      <w:r>
        <w:rPr>
          <w:rFonts w:ascii="Arial" w:cs="Arial" w:eastAsia="Arial" w:hAnsi="Arial"/>
          <w:sz w:val="12"/>
          <w:szCs w:val="12"/>
          <w:b w:val="1"/>
          <w:bCs w:val="1"/>
          <w:color w:val="auto"/>
        </w:rPr>
        <w:t xml:space="preserve"> </w:t>
      </w:r>
      <w:r>
        <w:rPr>
          <w:rFonts w:ascii="Arial" w:cs="Arial" w:eastAsia="Arial" w:hAnsi="Arial"/>
          <w:sz w:val="12"/>
          <w:szCs w:val="12"/>
          <w:color w:val="auto"/>
        </w:rPr>
        <w:t>PROPERLY EXECUTED WILL BE VOTED IN THE MANNER DIRECTED HEREIN BY THE UNDERSIGNED STOCKHOLDER(S). IF NO DIRECTION IS MADE, THIS PROXY WILL BE VOTED FOR ITEMS 1, 2 AND 4 AND NO VOTE WILL BE CAST ON ITEM 3. IF ANY OTHER MATTERS PROPERLY COME BEFORE THE MEETING, THE PROXIES NAMED IN THIS PROXY WILLVOTE IN THEIR DISCRETION. BY EXECUTING THIS PROXY, THE UNDERSIGNED HEREBY REVOKES PRIOR PROXIES RELATING TO THE MEETING.</w:t>
      </w:r>
    </w:p>
    <w:p>
      <w:pPr>
        <w:spacing w:after="0" w:line="31" w:lineRule="exact"/>
        <w:rPr>
          <w:sz w:val="20"/>
          <w:szCs w:val="20"/>
          <w:color w:val="auto"/>
        </w:rPr>
      </w:pPr>
    </w:p>
    <w:p>
      <w:pPr>
        <w:sectPr>
          <w:pgSz w:w="11900" w:h="16838" w:orient="portrait"/>
          <w:cols w:equalWidth="0" w:num="3">
            <w:col w:w="3580" w:space="380"/>
            <w:col w:w="1620" w:space="140"/>
            <w:col w:w="5700"/>
          </w:cols>
          <w:pgMar w:left="240" w:top="459" w:right="239" w:bottom="0" w:gutter="0" w:footer="0" w:header="0"/>
          <w:type w:val="continuous"/>
        </w:sectPr>
      </w:pPr>
    </w:p>
    <w:tbl>
      <w:tblPr>
        <w:tblLayout w:type="fixed"/>
        <w:tblInd w:w="38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Arial" w:cs="Arial" w:eastAsia="Arial" w:hAnsi="Arial"/>
                <w:sz w:val="14"/>
                <w:szCs w:val="14"/>
                <w:b w:val="1"/>
                <w:bCs w:val="1"/>
                <w:color w:val="auto"/>
              </w:rPr>
              <w:t>The Board of Directors does not have a</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b w:val="1"/>
                <w:bCs w:val="1"/>
                <w:color w:val="auto"/>
              </w:rPr>
              <w:t>recommendation for voting on the following</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88"/>
        </w:trPr>
        <w:tc>
          <w:tcPr>
            <w:tcW w:w="300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2"/>
              </w:rPr>
              <w:t>3 years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2"/>
              </w:rPr>
              <w:t>2 years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1 year</w:t>
            </w:r>
          </w:p>
        </w:tc>
        <w:tc>
          <w:tcPr>
            <w:tcW w:w="520" w:type="dxa"/>
            <w:vAlign w:val="bottom"/>
          </w:tcPr>
          <w:p>
            <w:pPr>
              <w:jc w:val="center"/>
              <w:ind w:left="2"/>
              <w:spacing w:after="0"/>
              <w:rPr>
                <w:sz w:val="20"/>
                <w:szCs w:val="20"/>
                <w:color w:val="auto"/>
              </w:rPr>
            </w:pPr>
            <w:r>
              <w:rPr>
                <w:rFonts w:ascii="Arial" w:cs="Arial" w:eastAsia="Arial" w:hAnsi="Arial"/>
                <w:sz w:val="14"/>
                <w:szCs w:val="14"/>
                <w:b w:val="1"/>
                <w:bCs w:val="1"/>
                <w:color w:val="auto"/>
                <w:w w:val="85"/>
              </w:rPr>
              <w:t>Abstain</w:t>
            </w:r>
          </w:p>
        </w:tc>
      </w:tr>
      <w:tr>
        <w:trPr>
          <w:trHeight w:val="218"/>
        </w:trPr>
        <w:tc>
          <w:tcPr>
            <w:tcW w:w="3000" w:type="dxa"/>
            <w:vAlign w:val="bottom"/>
          </w:tcPr>
          <w:p>
            <w:pPr>
              <w:spacing w:after="0"/>
              <w:rPr>
                <w:sz w:val="20"/>
                <w:szCs w:val="20"/>
                <w:color w:val="auto"/>
              </w:rPr>
            </w:pPr>
            <w:r>
              <w:rPr>
                <w:rFonts w:ascii="Arial" w:cs="Arial" w:eastAsia="Arial" w:hAnsi="Arial"/>
                <w:sz w:val="14"/>
                <w:szCs w:val="14"/>
                <w:b w:val="1"/>
                <w:bCs w:val="1"/>
                <w:color w:val="auto"/>
                <w:w w:val="92"/>
              </w:rPr>
              <w:t xml:space="preserve">3  </w:t>
            </w:r>
            <w:r>
              <w:rPr>
                <w:rFonts w:ascii="Arial" w:cs="Arial" w:eastAsia="Arial" w:hAnsi="Arial"/>
                <w:sz w:val="14"/>
                <w:szCs w:val="14"/>
                <w:color w:val="auto"/>
                <w:w w:val="92"/>
              </w:rPr>
              <w:t>To recommend, by non-binding advisory vote, the</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ind w:left="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37"/>
        </w:trPr>
        <w:tc>
          <w:tcPr>
            <w:tcW w:w="3000" w:type="dxa"/>
            <w:vAlign w:val="bottom"/>
          </w:tcPr>
          <w:p>
            <w:pPr>
              <w:ind w:left="240"/>
              <w:spacing w:after="0" w:line="137" w:lineRule="exact"/>
              <w:rPr>
                <w:sz w:val="20"/>
                <w:szCs w:val="20"/>
                <w:color w:val="auto"/>
              </w:rPr>
            </w:pPr>
            <w:r>
              <w:rPr>
                <w:rFonts w:ascii="Arial" w:cs="Arial" w:eastAsia="Arial" w:hAnsi="Arial"/>
                <w:sz w:val="14"/>
                <w:szCs w:val="14"/>
                <w:color w:val="auto"/>
              </w:rPr>
              <w:t>frequency of future advisory votes on the</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72"/>
        </w:trPr>
        <w:tc>
          <w:tcPr>
            <w:tcW w:w="3000" w:type="dxa"/>
            <w:vAlign w:val="bottom"/>
          </w:tcPr>
          <w:p>
            <w:pPr>
              <w:ind w:left="240"/>
              <w:spacing w:after="0"/>
              <w:rPr>
                <w:sz w:val="20"/>
                <w:szCs w:val="20"/>
                <w:color w:val="auto"/>
              </w:rPr>
            </w:pPr>
            <w:r>
              <w:rPr>
                <w:rFonts w:ascii="Arial" w:cs="Arial" w:eastAsia="Arial" w:hAnsi="Arial"/>
                <w:sz w:val="14"/>
                <w:szCs w:val="14"/>
                <w:color w:val="auto"/>
                <w:w w:val="94"/>
              </w:rPr>
              <w:t>compensation of our named executive officers.</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17"/>
        </w:trPr>
        <w:tc>
          <w:tcPr>
            <w:tcW w:w="3000" w:type="dxa"/>
            <w:vAlign w:val="bottom"/>
          </w:tcPr>
          <w:p>
            <w:pPr>
              <w:spacing w:after="0"/>
              <w:rPr>
                <w:sz w:val="20"/>
                <w:szCs w:val="20"/>
                <w:color w:val="auto"/>
              </w:rPr>
            </w:pPr>
            <w:r>
              <w:rPr>
                <w:rFonts w:ascii="Arial" w:cs="Arial" w:eastAsia="Arial" w:hAnsi="Arial"/>
                <w:sz w:val="14"/>
                <w:szCs w:val="14"/>
                <w:b w:val="1"/>
                <w:bCs w:val="1"/>
                <w:color w:val="auto"/>
                <w:w w:val="97"/>
              </w:rPr>
              <w:t>The Board of Directors recommends you vote</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b w:val="1"/>
                <w:bCs w:val="1"/>
                <w:color w:val="auto"/>
              </w:rPr>
              <w:t>FOR the following</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88"/>
        </w:trPr>
        <w:tc>
          <w:tcPr>
            <w:tcW w:w="300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5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20" w:type="dxa"/>
            <w:vAlign w:val="bottom"/>
          </w:tcPr>
          <w:p>
            <w:pPr>
              <w:jc w:val="center"/>
              <w:ind w:left="2"/>
              <w:spacing w:after="0"/>
              <w:rPr>
                <w:sz w:val="20"/>
                <w:szCs w:val="20"/>
                <w:color w:val="auto"/>
              </w:rPr>
            </w:pPr>
            <w:r>
              <w:rPr>
                <w:rFonts w:ascii="Arial" w:cs="Arial" w:eastAsia="Arial" w:hAnsi="Arial"/>
                <w:sz w:val="14"/>
                <w:szCs w:val="14"/>
                <w:b w:val="1"/>
                <w:bCs w:val="1"/>
                <w:color w:val="auto"/>
                <w:w w:val="85"/>
              </w:rPr>
              <w:t>Abstain</w:t>
            </w:r>
          </w:p>
        </w:tc>
      </w:tr>
      <w:tr>
        <w:trPr>
          <w:trHeight w:val="218"/>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w w:val="97"/>
              </w:rPr>
              <w:t xml:space="preserve">4  </w:t>
            </w:r>
            <w:r>
              <w:rPr>
                <w:rFonts w:ascii="Arial" w:cs="Arial" w:eastAsia="Arial" w:hAnsi="Arial"/>
                <w:sz w:val="14"/>
                <w:szCs w:val="14"/>
                <w:color w:val="auto"/>
                <w:w w:val="97"/>
              </w:rPr>
              <w:t>To approve the expected appointment of Ernst &amp; Young</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jc w:val="center"/>
              <w:ind w:left="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2"/>
        </w:trPr>
        <w:tc>
          <w:tcPr>
            <w:tcW w:w="3000" w:type="dxa"/>
            <w:vAlign w:val="bottom"/>
          </w:tcPr>
          <w:p>
            <w:pPr>
              <w:ind w:left="240"/>
              <w:spacing w:after="0"/>
              <w:rPr>
                <w:sz w:val="20"/>
                <w:szCs w:val="20"/>
                <w:color w:val="auto"/>
              </w:rPr>
            </w:pPr>
            <w:r>
              <w:rPr>
                <w:rFonts w:ascii="Arial" w:cs="Arial" w:eastAsia="Arial" w:hAnsi="Arial"/>
                <w:sz w:val="14"/>
                <w:szCs w:val="14"/>
                <w:color w:val="auto"/>
                <w:w w:val="90"/>
              </w:rPr>
              <w:t>LLP as independent auditors for fiscal year 2012.</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96" w:lineRule="exact"/>
        <w:rPr>
          <w:sz w:val="20"/>
          <w:szCs w:val="20"/>
          <w:color w:val="auto"/>
        </w:rPr>
      </w:pPr>
    </w:p>
    <w:p>
      <w:pPr>
        <w:sectPr>
          <w:pgSz w:w="11900" w:h="16838" w:orient="portrait"/>
          <w:cols w:equalWidth="0" w:num="1">
            <w:col w:w="11420"/>
          </w:cols>
          <w:pgMar w:left="240" w:top="459" w:right="239" w:bottom="0" w:gutter="0" w:footer="0" w:header="0"/>
          <w:type w:val="continuous"/>
        </w:sectPr>
      </w:pPr>
    </w:p>
    <w:p>
      <w:pPr>
        <w:ind w:left="6540"/>
        <w:spacing w:after="0"/>
        <w:rPr>
          <w:sz w:val="20"/>
          <w:szCs w:val="20"/>
          <w:color w:val="auto"/>
        </w:rPr>
      </w:pPr>
      <w:r>
        <w:rPr>
          <w:rFonts w:ascii="Arial" w:cs="Arial" w:eastAsia="Arial" w:hAnsi="Arial"/>
          <w:sz w:val="16"/>
          <w:szCs w:val="16"/>
          <w:color w:val="auto"/>
        </w:rPr>
        <w:t>Investor Address Line 1</w:t>
      </w:r>
    </w:p>
    <w:p>
      <w:pPr>
        <w:spacing w:after="0" w:line="38"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Investor Address Line 2</w:t>
      </w:r>
    </w:p>
    <w:p>
      <w:pPr>
        <w:sectPr>
          <w:pgSz w:w="11900" w:h="16838" w:orient="portrait"/>
          <w:cols w:equalWidth="0" w:num="1">
            <w:col w:w="11420"/>
          </w:cols>
          <w:pgMar w:left="240" w:top="459" w:right="239" w:bottom="0" w:gutter="0" w:footer="0" w:header="0"/>
          <w:type w:val="continuous"/>
        </w:sectPr>
      </w:pPr>
    </w:p>
    <w:bookmarkStart w:id="56" w:name="page57"/>
    <w:bookmarkEnd w:id="56"/>
    <w:tbl>
      <w:tblPr>
        <w:tblLayout w:type="fixed"/>
        <w:tblInd w:w="260" w:type="dxa"/>
        <w:tblCellMar>
          <w:top w:w="0" w:type="dxa"/>
          <w:left w:w="0" w:type="dxa"/>
          <w:bottom w:w="0" w:type="dxa"/>
          <w:right w:w="0" w:type="dxa"/>
        </w:tblCellMar>
      </w:tblPr>
      <w:tr>
        <w:trPr>
          <w:trHeight w:val="207"/>
        </w:trPr>
        <w:tc>
          <w:tcPr>
            <w:tcW w:w="544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5"/>
              </w:rPr>
              <w:t>Please sign exactly as your name(s) appear(s) hereon. When signing as attorney, executor,</w:t>
            </w:r>
          </w:p>
        </w:tc>
        <w:tc>
          <w:tcPr>
            <w:tcW w:w="5400" w:type="dxa"/>
            <w:vAlign w:val="bottom"/>
            <w:tcBorders>
              <w:right w:val="single" w:sz="8" w:color="auto"/>
            </w:tcBorders>
            <w:shd w:val="clear" w:color="auto" w:fill="E5E5E5"/>
          </w:tcPr>
          <w:p>
            <w:pPr>
              <w:ind w:left="720"/>
              <w:spacing w:after="0"/>
              <w:rPr>
                <w:sz w:val="20"/>
                <w:szCs w:val="20"/>
                <w:color w:val="auto"/>
              </w:rPr>
            </w:pPr>
            <w:r>
              <w:rPr>
                <w:rFonts w:ascii="Arial" w:cs="Arial" w:eastAsia="Arial" w:hAnsi="Arial"/>
                <w:sz w:val="18"/>
                <w:szCs w:val="18"/>
                <w:color w:val="auto"/>
              </w:rPr>
              <w:t>Investor Address Line 3</w:t>
            </w:r>
          </w:p>
        </w:tc>
        <w:tc>
          <w:tcPr>
            <w:tcW w:w="0" w:type="dxa"/>
            <w:vAlign w:val="bottom"/>
          </w:tcPr>
          <w:p>
            <w:pPr>
              <w:spacing w:after="0"/>
              <w:rPr>
                <w:sz w:val="1"/>
                <w:szCs w:val="1"/>
                <w:color w:val="auto"/>
              </w:rPr>
            </w:pPr>
          </w:p>
        </w:tc>
      </w:tr>
      <w:tr>
        <w:trPr>
          <w:trHeight w:val="124"/>
        </w:trPr>
        <w:tc>
          <w:tcPr>
            <w:tcW w:w="5440" w:type="dxa"/>
            <w:vAlign w:val="bottom"/>
            <w:tcBorders>
              <w:right w:val="single" w:sz="8" w:color="auto"/>
            </w:tcBorders>
          </w:tcPr>
          <w:p>
            <w:pPr>
              <w:spacing w:after="0" w:line="125" w:lineRule="exact"/>
              <w:rPr>
                <w:sz w:val="20"/>
                <w:szCs w:val="20"/>
                <w:color w:val="auto"/>
              </w:rPr>
            </w:pPr>
            <w:r>
              <w:rPr>
                <w:rFonts w:ascii="Arial" w:cs="Arial" w:eastAsia="Arial" w:hAnsi="Arial"/>
                <w:sz w:val="14"/>
                <w:szCs w:val="14"/>
                <w:color w:val="auto"/>
                <w:w w:val="95"/>
              </w:rPr>
              <w:t>administrator, or other fiduciary, please give full title as such. Joint owners should each sign</w:t>
            </w:r>
          </w:p>
        </w:tc>
        <w:tc>
          <w:tcPr>
            <w:tcW w:w="5400" w:type="dxa"/>
            <w:vAlign w:val="bottom"/>
            <w:tcBorders>
              <w:right w:val="single" w:sz="8" w:color="auto"/>
            </w:tcBorders>
            <w:vMerge w:val="restart"/>
            <w:shd w:val="clear" w:color="auto" w:fill="E5E5E5"/>
          </w:tcPr>
          <w:p>
            <w:pPr>
              <w:ind w:left="720"/>
              <w:spacing w:after="0"/>
              <w:rPr>
                <w:sz w:val="20"/>
                <w:szCs w:val="20"/>
                <w:color w:val="auto"/>
              </w:rPr>
            </w:pPr>
            <w:r>
              <w:rPr>
                <w:rFonts w:ascii="Arial" w:cs="Arial" w:eastAsia="Arial" w:hAnsi="Arial"/>
                <w:sz w:val="18"/>
                <w:szCs w:val="18"/>
                <w:color w:val="auto"/>
              </w:rPr>
              <w:t>Investor Address Line 4</w:t>
            </w:r>
          </w:p>
        </w:tc>
        <w:tc>
          <w:tcPr>
            <w:tcW w:w="0" w:type="dxa"/>
            <w:vAlign w:val="bottom"/>
          </w:tcPr>
          <w:p>
            <w:pPr>
              <w:spacing w:after="0"/>
              <w:rPr>
                <w:sz w:val="1"/>
                <w:szCs w:val="1"/>
                <w:color w:val="auto"/>
              </w:rPr>
            </w:pPr>
          </w:p>
        </w:tc>
      </w:tr>
      <w:tr>
        <w:trPr>
          <w:trHeight w:val="137"/>
        </w:trPr>
        <w:tc>
          <w:tcPr>
            <w:tcW w:w="5440" w:type="dxa"/>
            <w:vAlign w:val="bottom"/>
            <w:tcBorders>
              <w:right w:val="single" w:sz="8" w:color="auto"/>
            </w:tcBorders>
          </w:tcPr>
          <w:p>
            <w:pPr>
              <w:spacing w:after="0" w:line="137" w:lineRule="exact"/>
              <w:rPr>
                <w:sz w:val="20"/>
                <w:szCs w:val="20"/>
                <w:color w:val="auto"/>
              </w:rPr>
            </w:pPr>
            <w:r>
              <w:rPr>
                <w:rFonts w:ascii="Arial" w:cs="Arial" w:eastAsia="Arial" w:hAnsi="Arial"/>
                <w:sz w:val="14"/>
                <w:szCs w:val="14"/>
                <w:color w:val="auto"/>
                <w:w w:val="92"/>
              </w:rPr>
              <w:t>personally. All holders must sign. If a corporation or partnership, please sign in full corporate or</w:t>
            </w:r>
          </w:p>
        </w:tc>
        <w:tc>
          <w:tcPr>
            <w:tcW w:w="5400" w:type="dxa"/>
            <w:vAlign w:val="bottom"/>
            <w:tcBorders>
              <w:right w:val="single" w:sz="8" w:color="auto"/>
            </w:tcBorders>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partnership name, by authorized officer.</w:t>
            </w:r>
          </w:p>
        </w:tc>
        <w:tc>
          <w:tcPr>
            <w:tcW w:w="5400" w:type="dxa"/>
            <w:vAlign w:val="bottom"/>
            <w:tcBorders>
              <w:right w:val="single" w:sz="8" w:color="auto"/>
            </w:tcBorders>
            <w:shd w:val="clear" w:color="auto" w:fill="E5E5E5"/>
          </w:tcPr>
          <w:p>
            <w:pPr>
              <w:ind w:left="720"/>
              <w:spacing w:after="0"/>
              <w:rPr>
                <w:sz w:val="20"/>
                <w:szCs w:val="20"/>
                <w:color w:val="auto"/>
              </w:rPr>
            </w:pPr>
            <w:r>
              <w:rPr>
                <w:rFonts w:ascii="Arial" w:cs="Arial" w:eastAsia="Arial" w:hAnsi="Arial"/>
                <w:sz w:val="18"/>
                <w:szCs w:val="18"/>
                <w:color w:val="auto"/>
              </w:rPr>
              <w:t>Investor Address Line 5</w:t>
            </w:r>
          </w:p>
        </w:tc>
        <w:tc>
          <w:tcPr>
            <w:tcW w:w="0" w:type="dxa"/>
            <w:vAlign w:val="bottom"/>
          </w:tcPr>
          <w:p>
            <w:pPr>
              <w:spacing w:after="0"/>
              <w:rPr>
                <w:sz w:val="1"/>
                <w:szCs w:val="1"/>
                <w:color w:val="auto"/>
              </w:rPr>
            </w:pPr>
          </w:p>
        </w:tc>
      </w:tr>
      <w:tr>
        <w:trPr>
          <w:trHeight w:val="216"/>
        </w:trPr>
        <w:tc>
          <w:tcPr>
            <w:tcW w:w="5440" w:type="dxa"/>
            <w:vAlign w:val="bottom"/>
            <w:tcBorders>
              <w:right w:val="single" w:sz="8" w:color="auto"/>
            </w:tcBorders>
          </w:tcPr>
          <w:p>
            <w:pPr>
              <w:spacing w:after="0"/>
              <w:rPr>
                <w:sz w:val="18"/>
                <w:szCs w:val="18"/>
                <w:color w:val="auto"/>
              </w:rPr>
            </w:pPr>
          </w:p>
        </w:tc>
        <w:tc>
          <w:tcPr>
            <w:tcW w:w="5400" w:type="dxa"/>
            <w:vAlign w:val="bottom"/>
            <w:tcBorders>
              <w:right w:val="single" w:sz="8" w:color="auto"/>
            </w:tcBorders>
            <w:shd w:val="clear" w:color="auto" w:fill="E5E5E5"/>
          </w:tcPr>
          <w:p>
            <w:pPr>
              <w:ind w:left="720"/>
              <w:spacing w:after="0"/>
              <w:rPr>
                <w:sz w:val="20"/>
                <w:szCs w:val="20"/>
                <w:color w:val="auto"/>
              </w:rPr>
            </w:pPr>
            <w:r>
              <w:rPr>
                <w:rFonts w:ascii="Arial" w:cs="Arial" w:eastAsia="Arial" w:hAnsi="Arial"/>
                <w:sz w:val="18"/>
                <w:szCs w:val="18"/>
                <w:color w:val="auto"/>
              </w:rPr>
              <w:t>John Sample</w:t>
            </w:r>
          </w:p>
        </w:tc>
        <w:tc>
          <w:tcPr>
            <w:tcW w:w="0" w:type="dxa"/>
            <w:vAlign w:val="bottom"/>
          </w:tcPr>
          <w:p>
            <w:pPr>
              <w:spacing w:after="0"/>
              <w:rPr>
                <w:sz w:val="1"/>
                <w:szCs w:val="1"/>
                <w:color w:val="auto"/>
              </w:rPr>
            </w:pPr>
          </w:p>
        </w:tc>
      </w:tr>
      <w:tr>
        <w:trPr>
          <w:trHeight w:val="216"/>
        </w:trPr>
        <w:tc>
          <w:tcPr>
            <w:tcW w:w="5440" w:type="dxa"/>
            <w:vAlign w:val="bottom"/>
            <w:tcBorders>
              <w:right w:val="single" w:sz="8" w:color="auto"/>
            </w:tcBorders>
          </w:tcPr>
          <w:p>
            <w:pPr>
              <w:spacing w:after="0"/>
              <w:rPr>
                <w:sz w:val="18"/>
                <w:szCs w:val="18"/>
                <w:color w:val="auto"/>
              </w:rPr>
            </w:pPr>
          </w:p>
        </w:tc>
        <w:tc>
          <w:tcPr>
            <w:tcW w:w="5400" w:type="dxa"/>
            <w:vAlign w:val="bottom"/>
            <w:tcBorders>
              <w:right w:val="single" w:sz="8" w:color="auto"/>
            </w:tcBorders>
            <w:shd w:val="clear" w:color="auto" w:fill="E5E5E5"/>
          </w:tcPr>
          <w:p>
            <w:pPr>
              <w:ind w:left="720"/>
              <w:spacing w:after="0"/>
              <w:rPr>
                <w:sz w:val="20"/>
                <w:szCs w:val="20"/>
                <w:color w:val="auto"/>
              </w:rPr>
            </w:pPr>
            <w:r>
              <w:rPr>
                <w:rFonts w:ascii="Arial" w:cs="Arial" w:eastAsia="Arial" w:hAnsi="Arial"/>
                <w:sz w:val="18"/>
                <w:szCs w:val="18"/>
                <w:color w:val="auto"/>
              </w:rPr>
              <w:t>1234 ANYWHERE STREET</w:t>
            </w:r>
          </w:p>
        </w:tc>
        <w:tc>
          <w:tcPr>
            <w:tcW w:w="0" w:type="dxa"/>
            <w:vAlign w:val="bottom"/>
          </w:tcPr>
          <w:p>
            <w:pPr>
              <w:spacing w:after="0"/>
              <w:rPr>
                <w:sz w:val="1"/>
                <w:szCs w:val="1"/>
                <w:color w:val="auto"/>
              </w:rPr>
            </w:pPr>
          </w:p>
        </w:tc>
      </w:tr>
      <w:tr>
        <w:trPr>
          <w:trHeight w:val="222"/>
        </w:trPr>
        <w:tc>
          <w:tcPr>
            <w:tcW w:w="544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shd w:val="clear" w:color="auto" w:fill="E5E5E5"/>
          </w:tcPr>
          <w:p>
            <w:pPr>
              <w:ind w:left="720"/>
              <w:spacing w:after="0"/>
              <w:rPr>
                <w:sz w:val="20"/>
                <w:szCs w:val="20"/>
                <w:color w:val="auto"/>
              </w:rPr>
            </w:pPr>
            <w:r>
              <w:rPr>
                <w:rFonts w:ascii="Arial" w:cs="Arial" w:eastAsia="Arial" w:hAnsi="Arial"/>
                <w:sz w:val="18"/>
                <w:szCs w:val="18"/>
                <w:color w:val="auto"/>
              </w:rPr>
              <w:t>ANY CITY, ON A1A 1A1</w:t>
            </w:r>
          </w:p>
        </w:tc>
        <w:tc>
          <w:tcPr>
            <w:tcW w:w="0" w:type="dxa"/>
            <w:vAlign w:val="bottom"/>
          </w:tcPr>
          <w:p>
            <w:pPr>
              <w:spacing w:after="0"/>
              <w:rPr>
                <w:sz w:val="1"/>
                <w:szCs w:val="1"/>
                <w:color w:val="auto"/>
              </w:rPr>
            </w:pPr>
          </w:p>
        </w:tc>
      </w:tr>
      <w:tr>
        <w:trPr>
          <w:trHeight w:val="164"/>
        </w:trPr>
        <w:tc>
          <w:tcPr>
            <w:tcW w:w="5440" w:type="dxa"/>
            <w:vAlign w:val="bottom"/>
            <w:tcBorders>
              <w:right w:val="single" w:sz="8" w:color="auto"/>
            </w:tcBorders>
          </w:tcPr>
          <w:p>
            <w:pPr>
              <w:spacing w:after="0"/>
              <w:rPr>
                <w:sz w:val="14"/>
                <w:szCs w:val="14"/>
                <w:color w:val="auto"/>
              </w:rPr>
            </w:pPr>
          </w:p>
        </w:tc>
        <w:tc>
          <w:tcPr>
            <w:tcW w:w="5400" w:type="dxa"/>
            <w:vAlign w:val="bottom"/>
            <w:tcBorders>
              <w:bottom w:val="single" w:sz="8" w:color="auto"/>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88900</wp:posOffset>
            </wp:positionV>
            <wp:extent cx="17145" cy="1355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13550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00" w:type="dxa"/>
            <w:vAlign w:val="bottom"/>
            <w:tcBorders>
              <w:bottom w:val="single" w:sz="8" w:color="E5E5E5"/>
              <w:right w:val="single" w:sz="8" w:color="E5E5E5"/>
            </w:tcBorders>
            <w:shd w:val="clear" w:color="auto" w:fill="E5E5E5"/>
          </w:tcPr>
          <w:p>
            <w:pPr>
              <w:spacing w:after="0"/>
              <w:rPr>
                <w:sz w:val="12"/>
                <w:szCs w:val="12"/>
                <w:color w:val="auto"/>
              </w:rPr>
            </w:pPr>
          </w:p>
        </w:tc>
        <w:tc>
          <w:tcPr>
            <w:tcW w:w="3040" w:type="dxa"/>
            <w:vAlign w:val="bottom"/>
            <w:tcBorders>
              <w:bottom w:val="single" w:sz="8" w:color="auto"/>
              <w:right w:val="single" w:sz="8" w:color="E5E5E5"/>
            </w:tcBorders>
            <w:shd w:val="clear" w:color="auto" w:fill="E5E5E5"/>
          </w:tcPr>
          <w:p>
            <w:pPr>
              <w:spacing w:after="0"/>
              <w:rPr>
                <w:sz w:val="12"/>
                <w:szCs w:val="12"/>
                <w:color w:val="auto"/>
              </w:rPr>
            </w:pPr>
          </w:p>
        </w:tc>
        <w:tc>
          <w:tcPr>
            <w:tcW w:w="520" w:type="dxa"/>
            <w:vAlign w:val="bottom"/>
            <w:tcBorders>
              <w:bottom w:val="single" w:sz="8" w:color="auto"/>
              <w:right w:val="single" w:sz="8" w:color="E5E5E5"/>
            </w:tcBorders>
            <w:shd w:val="clear" w:color="auto" w:fill="E5E5E5"/>
          </w:tcPr>
          <w:p>
            <w:pPr>
              <w:spacing w:after="0"/>
              <w:rPr>
                <w:sz w:val="12"/>
                <w:szCs w:val="12"/>
                <w:color w:val="auto"/>
              </w:rPr>
            </w:pPr>
          </w:p>
        </w:tc>
        <w:tc>
          <w:tcPr>
            <w:tcW w:w="1940" w:type="dxa"/>
            <w:vAlign w:val="bottom"/>
            <w:tcBorders>
              <w:bottom w:val="single" w:sz="8" w:color="E5E5E5"/>
              <w:right w:val="single" w:sz="8" w:color="E5E5E5"/>
            </w:tcBorders>
            <w:shd w:val="clear" w:color="auto" w:fill="E5E5E5"/>
          </w:tcPr>
          <w:p>
            <w:pPr>
              <w:spacing w:after="0"/>
              <w:rPr>
                <w:sz w:val="12"/>
                <w:szCs w:val="12"/>
                <w:color w:val="auto"/>
              </w:rPr>
            </w:pPr>
          </w:p>
        </w:tc>
        <w:tc>
          <w:tcPr>
            <w:tcW w:w="2620" w:type="dxa"/>
            <w:vAlign w:val="bottom"/>
            <w:tcBorders>
              <w:bottom w:val="single" w:sz="8" w:color="auto"/>
              <w:right w:val="single" w:sz="8" w:color="E5E5E5"/>
            </w:tcBorders>
            <w:shd w:val="clear" w:color="auto" w:fill="E5E5E5"/>
          </w:tcPr>
          <w:p>
            <w:pPr>
              <w:spacing w:after="0"/>
              <w:rPr>
                <w:sz w:val="12"/>
                <w:szCs w:val="12"/>
                <w:color w:val="auto"/>
              </w:rPr>
            </w:pPr>
          </w:p>
        </w:tc>
        <w:tc>
          <w:tcPr>
            <w:tcW w:w="460" w:type="dxa"/>
            <w:vAlign w:val="bottom"/>
            <w:tcBorders>
              <w:bottom w:val="single" w:sz="8" w:color="auto"/>
              <w:right w:val="single" w:sz="8" w:color="E5E5E5"/>
            </w:tcBorders>
            <w:shd w:val="clear" w:color="auto" w:fill="E5E5E5"/>
          </w:tcPr>
          <w:p>
            <w:pPr>
              <w:spacing w:after="0"/>
              <w:rPr>
                <w:sz w:val="12"/>
                <w:szCs w:val="12"/>
                <w:color w:val="auto"/>
              </w:rPr>
            </w:pPr>
          </w:p>
        </w:tc>
        <w:tc>
          <w:tcPr>
            <w:tcW w:w="80" w:type="dxa"/>
            <w:vAlign w:val="bottom"/>
            <w:tcBorders>
              <w:bottom w:val="single" w:sz="8" w:color="E5E5E5"/>
            </w:tcBorders>
            <w:shd w:val="clear" w:color="auto" w:fill="E5E5E5"/>
          </w:tcPr>
          <w:p>
            <w:pPr>
              <w:spacing w:after="0"/>
              <w:rPr>
                <w:sz w:val="12"/>
                <w:szCs w:val="12"/>
                <w:color w:val="auto"/>
              </w:rPr>
            </w:pPr>
          </w:p>
        </w:tc>
        <w:tc>
          <w:tcPr>
            <w:tcW w:w="2240" w:type="dxa"/>
            <w:vAlign w:val="bottom"/>
            <w:tcBorders>
              <w:bottom w:val="single" w:sz="8" w:color="E5E5E5"/>
              <w:right w:val="single" w:sz="8" w:color="BFBFBF"/>
            </w:tcBorders>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SHARES</w:t>
            </w:r>
          </w:p>
        </w:tc>
      </w:tr>
      <w:tr>
        <w:trPr>
          <w:trHeight w:val="142"/>
        </w:trPr>
        <w:tc>
          <w:tcPr>
            <w:tcW w:w="200" w:type="dxa"/>
            <w:vAlign w:val="bottom"/>
            <w:tcBorders>
              <w:right w:val="single" w:sz="8" w:color="auto"/>
            </w:tcBorders>
            <w:shd w:val="clear" w:color="auto" w:fill="E5E5E5"/>
          </w:tcPr>
          <w:p>
            <w:pPr>
              <w:spacing w:after="0"/>
              <w:rPr>
                <w:sz w:val="12"/>
                <w:szCs w:val="12"/>
                <w:color w:val="auto"/>
              </w:rPr>
            </w:pPr>
          </w:p>
        </w:tc>
        <w:tc>
          <w:tcPr>
            <w:tcW w:w="3040" w:type="dxa"/>
            <w:vAlign w:val="bottom"/>
            <w:tcBorders>
              <w:right w:val="single" w:sz="8" w:color="auto"/>
            </w:tcBorders>
            <w:shd w:val="clear" w:color="auto" w:fill="E5E5E5"/>
          </w:tcPr>
          <w:p>
            <w:pPr>
              <w:spacing w:after="0"/>
              <w:rPr>
                <w:sz w:val="12"/>
                <w:szCs w:val="12"/>
                <w:color w:val="auto"/>
              </w:rPr>
            </w:pPr>
          </w:p>
        </w:tc>
        <w:tc>
          <w:tcPr>
            <w:tcW w:w="520" w:type="dxa"/>
            <w:vAlign w:val="bottom"/>
            <w:tcBorders>
              <w:right w:val="single" w:sz="8" w:color="auto"/>
            </w:tcBorders>
            <w:shd w:val="clear" w:color="auto" w:fill="E5E5E5"/>
          </w:tcPr>
          <w:p>
            <w:pPr>
              <w:spacing w:after="0"/>
              <w:rPr>
                <w:sz w:val="12"/>
                <w:szCs w:val="12"/>
                <w:color w:val="auto"/>
              </w:rPr>
            </w:pPr>
          </w:p>
        </w:tc>
        <w:tc>
          <w:tcPr>
            <w:tcW w:w="1940" w:type="dxa"/>
            <w:vAlign w:val="bottom"/>
            <w:tcBorders>
              <w:right w:val="single" w:sz="8" w:color="auto"/>
            </w:tcBorders>
            <w:shd w:val="clear" w:color="auto" w:fill="E5E5E5"/>
          </w:tcPr>
          <w:p>
            <w:pPr>
              <w:spacing w:after="0"/>
              <w:rPr>
                <w:sz w:val="12"/>
                <w:szCs w:val="12"/>
                <w:color w:val="auto"/>
              </w:rPr>
            </w:pPr>
          </w:p>
        </w:tc>
        <w:tc>
          <w:tcPr>
            <w:tcW w:w="2620" w:type="dxa"/>
            <w:vAlign w:val="bottom"/>
            <w:tcBorders>
              <w:right w:val="single" w:sz="8" w:color="auto"/>
            </w:tcBorders>
            <w:shd w:val="clear" w:color="auto" w:fill="E5E5E5"/>
          </w:tcPr>
          <w:p>
            <w:pPr>
              <w:spacing w:after="0"/>
              <w:rPr>
                <w:sz w:val="12"/>
                <w:szCs w:val="12"/>
                <w:color w:val="auto"/>
              </w:rPr>
            </w:pPr>
          </w:p>
        </w:tc>
        <w:tc>
          <w:tcPr>
            <w:tcW w:w="46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240" w:type="dxa"/>
            <w:vAlign w:val="bottom"/>
            <w:tcBorders>
              <w:right w:val="single" w:sz="8" w:color="BFBFBF"/>
            </w:tcBorders>
            <w:shd w:val="clear" w:color="auto" w:fill="E5E5E5"/>
          </w:tcPr>
          <w:p>
            <w:pPr>
              <w:jc w:val="right"/>
              <w:spacing w:after="0" w:line="142" w:lineRule="exact"/>
              <w:rPr>
                <w:sz w:val="20"/>
                <w:szCs w:val="20"/>
                <w:color w:val="auto"/>
              </w:rPr>
            </w:pPr>
            <w:r>
              <w:rPr>
                <w:rFonts w:ascii="Arial" w:cs="Arial" w:eastAsia="Arial" w:hAnsi="Arial"/>
                <w:sz w:val="14"/>
                <w:szCs w:val="14"/>
                <w:b w:val="1"/>
                <w:bCs w:val="1"/>
                <w:color w:val="auto"/>
              </w:rPr>
              <w:t>CUSIP #</w:t>
            </w:r>
          </w:p>
        </w:tc>
      </w:tr>
      <w:tr>
        <w:trPr>
          <w:trHeight w:val="156"/>
        </w:trPr>
        <w:tc>
          <w:tcPr>
            <w:tcW w:w="200" w:type="dxa"/>
            <w:vAlign w:val="bottom"/>
            <w:tcBorders>
              <w:bottom w:val="single" w:sz="8" w:color="E5E5E5"/>
              <w:right w:val="single" w:sz="8" w:color="auto"/>
            </w:tcBorders>
            <w:shd w:val="clear" w:color="auto" w:fill="E5E5E5"/>
          </w:tcPr>
          <w:p>
            <w:pPr>
              <w:spacing w:after="0"/>
              <w:rPr>
                <w:sz w:val="13"/>
                <w:szCs w:val="13"/>
                <w:color w:val="auto"/>
              </w:rPr>
            </w:pPr>
          </w:p>
        </w:tc>
        <w:tc>
          <w:tcPr>
            <w:tcW w:w="3040" w:type="dxa"/>
            <w:vAlign w:val="bottom"/>
            <w:tcBorders>
              <w:bottom w:val="single" w:sz="8" w:color="auto"/>
              <w:right w:val="single" w:sz="8" w:color="auto"/>
            </w:tcBorders>
            <w:shd w:val="clear" w:color="auto" w:fill="E5E5E5"/>
          </w:tcPr>
          <w:p>
            <w:pPr>
              <w:spacing w:after="0"/>
              <w:rPr>
                <w:sz w:val="13"/>
                <w:szCs w:val="13"/>
                <w:color w:val="auto"/>
              </w:rPr>
            </w:pPr>
          </w:p>
        </w:tc>
        <w:tc>
          <w:tcPr>
            <w:tcW w:w="520" w:type="dxa"/>
            <w:vAlign w:val="bottom"/>
            <w:tcBorders>
              <w:bottom w:val="single" w:sz="8" w:color="auto"/>
              <w:right w:val="single" w:sz="8" w:color="auto"/>
            </w:tcBorders>
            <w:shd w:val="clear" w:color="auto" w:fill="E5E5E5"/>
          </w:tcPr>
          <w:p>
            <w:pPr>
              <w:spacing w:after="0"/>
              <w:rPr>
                <w:sz w:val="13"/>
                <w:szCs w:val="13"/>
                <w:color w:val="auto"/>
              </w:rPr>
            </w:pPr>
          </w:p>
        </w:tc>
        <w:tc>
          <w:tcPr>
            <w:tcW w:w="1940" w:type="dxa"/>
            <w:vAlign w:val="bottom"/>
            <w:tcBorders>
              <w:bottom w:val="single" w:sz="8" w:color="E5E5E5"/>
              <w:right w:val="single" w:sz="8" w:color="auto"/>
            </w:tcBorders>
            <w:shd w:val="clear" w:color="auto" w:fill="E5E5E5"/>
          </w:tcPr>
          <w:p>
            <w:pPr>
              <w:ind w:left="600"/>
              <w:spacing w:after="0" w:line="129" w:lineRule="exact"/>
              <w:rPr>
                <w:sz w:val="20"/>
                <w:szCs w:val="20"/>
                <w:color w:val="auto"/>
              </w:rPr>
            </w:pPr>
            <w:r>
              <w:rPr>
                <w:rFonts w:ascii="Arial" w:cs="Arial" w:eastAsia="Arial" w:hAnsi="Arial"/>
                <w:sz w:val="14"/>
                <w:szCs w:val="14"/>
                <w:color w:val="auto"/>
              </w:rPr>
              <w:t>JOB #</w:t>
            </w:r>
          </w:p>
        </w:tc>
        <w:tc>
          <w:tcPr>
            <w:tcW w:w="2620" w:type="dxa"/>
            <w:vAlign w:val="bottom"/>
            <w:tcBorders>
              <w:bottom w:val="single" w:sz="8" w:color="auto"/>
              <w:right w:val="single" w:sz="8" w:color="auto"/>
            </w:tcBorders>
            <w:shd w:val="clear" w:color="auto" w:fill="E5E5E5"/>
          </w:tcPr>
          <w:p>
            <w:pPr>
              <w:spacing w:after="0"/>
              <w:rPr>
                <w:sz w:val="13"/>
                <w:szCs w:val="13"/>
                <w:color w:val="auto"/>
              </w:rPr>
            </w:pPr>
          </w:p>
        </w:tc>
        <w:tc>
          <w:tcPr>
            <w:tcW w:w="460" w:type="dxa"/>
            <w:vAlign w:val="bottom"/>
            <w:tcBorders>
              <w:bottom w:val="single" w:sz="8" w:color="auto"/>
              <w:right w:val="single" w:sz="8" w:color="auto"/>
            </w:tcBorders>
            <w:shd w:val="clear" w:color="auto" w:fill="E5E5E5"/>
          </w:tcPr>
          <w:p>
            <w:pPr>
              <w:spacing w:after="0"/>
              <w:rPr>
                <w:sz w:val="13"/>
                <w:szCs w:val="13"/>
                <w:color w:val="auto"/>
              </w:rPr>
            </w:pPr>
          </w:p>
        </w:tc>
        <w:tc>
          <w:tcPr>
            <w:tcW w:w="80" w:type="dxa"/>
            <w:vAlign w:val="bottom"/>
            <w:tcBorders>
              <w:bottom w:val="single" w:sz="8" w:color="E5E5E5"/>
            </w:tcBorders>
            <w:shd w:val="clear" w:color="auto" w:fill="E5E5E5"/>
          </w:tcPr>
          <w:p>
            <w:pPr>
              <w:spacing w:after="0"/>
              <w:rPr>
                <w:sz w:val="13"/>
                <w:szCs w:val="13"/>
                <w:color w:val="auto"/>
              </w:rPr>
            </w:pPr>
          </w:p>
        </w:tc>
        <w:tc>
          <w:tcPr>
            <w:tcW w:w="2240" w:type="dxa"/>
            <w:vAlign w:val="bottom"/>
            <w:tcBorders>
              <w:bottom w:val="single" w:sz="8" w:color="E5E5E5"/>
              <w:right w:val="single" w:sz="8" w:color="BFBFBF"/>
            </w:tcBorders>
            <w:shd w:val="clear" w:color="auto" w:fill="E5E5E5"/>
          </w:tcPr>
          <w:p>
            <w:pPr>
              <w:jc w:val="right"/>
              <w:spacing w:after="0" w:line="129" w:lineRule="exact"/>
              <w:rPr>
                <w:sz w:val="20"/>
                <w:szCs w:val="20"/>
                <w:color w:val="auto"/>
              </w:rPr>
            </w:pPr>
            <w:r>
              <w:rPr>
                <w:rFonts w:ascii="Arial" w:cs="Arial" w:eastAsia="Arial" w:hAnsi="Arial"/>
                <w:sz w:val="14"/>
                <w:szCs w:val="14"/>
                <w:b w:val="1"/>
                <w:bCs w:val="1"/>
                <w:color w:val="auto"/>
              </w:rPr>
              <w:t>SEQUENCE #</w:t>
            </w:r>
          </w:p>
        </w:tc>
      </w:tr>
      <w:tr>
        <w:trPr>
          <w:trHeight w:val="156"/>
        </w:trPr>
        <w:tc>
          <w:tcPr>
            <w:tcW w:w="200" w:type="dxa"/>
            <w:vAlign w:val="bottom"/>
            <w:tcBorders>
              <w:bottom w:val="single" w:sz="8" w:color="BFBFBF"/>
              <w:right w:val="single" w:sz="8" w:color="E5E5E5"/>
            </w:tcBorders>
            <w:shd w:val="clear" w:color="auto" w:fill="E5E5E5"/>
          </w:tcPr>
          <w:p>
            <w:pPr>
              <w:spacing w:after="0"/>
              <w:rPr>
                <w:sz w:val="13"/>
                <w:szCs w:val="13"/>
                <w:color w:val="auto"/>
              </w:rPr>
            </w:pPr>
          </w:p>
        </w:tc>
        <w:tc>
          <w:tcPr>
            <w:tcW w:w="3040" w:type="dxa"/>
            <w:vAlign w:val="bottom"/>
            <w:tcBorders>
              <w:bottom w:val="single" w:sz="8" w:color="BFBFBF"/>
              <w:right w:val="single" w:sz="8" w:color="E5E5E5"/>
            </w:tcBorders>
            <w:shd w:val="clear" w:color="auto" w:fill="E5E5E5"/>
          </w:tcPr>
          <w:p>
            <w:pPr>
              <w:ind w:left="60"/>
              <w:spacing w:after="0" w:line="149" w:lineRule="exact"/>
              <w:rPr>
                <w:sz w:val="20"/>
                <w:szCs w:val="20"/>
                <w:color w:val="auto"/>
              </w:rPr>
            </w:pPr>
            <w:r>
              <w:rPr>
                <w:rFonts w:ascii="Arial" w:cs="Arial" w:eastAsia="Arial" w:hAnsi="Arial"/>
                <w:sz w:val="14"/>
                <w:szCs w:val="14"/>
                <w:color w:val="auto"/>
              </w:rPr>
              <w:t>Signature [PLEASE SIGN WITHIN BOX]</w:t>
            </w:r>
          </w:p>
        </w:tc>
        <w:tc>
          <w:tcPr>
            <w:tcW w:w="520" w:type="dxa"/>
            <w:vAlign w:val="bottom"/>
            <w:tcBorders>
              <w:bottom w:val="single" w:sz="8" w:color="BFBFBF"/>
              <w:right w:val="single" w:sz="8" w:color="E5E5E5"/>
            </w:tcBorders>
            <w:shd w:val="clear" w:color="auto" w:fill="E5E5E5"/>
          </w:tcPr>
          <w:p>
            <w:pPr>
              <w:ind w:left="100"/>
              <w:spacing w:after="0" w:line="149" w:lineRule="exact"/>
              <w:rPr>
                <w:sz w:val="20"/>
                <w:szCs w:val="20"/>
                <w:color w:val="auto"/>
              </w:rPr>
            </w:pPr>
            <w:r>
              <w:rPr>
                <w:rFonts w:ascii="Arial" w:cs="Arial" w:eastAsia="Arial" w:hAnsi="Arial"/>
                <w:sz w:val="14"/>
                <w:szCs w:val="14"/>
                <w:color w:val="auto"/>
              </w:rPr>
              <w:t>Date</w:t>
            </w:r>
          </w:p>
        </w:tc>
        <w:tc>
          <w:tcPr>
            <w:tcW w:w="1940" w:type="dxa"/>
            <w:vAlign w:val="bottom"/>
            <w:tcBorders>
              <w:bottom w:val="single" w:sz="8" w:color="BFBFBF"/>
              <w:right w:val="single" w:sz="8" w:color="E5E5E5"/>
            </w:tcBorders>
            <w:shd w:val="clear" w:color="auto" w:fill="E5E5E5"/>
          </w:tcPr>
          <w:p>
            <w:pPr>
              <w:spacing w:after="0"/>
              <w:rPr>
                <w:sz w:val="13"/>
                <w:szCs w:val="13"/>
                <w:color w:val="auto"/>
              </w:rPr>
            </w:pPr>
          </w:p>
        </w:tc>
        <w:tc>
          <w:tcPr>
            <w:tcW w:w="2620" w:type="dxa"/>
            <w:vAlign w:val="bottom"/>
            <w:tcBorders>
              <w:bottom w:val="single" w:sz="8" w:color="BFBFBF"/>
              <w:right w:val="single" w:sz="8" w:color="E5E5E5"/>
            </w:tcBorders>
            <w:shd w:val="clear" w:color="auto" w:fill="E5E5E5"/>
          </w:tcPr>
          <w:p>
            <w:pPr>
              <w:ind w:left="80"/>
              <w:spacing w:after="0" w:line="149" w:lineRule="exact"/>
              <w:rPr>
                <w:sz w:val="20"/>
                <w:szCs w:val="20"/>
                <w:color w:val="auto"/>
              </w:rPr>
            </w:pPr>
            <w:r>
              <w:rPr>
                <w:rFonts w:ascii="Arial" w:cs="Arial" w:eastAsia="Arial" w:hAnsi="Arial"/>
                <w:sz w:val="14"/>
                <w:szCs w:val="14"/>
                <w:color w:val="auto"/>
              </w:rPr>
              <w:t>Signature (Joint Owners)</w:t>
            </w:r>
          </w:p>
        </w:tc>
        <w:tc>
          <w:tcPr>
            <w:tcW w:w="460" w:type="dxa"/>
            <w:vAlign w:val="bottom"/>
            <w:tcBorders>
              <w:bottom w:val="single" w:sz="8" w:color="BFBFBF"/>
              <w:right w:val="single" w:sz="8" w:color="E5E5E5"/>
            </w:tcBorders>
            <w:shd w:val="clear" w:color="auto" w:fill="E5E5E5"/>
          </w:tcPr>
          <w:p>
            <w:pPr>
              <w:ind w:left="140"/>
              <w:spacing w:after="0" w:line="149" w:lineRule="exact"/>
              <w:rPr>
                <w:sz w:val="20"/>
                <w:szCs w:val="20"/>
                <w:color w:val="auto"/>
              </w:rPr>
            </w:pPr>
            <w:r>
              <w:rPr>
                <w:rFonts w:ascii="Arial" w:cs="Arial" w:eastAsia="Arial" w:hAnsi="Arial"/>
                <w:sz w:val="14"/>
                <w:szCs w:val="14"/>
                <w:color w:val="auto"/>
                <w:w w:val="94"/>
              </w:rPr>
              <w:t>Date</w:t>
            </w:r>
          </w:p>
        </w:tc>
        <w:tc>
          <w:tcPr>
            <w:tcW w:w="80" w:type="dxa"/>
            <w:vAlign w:val="bottom"/>
            <w:tcBorders>
              <w:bottom w:val="single" w:sz="8" w:color="BFBFBF"/>
            </w:tcBorders>
            <w:shd w:val="clear" w:color="auto" w:fill="E5E5E5"/>
          </w:tcPr>
          <w:p>
            <w:pPr>
              <w:spacing w:after="0"/>
              <w:rPr>
                <w:sz w:val="13"/>
                <w:szCs w:val="13"/>
                <w:color w:val="auto"/>
              </w:rPr>
            </w:pPr>
          </w:p>
        </w:tc>
        <w:tc>
          <w:tcPr>
            <w:tcW w:w="2240" w:type="dxa"/>
            <w:vAlign w:val="bottom"/>
            <w:tcBorders>
              <w:bottom w:val="single" w:sz="8" w:color="BFBFBF"/>
              <w:right w:val="single" w:sz="8" w:color="BFBFBF"/>
            </w:tcBorders>
            <w:shd w:val="clear" w:color="auto" w:fill="E5E5E5"/>
          </w:tcPr>
          <w:p>
            <w:pPr>
              <w:spacing w:after="0"/>
              <w:rPr>
                <w:sz w:val="13"/>
                <w:szCs w:val="13"/>
                <w:color w:val="auto"/>
              </w:rPr>
            </w:pPr>
          </w:p>
        </w:tc>
      </w:tr>
    </w:tbl>
    <w:p>
      <w:pPr>
        <w:sectPr>
          <w:pgSz w:w="11900" w:h="16838" w:orient="portrait"/>
          <w:cols w:equalWidth="0" w:num="1">
            <w:col w:w="11100"/>
          </w:cols>
          <w:pgMar w:left="360" w:top="95"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205740</wp:posOffset>
            </wp:positionV>
            <wp:extent cx="3284855" cy="24098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8485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10K Wrap is/are available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179705</wp:posOffset>
            </wp:positionV>
            <wp:extent cx="7117715" cy="4116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7715" cy="411670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left="2640"/>
        <w:spacing w:after="0"/>
        <w:rPr>
          <w:sz w:val="20"/>
          <w:szCs w:val="20"/>
          <w:color w:val="auto"/>
        </w:rPr>
      </w:pPr>
      <w:r>
        <w:rPr>
          <w:rFonts w:ascii="Arial" w:cs="Arial" w:eastAsia="Arial" w:hAnsi="Arial"/>
          <w:sz w:val="18"/>
          <w:szCs w:val="18"/>
          <w:b w:val="1"/>
          <w:bCs w:val="1"/>
          <w:color w:val="auto"/>
        </w:rPr>
        <w:t>EAGLE MATERIALS INC.</w:t>
      </w:r>
    </w:p>
    <w:p>
      <w:pPr>
        <w:spacing w:after="0" w:line="21" w:lineRule="exact"/>
        <w:rPr>
          <w:sz w:val="20"/>
          <w:szCs w:val="20"/>
          <w:color w:val="auto"/>
        </w:rPr>
      </w:pPr>
    </w:p>
    <w:p>
      <w:pPr>
        <w:jc w:val="center"/>
        <w:ind w:left="2640"/>
        <w:spacing w:after="0"/>
        <w:rPr>
          <w:sz w:val="20"/>
          <w:szCs w:val="20"/>
          <w:color w:val="auto"/>
        </w:rPr>
      </w:pPr>
      <w:r>
        <w:rPr>
          <w:rFonts w:ascii="Arial" w:cs="Arial" w:eastAsia="Arial" w:hAnsi="Arial"/>
          <w:sz w:val="18"/>
          <w:szCs w:val="18"/>
          <w:b w:val="1"/>
          <w:bCs w:val="1"/>
          <w:color w:val="auto"/>
        </w:rPr>
        <w:t>THIS PROXY IS SOLICITED ON BEHALF OF</w:t>
      </w:r>
    </w:p>
    <w:p>
      <w:pPr>
        <w:spacing w:after="0" w:line="9" w:lineRule="exact"/>
        <w:rPr>
          <w:sz w:val="20"/>
          <w:szCs w:val="20"/>
          <w:color w:val="auto"/>
        </w:rPr>
      </w:pPr>
    </w:p>
    <w:p>
      <w:pPr>
        <w:jc w:val="center"/>
        <w:ind w:left="2640"/>
        <w:spacing w:after="0"/>
        <w:rPr>
          <w:sz w:val="20"/>
          <w:szCs w:val="20"/>
          <w:color w:val="auto"/>
        </w:rPr>
      </w:pPr>
      <w:r>
        <w:rPr>
          <w:rFonts w:ascii="Arial" w:cs="Arial" w:eastAsia="Arial" w:hAnsi="Arial"/>
          <w:sz w:val="18"/>
          <w:szCs w:val="18"/>
          <w:b w:val="1"/>
          <w:bCs w:val="1"/>
          <w:color w:val="auto"/>
        </w:rPr>
        <w:t>THE BOARD OF DIRECTORS</w:t>
      </w:r>
    </w:p>
    <w:p>
      <w:pPr>
        <w:spacing w:after="0" w:line="361"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August 4, 2011</w:t>
      </w:r>
    </w:p>
    <w:p>
      <w:pPr>
        <w:spacing w:after="0" w:line="219" w:lineRule="exact"/>
        <w:rPr>
          <w:sz w:val="20"/>
          <w:szCs w:val="20"/>
          <w:color w:val="auto"/>
        </w:rPr>
      </w:pPr>
    </w:p>
    <w:p>
      <w:pPr>
        <w:ind w:left="800" w:right="560"/>
        <w:spacing w:after="0" w:line="255" w:lineRule="auto"/>
        <w:rPr>
          <w:sz w:val="20"/>
          <w:szCs w:val="20"/>
          <w:color w:val="auto"/>
        </w:rPr>
      </w:pPr>
      <w:r>
        <w:rPr>
          <w:rFonts w:ascii="Arial" w:cs="Arial" w:eastAsia="Arial" w:hAnsi="Arial"/>
          <w:sz w:val="18"/>
          <w:szCs w:val="18"/>
          <w:color w:val="auto"/>
        </w:rPr>
        <w:t>The undersigned hereby appoints James H. Graass and Steven R. Rowley,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4, 2011 at the Sheraton Suites Market Center, 2101 N. Stemmons Freeway, Dallas, Texas 75207, and any adjournment or postponement thereof.</w:t>
      </w:r>
    </w:p>
    <w:p>
      <w:pPr>
        <w:spacing w:after="0" w:line="177" w:lineRule="exact"/>
        <w:rPr>
          <w:sz w:val="20"/>
          <w:szCs w:val="20"/>
          <w:color w:val="auto"/>
        </w:rPr>
      </w:pPr>
    </w:p>
    <w:p>
      <w:pPr>
        <w:ind w:left="800" w:right="480"/>
        <w:spacing w:after="0" w:line="256"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AND 4 AND NO VOTE WILL BE CAST ON PROPOSAL 3. THE PROXIES WILL USE THEIR DISCRETION WITH RESPECT TO ANY OTHER MATTERS THAT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85725" cy="127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277620"/>
                    </a:xfrm>
                    <a:prstGeom prst="rect">
                      <a:avLst/>
                    </a:prstGeom>
                    <a:noFill/>
                  </pic:spPr>
                </pic:pic>
              </a:graphicData>
            </a:graphic>
          </wp:anchor>
        </w:drawing>
      </w:r>
    </w:p>
    <w:p>
      <w:pPr>
        <w:spacing w:after="0" w:line="159" w:lineRule="exact"/>
        <w:rPr>
          <w:sz w:val="20"/>
          <w:szCs w:val="20"/>
          <w:color w:val="auto"/>
        </w:rPr>
      </w:pPr>
    </w:p>
    <w:p>
      <w:pPr>
        <w:ind w:left="800" w:right="640"/>
        <w:spacing w:after="0" w:line="275" w:lineRule="auto"/>
        <w:rPr>
          <w:sz w:val="20"/>
          <w:szCs w:val="20"/>
          <w:color w:val="auto"/>
        </w:rPr>
      </w:pPr>
      <w:r>
        <w:rPr>
          <w:rFonts w:ascii="Arial" w:cs="Arial" w:eastAsia="Arial" w:hAnsi="Arial"/>
          <w:sz w:val="18"/>
          <w:szCs w:val="18"/>
          <w:b w:val="1"/>
          <w:bCs w:val="1"/>
          <w:color w:val="auto"/>
        </w:rPr>
        <w:t>By execution of this proxy, the undersigned hereby acknowledges receipt of the Notice of Annual Meeting and Proxy Statement for the August 4, 2011 Annual Meeting.</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 address changes, please contact our transfer agent, BNY Mellon Shareowner Services, at 1-800-279-1248.</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24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lvl w:ilvl="1">
      <w:lvlJc w:val="left"/>
      <w:lvlText w:val="%2)"/>
      <w:numFmt w:val="decimal"/>
      <w:start w:val="1"/>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2"/>
    </w:lvl>
  </w:abstractNum>
  <w:abstractNum w:abstractNumId="9">
    <w:nsid w:val="4516DDE9"/>
    <w:multiLevelType w:val="hybridMultilevel"/>
    <w:lvl w:ilvl="0">
      <w:lvlJc w:val="left"/>
      <w:lvlText w:val="(%1)"/>
      <w:numFmt w:val="decimal"/>
      <w:start w:val="3"/>
    </w:lvl>
  </w:abstractNum>
  <w:abstractNum w:abstractNumId="10">
    <w:nsid w:val="3006C83E"/>
    <w:multiLevelType w:val="hybridMultilevel"/>
    <w:lvl w:ilvl="0">
      <w:lvlJc w:val="left"/>
      <w:lvlText w:val="(%1)"/>
      <w:numFmt w:val="decimal"/>
      <w:start w:val="4"/>
    </w:lvl>
  </w:abstractNum>
  <w:abstractNum w:abstractNumId="11">
    <w:nsid w:val="614FD4A1"/>
    <w:multiLevelType w:val="hybridMultilevel"/>
    <w:lvl w:ilvl="0">
      <w:lvlJc w:val="left"/>
      <w:lvlText w:val="(%1)"/>
      <w:numFmt w:val="decimal"/>
      <w:start w:val="5"/>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lvl w:ilvl="1">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lowerRoman"/>
      <w:start w:val="1"/>
    </w:lvl>
  </w:abstractNum>
  <w:abstractNum w:abstractNumId="34">
    <w:nsid w:val="7A6D8D3C"/>
    <w:multiLevelType w:val="hybridMultilevel"/>
    <w:lvl w:ilvl="0">
      <w:lvlJc w:val="left"/>
      <w:lvlText w:val="(%1)"/>
      <w:numFmt w:val="decimal"/>
      <w:start w:val="1"/>
    </w:lvl>
    <w:lvl w:ilvl="1">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4"/>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5"/>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4"/>
    </w:lvl>
    <w:lvl w:ilvl="1">
      <w:lvlJc w:val="left"/>
      <w:lvlText w:val="%2."/>
      <w:numFmt w:val="lowerLetter"/>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5"/>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2019-12-10T13:30:49Z</dcterms:created>
  <dcterms:modified xsi:type="dcterms:W3CDTF">2019-12-10T13:30:49Z</dcterms:modified>
</cp:coreProperties>
</file>