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5760d8k.htm"/>
      <w:bookmarkStart w:id="1" w:name="ksd9257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22,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Eagle Materials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1-12984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75-2520779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5960 Berkshire Ln., Suite 900</w:t>
            </w:r>
          </w:p>
          <w:p>
            <w:pPr>
              <w:pStyle w:val="TableContents"/>
              <w:bidi w:val="0"/>
              <w:spacing w:before="0" w:after="20"/>
              <w:jc w:val="center"/>
              <w:rPr>
                <w:rFonts w:ascii="Times New Roman" w:hAnsi="Times New Roman"/>
                <w:b/>
                <w:sz w:val="20"/>
              </w:rPr>
            </w:pPr>
            <w:r>
              <w:rPr>
                <w:rFonts w:ascii="Times New Roman" w:hAnsi="Times New Roman"/>
                <w:b/>
                <w:sz w:val="20"/>
              </w:rPr>
              <w:t>Dallas, Texas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75225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(214) 432-2000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EXP</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283"/>
              <w:jc w:val="left"/>
              <w:rPr>
                <w:b/>
              </w:rPr>
            </w:pPr>
            <w:r>
              <w:rPr>
                <w:b/>
              </w:rPr>
              <w:t>Item 5.02.</w:t>
            </w:r>
          </w:p>
        </w:tc>
        <w:tc>
          <w:tcPr>
            <w:tcW w:w="93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May 22, 2025, the Compensation Committee, as part of its annual compensation review, approved long-term incentive equity awards under the Eagle Materials Inc. 2023 Equity Incentive Plan (“Plan”) to a group of the Company’s officers, including its named executive officers. The awards are comprised of performance-vesting restricted stock units (“PSUs”), performance-vesting stock options, time-vesting restricted stock units (“RSUs”) and time-vesting stock options. Each of our named executive officers—Michael R. Haack, President and Chief Executive Officer; D. Craig Kesler, Executive Vice President – Finance and Administration and Chief Financial Officer; Matt Newby, Executive Vice President, General Counsel and Secretary; Eric Cribbs, President, American Gypsum Company LLC; and Tony Tompson, Senior Vice President, Cement East—was granted PSUs, RSUs and/or stock options as a part of this award. </w:t>
      </w:r>
    </w:p>
    <w:p>
      <w:pPr>
        <w:pStyle w:val="TextBody"/>
        <w:bidi w:val="0"/>
        <w:spacing w:before="240" w:after="0"/>
        <w:jc w:val="left"/>
        <w:rPr>
          <w:rFonts w:ascii="Times New Roman" w:hAnsi="Times New Roman"/>
          <w:sz w:val="20"/>
        </w:rPr>
      </w:pPr>
      <w:r>
        <w:rPr>
          <w:rFonts w:ascii="Times New Roman" w:hAnsi="Times New Roman"/>
          <w:sz w:val="20"/>
        </w:rPr>
        <w:t xml:space="preserve">In order for the PSUs and performance-vesting stock options to be earned, the Company must achieve performance vesting criteria based on the Company’s average return on equity measured at the end fiscal 2028 (three-year performance period), as modified based on the Company’s average absolute total stockholder return during the performance period. Threshold performance will result in a vesting percentage of 50% of target and maximum performance will result in a vesting percentage of 200% of target. Earned PSUs will be paid in shares of Common Stock promptly following the performance certification date, and earned performance-vesting stock options will become exercisable upon the performance certification date. Any performance-vesting awards that are not earned at the end of the performance period upon the determination of the achievement of the performance vesting criteria will be forfeited. During the performance period, the PSUs will accrue dividend-equivalent restricted stock units, which will be paid in shares of Common Stock with respect to any earned PSUs. </w:t>
      </w:r>
    </w:p>
    <w:p>
      <w:pPr>
        <w:pStyle w:val="TextBody"/>
        <w:bidi w:val="0"/>
        <w:spacing w:before="240" w:after="0"/>
        <w:jc w:val="left"/>
        <w:rPr>
          <w:rFonts w:ascii="Times New Roman" w:hAnsi="Times New Roman"/>
          <w:sz w:val="20"/>
        </w:rPr>
      </w:pPr>
      <w:r>
        <w:rPr>
          <w:rFonts w:ascii="Times New Roman" w:hAnsi="Times New Roman"/>
          <w:sz w:val="20"/>
        </w:rPr>
        <w:t xml:space="preserve">The RSUs and time-vesting stock options will vest ratably on the first anniversary of the date of grant; on March 31, 2027; and on March 31, 2028. RSUs will be paid in shares of Common Stock promptly following a vesting date, and time-vesting stock options will become exercisable upon a vesting date. During the vesting period, the RSUs will accrue dividend-equivalent restricted stock units, which will be paid in shares of Common Stock with respect to any vested RSUs.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Plan, the exercise price of the stock options (whether time-vesting or performance-vesting) is the closing price of the Company’s Common Stock on the date of grant, May 22, 2025 ($213.66). The following table shows the equity awards granted to Messrs. Haack, Kesler, Newby, Cribbs and Thompson effective May 22, 2025: </w:t>
      </w:r>
    </w:p>
    <w:p>
      <w:pPr>
        <w:pStyle w:val="TextBody"/>
        <w:bidi w:val="0"/>
        <w:spacing w:before="0" w:after="0"/>
        <w:jc w:val="left"/>
        <w:rPr/>
      </w:pPr>
      <w:r>
        <w:rPr/>
        <w:t> </w:t>
      </w:r>
    </w:p>
    <w:tbl>
      <w:tblPr>
        <w:tblW w:w="7243" w:type="dxa"/>
        <w:jc w:val="left"/>
        <w:tblInd w:w="0" w:type="dxa"/>
        <w:tblLayout w:type="fixed"/>
        <w:tblCellMar>
          <w:top w:w="0" w:type="dxa"/>
          <w:left w:w="0" w:type="dxa"/>
          <w:bottom w:w="0" w:type="dxa"/>
          <w:right w:w="0" w:type="dxa"/>
        </w:tblCellMar>
      </w:tblPr>
      <w:tblGrid>
        <w:gridCol w:w="1490"/>
        <w:gridCol w:w="120"/>
        <w:gridCol w:w="63"/>
        <w:gridCol w:w="1036"/>
        <w:gridCol w:w="60"/>
        <w:gridCol w:w="120"/>
        <w:gridCol w:w="68"/>
        <w:gridCol w:w="776"/>
        <w:gridCol w:w="60"/>
        <w:gridCol w:w="120"/>
        <w:gridCol w:w="129"/>
        <w:gridCol w:w="1211"/>
        <w:gridCol w:w="60"/>
        <w:gridCol w:w="120"/>
        <w:gridCol w:w="60"/>
        <w:gridCol w:w="680"/>
        <w:gridCol w:w="60"/>
        <w:gridCol w:w="120"/>
        <w:gridCol w:w="78"/>
        <w:gridCol w:w="737"/>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pPr>
            <w:r>
              <w:rPr>
                <w:b/>
              </w:rPr>
              <w:t>Target</w:t>
              <w:br/>
              <w:t>Value of</w:t>
              <w:br/>
              <w:t>Equity</w:t>
              <w:br/>
              <w:t>Awards(1)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pPr>
            <w:r>
              <w:rPr>
                <w:b/>
              </w:rPr>
              <w:t>PSUs(2)</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b/>
              </w:rPr>
              <w:t>Performance</w:t>
              <w:br/>
              <w:t>Vesting</w:t>
              <w:br/>
              <w:t>Options(2)</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Time</w:t>
              <w:br/>
              <w:t>Vesting</w:t>
              <w:br/>
              <w:t>Options</w:t>
              <w:br/>
              <w:t>(#)</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R. Haack</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6,000,115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10,531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8,247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8,247</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Craig Kesler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1,400,482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2,458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1,925</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 Newby</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950,313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1,306</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Cribbs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750,374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1,756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Thompson</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450,396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1,054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date fair value of the award computed in accordance with FASB ASC Topic 718. Half of the target value is allocated to performance awards and half of the target value is allocated to time-vesting awards.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achievement of the target level of performance conditions. The following reflects the PSUs and performance-vesting stock options assuming the highest level of performance conditions (i.e., the maximum PSUs/options payable): Mr. Haack – 21,062 PSUs and 16,494 performance-vesting stock options; Mr. Kesler – 4,916 PSUs and 3,850 performance-vesting stock options; Mr. Newby – 3,336 PSUs and 2,612 performance-vesting stock options; Mr. Cribbs – 3,512 PSUs; and Mr. Thompson – 2,108 PSUs.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605"/>
        <w:gridCol w:w="120"/>
        <w:gridCol w:w="7625"/>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80"/>
        <w:gridCol w:w="60"/>
        <w:gridCol w:w="54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pPr>
            <w:r>
              <w:rPr/>
              <w:t>EAGLE MATERIALS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 Newby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Matt Newby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29,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974</Words>
  <Characters>5484</Characters>
  <CharactersWithSpaces>6537</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