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Haack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5960 BERKSHIRE LN, STE 900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EAGLE MATERIALS INC</w:t>
              </w:r>
            </w:hyperlink>
            <w:r>
              <w:rPr/>
              <w:t xml:space="preserve"> [ </w:t>
            </w:r>
            <w:r>
              <w:rPr>
                <w:rFonts w:ascii="Times;serif" w:hAnsi="Times;serif"/>
                <w:color w:val="0000FF"/>
                <w:sz w:val="24"/>
                <w:shd w:fill="FFFFFF" w:val="clear"/>
              </w:rPr>
              <w:t>EXP</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05/11/2026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8,636</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89,215</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May 23, 2023, the reporting person was granted 8,636 shares of restricted stock, subject to the achievement by the Company of performance vesting criteria based on the Company's average three-year return on equity measured at the end of fiscal 2026. On May 11, 2026 the performance vesting criteria was determined to have been met such that 8,636 shares of restricted stock became earned and reportable on such date. The restrictions on the earned shares will lapse on May 18,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Scott M. Wilson as Attorney-in-Fact for Michael R. Haack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6900" TargetMode="External"/><Relationship Id="rId5" Type="http://schemas.openxmlformats.org/officeDocument/2006/relationships/hyperlink" Target="http://www.sec.gov/cgi-bin/browse-edgar?action=getcompany&amp;CIK=00009186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3467</Characters>
  <CharactersWithSpaces>4055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