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5"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ind w:left="4820"/>
        <w:spacing w:after="0"/>
        <w:tabs>
          <w:tab w:leader="none" w:pos="634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ind w:left="20"/>
        <w:spacing w:after="0" w:line="207" w:lineRule="exact"/>
        <w:tabs>
          <w:tab w:leader="none" w:pos="35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Preliminary Proxy Statement</w:t>
      </w:r>
    </w:p>
    <w:p>
      <w:pPr>
        <w:spacing w:after="0" w:line="211" w:lineRule="exact"/>
        <w:rPr>
          <w:rFonts w:ascii="MS PGothic" w:cs="MS PGothic" w:eastAsia="MS PGothic" w:hAnsi="MS PGothic"/>
          <w:sz w:val="32"/>
          <w:szCs w:val="32"/>
          <w:color w:val="auto"/>
          <w:vertAlign w:val="superscript"/>
        </w:rPr>
      </w:pPr>
    </w:p>
    <w:p>
      <w:pPr>
        <w:ind w:left="480" w:hanging="459"/>
        <w:spacing w:after="0" w:line="184" w:lineRule="auto"/>
        <w:tabs>
          <w:tab w:leader="none" w:pos="480" w:val="left"/>
        </w:tabs>
        <w:numPr>
          <w:ilvl w:val="0"/>
          <w:numId w:val="1"/>
        </w:numPr>
        <w:rPr>
          <w:rFonts w:ascii="MS PGothic" w:cs="MS PGothic" w:eastAsia="MS PGothic" w:hAnsi="MS PGothic"/>
          <w:sz w:val="27"/>
          <w:szCs w:val="27"/>
          <w:color w:val="auto"/>
          <w:vertAlign w:val="superscript"/>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4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75"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75" w:lineRule="exact"/>
        <w:rPr>
          <w:rFonts w:ascii="MS PGothic" w:cs="MS PGothic" w:eastAsia="MS PGothic" w:hAnsi="MS PGothic"/>
          <w:sz w:val="16"/>
          <w:szCs w:val="16"/>
          <w:color w:val="auto"/>
        </w:rPr>
      </w:pPr>
    </w:p>
    <w:p>
      <w:pPr>
        <w:ind w:left="480" w:hanging="459"/>
        <w:spacing w:after="0"/>
        <w:tabs>
          <w:tab w:leader="none" w:pos="4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 240.14a-12</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EAGLE MATERIALS INC.</w:t>
      </w:r>
    </w:p>
    <w:p>
      <w:pPr>
        <w:spacing w:after="0" w:line="6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0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54" w:lineRule="exact"/>
        <w:rPr>
          <w:sz w:val="24"/>
          <w:szCs w:val="24"/>
          <w:color w:val="auto"/>
        </w:rPr>
      </w:pPr>
    </w:p>
    <w:p>
      <w:pPr>
        <w:ind w:left="480" w:hanging="459"/>
        <w:spacing w:after="0"/>
        <w:tabs>
          <w:tab w:leader="none" w:pos="4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75" w:lineRule="exact"/>
        <w:rPr>
          <w:sz w:val="24"/>
          <w:szCs w:val="24"/>
          <w:color w:val="auto"/>
        </w:rPr>
      </w:pPr>
    </w:p>
    <w:p>
      <w:pPr>
        <w:ind w:left="480" w:hanging="459"/>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75" w:lineRule="exact"/>
        <w:rPr>
          <w:rFonts w:ascii="MS PGothic" w:cs="MS PGothic" w:eastAsia="MS PGothic" w:hAnsi="MS PGothic"/>
          <w:sz w:val="16"/>
          <w:szCs w:val="16"/>
          <w:color w:val="auto"/>
        </w:rPr>
      </w:pPr>
    </w:p>
    <w:p>
      <w:pPr>
        <w:ind w:left="480" w:hanging="459"/>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1433830</wp:posOffset>
            </wp:positionH>
            <wp:positionV relativeFrom="page">
              <wp:posOffset>1692275</wp:posOffset>
            </wp:positionV>
            <wp:extent cx="4654550" cy="1097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65455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30"/>
          <w:szCs w:val="130"/>
          <w:b w:val="1"/>
          <w:bCs w:val="1"/>
          <w:color w:val="auto"/>
        </w:rPr>
        <w:t>2024</w:t>
      </w:r>
    </w:p>
    <w:p>
      <w:pPr>
        <w:spacing w:after="0" w:line="324" w:lineRule="exact"/>
        <w:rPr>
          <w:sz w:val="20"/>
          <w:szCs w:val="20"/>
          <w:color w:val="auto"/>
        </w:rPr>
      </w:pPr>
    </w:p>
    <w:p>
      <w:pPr>
        <w:ind w:left="6020"/>
        <w:spacing w:after="0"/>
        <w:rPr>
          <w:sz w:val="20"/>
          <w:szCs w:val="20"/>
          <w:color w:val="auto"/>
        </w:rPr>
      </w:pPr>
      <w:r>
        <w:rPr>
          <w:rFonts w:ascii="Calibri" w:cs="Calibri" w:eastAsia="Calibri" w:hAnsi="Calibri"/>
          <w:sz w:val="32"/>
          <w:szCs w:val="32"/>
          <w:b w:val="1"/>
          <w:bCs w:val="1"/>
          <w:color w:val="auto"/>
        </w:rPr>
        <w:t>Proxy Statement and Notce of</w:t>
      </w:r>
    </w:p>
    <w:p>
      <w:pPr>
        <w:spacing w:after="0" w:line="1" w:lineRule="exact"/>
        <w:rPr>
          <w:sz w:val="20"/>
          <w:szCs w:val="20"/>
          <w:color w:val="auto"/>
        </w:rPr>
      </w:pPr>
    </w:p>
    <w:p>
      <w:pPr>
        <w:ind w:left="5800"/>
        <w:spacing w:after="0"/>
        <w:rPr>
          <w:sz w:val="20"/>
          <w:szCs w:val="20"/>
          <w:color w:val="auto"/>
        </w:rPr>
      </w:pPr>
      <w:r>
        <w:rPr>
          <w:rFonts w:ascii="Calibri" w:cs="Calibri" w:eastAsia="Calibri" w:hAnsi="Calibri"/>
          <w:sz w:val="32"/>
          <w:szCs w:val="32"/>
          <w:b w:val="1"/>
          <w:bCs w:val="1"/>
          <w:color w:val="auto"/>
        </w:rPr>
        <w:t>Annual Meetng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180975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605155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2273935</wp:posOffset>
            </wp:positionH>
            <wp:positionV relativeFrom="page">
              <wp:posOffset>431800</wp:posOffset>
            </wp:positionV>
            <wp:extent cx="2966085" cy="69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966085" cy="6946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5960 Berkshire Ln., Suite 900</w:t>
      </w:r>
    </w:p>
    <w:p>
      <w:pPr>
        <w:spacing w:after="0" w:line="1"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Dallas, Texas 75225</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color w:val="auto"/>
        </w:rPr>
        <w:t>June 17, 2024</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Dear Fellow Stockholder:</w:t>
      </w:r>
    </w:p>
    <w:p>
      <w:pPr>
        <w:spacing w:after="0" w:line="225" w:lineRule="exact"/>
        <w:rPr>
          <w:sz w:val="20"/>
          <w:szCs w:val="20"/>
          <w:color w:val="auto"/>
        </w:rPr>
      </w:pPr>
    </w:p>
    <w:p>
      <w:pPr>
        <w:ind w:right="260"/>
        <w:spacing w:after="0" w:line="236" w:lineRule="auto"/>
        <w:rPr>
          <w:sz w:val="20"/>
          <w:szCs w:val="20"/>
          <w:color w:val="auto"/>
        </w:rPr>
      </w:pPr>
      <w:r>
        <w:rPr>
          <w:rFonts w:ascii="Calibri" w:cs="Calibri" w:eastAsia="Calibri" w:hAnsi="Calibri"/>
          <w:sz w:val="20"/>
          <w:szCs w:val="20"/>
          <w:color w:val="auto"/>
        </w:rPr>
        <w:t>It is my pleasure to invite you to our Annual Meetng of Stockholders, which will be held on Thursday, August 1, 2024, at the Douglas Conference Center, 8343 Douglas Avenue, Suite 125, Dallas, TX 75225, at 8:00 a.m., local tme. We hope that you will atend the meetng, but we encourage you to vote by proxy whether or not you plan to atend the meetng in person.</w:t>
      </w:r>
    </w:p>
    <w:p>
      <w:pPr>
        <w:spacing w:after="0" w:line="225"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This year we are again taking advantage of the Securites and Exchange Commission rules that allow companies to furnish their proxy materials over the Internet. As a result, beginning on June 17, 2024, we are mailing to many of our stockholders a Notce Regarding the Availability of Proxy Materials, or Notce, instead of a paper copy of the materials for the Annual Meetng. The Notce contains instructons on how to access the proxy materials over the Internet and vote online, as well as how stockholders can elect to receive paper copies of the materials. We believe that this process expedites stockholders’ receipt of proxy materials and provides stockholders with the informaton they need.</w:t>
      </w:r>
    </w:p>
    <w:p>
      <w:pPr>
        <w:spacing w:after="0" w:line="228"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 xml:space="preserve">If you atend the Annual Meetng and desire to vote your shares personally rather than by proxy, you may withdraw your proxy at any tme before it is exercised. </w:t>
      </w:r>
      <w:r>
        <w:rPr>
          <w:rFonts w:ascii="Calibri" w:cs="Calibri" w:eastAsia="Calibri" w:hAnsi="Calibri"/>
          <w:sz w:val="20"/>
          <w:szCs w:val="20"/>
          <w:b w:val="1"/>
          <w:bCs w:val="1"/>
          <w:color w:val="auto"/>
        </w:rPr>
        <w:t>Your vote is very important, whether you own one share or many.</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Thank you for your contnued support and interest in Eagle.</w:t>
      </w:r>
    </w:p>
    <w:p>
      <w:pPr>
        <w:spacing w:after="0" w:line="200" w:lineRule="exact"/>
        <w:rPr>
          <w:sz w:val="20"/>
          <w:szCs w:val="20"/>
          <w:color w:val="auto"/>
        </w:rPr>
      </w:pPr>
    </w:p>
    <w:p>
      <w:pPr>
        <w:spacing w:after="0" w:line="325" w:lineRule="exact"/>
        <w:rPr>
          <w:sz w:val="20"/>
          <w:szCs w:val="20"/>
          <w:color w:val="auto"/>
        </w:rPr>
      </w:pPr>
    </w:p>
    <w:p>
      <w:pPr>
        <w:ind w:left="7900"/>
        <w:spacing w:after="0"/>
        <w:rPr>
          <w:sz w:val="20"/>
          <w:szCs w:val="20"/>
          <w:color w:val="auto"/>
        </w:rPr>
      </w:pPr>
      <w:r>
        <w:rPr>
          <w:rFonts w:ascii="Calibri" w:cs="Calibri" w:eastAsia="Calibri" w:hAnsi="Calibri"/>
          <w:sz w:val="20"/>
          <w:szCs w:val="20"/>
          <w:color w:val="auto"/>
        </w:rPr>
        <w:t>Sincerely,</w:t>
      </w:r>
    </w:p>
    <w:p>
      <w:pPr>
        <w:spacing w:after="0" w:line="296" w:lineRule="exact"/>
        <w:rPr>
          <w:sz w:val="20"/>
          <w:szCs w:val="20"/>
          <w:color w:val="auto"/>
        </w:rPr>
      </w:pPr>
    </w:p>
    <w:p>
      <w:pPr>
        <w:ind w:left="7900"/>
        <w:spacing w:after="0"/>
        <w:rPr>
          <w:sz w:val="20"/>
          <w:szCs w:val="20"/>
          <w:color w:val="auto"/>
        </w:rPr>
      </w:pPr>
      <w:r>
        <w:rPr>
          <w:rFonts w:ascii="Calibri" w:cs="Calibri" w:eastAsia="Calibri" w:hAnsi="Calibri"/>
          <w:sz w:val="20"/>
          <w:szCs w:val="20"/>
          <w:color w:val="auto"/>
        </w:rPr>
        <w:t>MICHAEL R. HAACK</w:t>
      </w:r>
    </w:p>
    <w:p>
      <w:pPr>
        <w:spacing w:after="0" w:line="296" w:lineRule="exact"/>
        <w:rPr>
          <w:sz w:val="20"/>
          <w:szCs w:val="20"/>
          <w:color w:val="auto"/>
        </w:rPr>
      </w:pPr>
    </w:p>
    <w:p>
      <w:pPr>
        <w:ind w:left="7900"/>
        <w:spacing w:after="0"/>
        <w:rPr>
          <w:sz w:val="20"/>
          <w:szCs w:val="20"/>
          <w:color w:val="auto"/>
        </w:rPr>
      </w:pPr>
      <w:r>
        <w:rPr>
          <w:rFonts w:ascii="Calibri" w:cs="Calibri" w:eastAsia="Calibri" w:hAnsi="Calibri"/>
          <w:sz w:val="20"/>
          <w:szCs w:val="20"/>
          <w:i w:val="1"/>
          <w:iCs w:val="1"/>
          <w:color w:val="auto"/>
        </w:rPr>
        <w:t>President and 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jc w:val="center"/>
        <w:ind w:right="-59"/>
        <w:spacing w:after="0"/>
        <w:rPr>
          <w:sz w:val="20"/>
          <w:szCs w:val="20"/>
          <w:color w:val="auto"/>
        </w:rPr>
      </w:pPr>
      <w:r>
        <w:rPr>
          <w:rFonts w:ascii="Calibri" w:cs="Calibri" w:eastAsia="Calibri" w:hAnsi="Calibri"/>
          <w:sz w:val="18"/>
          <w:szCs w:val="18"/>
          <w:b w:val="1"/>
          <w:bCs w:val="1"/>
          <w:color w:val="auto"/>
        </w:rPr>
        <w:t>EAGLE MATERIALS INC.</w:t>
      </w:r>
    </w:p>
    <w:p>
      <w:pPr>
        <w:jc w:val="center"/>
        <w:ind w:right="-59"/>
        <w:spacing w:after="0" w:line="235" w:lineRule="auto"/>
        <w:rPr>
          <w:sz w:val="20"/>
          <w:szCs w:val="20"/>
          <w:color w:val="auto"/>
        </w:rPr>
      </w:pPr>
      <w:r>
        <w:rPr>
          <w:rFonts w:ascii="Calibri" w:cs="Calibri" w:eastAsia="Calibri" w:hAnsi="Calibri"/>
          <w:sz w:val="18"/>
          <w:szCs w:val="18"/>
          <w:b w:val="1"/>
          <w:bCs w:val="1"/>
          <w:color w:val="auto"/>
        </w:rPr>
        <w:t>5960 Berkshire Ln., Suite 900</w:t>
      </w:r>
    </w:p>
    <w:p>
      <w:pPr>
        <w:jc w:val="center"/>
        <w:ind w:right="-59"/>
        <w:spacing w:after="0" w:line="236" w:lineRule="auto"/>
        <w:rPr>
          <w:sz w:val="20"/>
          <w:szCs w:val="20"/>
          <w:color w:val="auto"/>
        </w:rPr>
      </w:pPr>
      <w:r>
        <w:rPr>
          <w:rFonts w:ascii="Calibri" w:cs="Calibri" w:eastAsia="Calibri" w:hAnsi="Calibri"/>
          <w:sz w:val="18"/>
          <w:szCs w:val="18"/>
          <w:b w:val="1"/>
          <w:bCs w:val="1"/>
          <w:color w:val="auto"/>
        </w:rPr>
        <w:t>Dallas, Texas 75225</w:t>
      </w:r>
    </w:p>
    <w:p>
      <w:pPr>
        <w:spacing w:after="0" w:line="21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NOTICE OF ANNUAL MEETING OF STOCKHOLDERS</w:t>
      </w:r>
    </w:p>
    <w:p>
      <w:pPr>
        <w:spacing w:after="0" w:line="21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To Be Held August 1,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 the Stockholders of Eagle Materials Inc.:</w:t>
      </w:r>
    </w:p>
    <w:p>
      <w:pPr>
        <w:spacing w:after="0" w:line="109" w:lineRule="exact"/>
        <w:rPr>
          <w:sz w:val="20"/>
          <w:szCs w:val="20"/>
          <w:color w:val="auto"/>
        </w:rPr>
      </w:pPr>
    </w:p>
    <w:p>
      <w:pPr>
        <w:ind w:right="300" w:firstLine="749"/>
        <w:spacing w:after="0" w:line="235" w:lineRule="auto"/>
        <w:rPr>
          <w:sz w:val="20"/>
          <w:szCs w:val="20"/>
          <w:color w:val="auto"/>
        </w:rPr>
      </w:pPr>
      <w:r>
        <w:rPr>
          <w:rFonts w:ascii="Calibri" w:cs="Calibri" w:eastAsia="Calibri" w:hAnsi="Calibri"/>
          <w:sz w:val="18"/>
          <w:szCs w:val="18"/>
          <w:color w:val="auto"/>
        </w:rPr>
        <w:t>The annual meetng of stockholders of Eagle Materials Inc., which we refer to as the “Company,” will be held at the Douglas Conference Center, 8343 Douglas Avenue, Suite 125, Dallas, TX 75225, at 8:00 a.m., local tme, on Thursday, August 1, 2024.</w:t>
      </w:r>
    </w:p>
    <w:p>
      <w:pPr>
        <w:spacing w:after="0" w:line="21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At the meetng, stockholders will:</w:t>
      </w:r>
    </w:p>
    <w:p>
      <w:pPr>
        <w:spacing w:after="0" w:line="104" w:lineRule="exact"/>
        <w:rPr>
          <w:sz w:val="20"/>
          <w:szCs w:val="20"/>
          <w:color w:val="auto"/>
        </w:rPr>
      </w:pPr>
    </w:p>
    <w:p>
      <w:pPr>
        <w:ind w:left="1140" w:hanging="383"/>
        <w:spacing w:after="0"/>
        <w:tabs>
          <w:tab w:leader="none" w:pos="11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Elect the three Class III directors identfed in the accompanying Proxy Statement, each to hold ofce for three years.</w:t>
      </w:r>
    </w:p>
    <w:p>
      <w:pPr>
        <w:spacing w:after="0" w:line="104" w:lineRule="exact"/>
        <w:rPr>
          <w:rFonts w:ascii="Calibri" w:cs="Calibri" w:eastAsia="Calibri" w:hAnsi="Calibri"/>
          <w:sz w:val="18"/>
          <w:szCs w:val="18"/>
          <w:color w:val="auto"/>
        </w:rPr>
      </w:pPr>
    </w:p>
    <w:p>
      <w:pPr>
        <w:ind w:left="1140" w:hanging="383"/>
        <w:spacing w:after="0"/>
        <w:tabs>
          <w:tab w:leader="none" w:pos="11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Vote on an advisory resoluton to approve the compensaton of our Named Executve Ofcers.</w:t>
      </w:r>
    </w:p>
    <w:p>
      <w:pPr>
        <w:spacing w:after="0" w:line="109" w:lineRule="exact"/>
        <w:rPr>
          <w:rFonts w:ascii="Calibri" w:cs="Calibri" w:eastAsia="Calibri" w:hAnsi="Calibri"/>
          <w:sz w:val="18"/>
          <w:szCs w:val="18"/>
          <w:color w:val="auto"/>
        </w:rPr>
      </w:pPr>
    </w:p>
    <w:p>
      <w:pPr>
        <w:ind w:left="1140" w:right="140" w:hanging="383"/>
        <w:spacing w:after="0" w:line="235" w:lineRule="auto"/>
        <w:tabs>
          <w:tab w:leader="none" w:pos="11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Vote to approve an amendment to our Restated Certfcate of Incorporaton to refect new Delaware law provisions regarding exculpaton of ofcers.</w:t>
      </w:r>
    </w:p>
    <w:p>
      <w:pPr>
        <w:spacing w:after="0" w:line="109" w:lineRule="exact"/>
        <w:rPr>
          <w:rFonts w:ascii="Calibri" w:cs="Calibri" w:eastAsia="Calibri" w:hAnsi="Calibri"/>
          <w:sz w:val="18"/>
          <w:szCs w:val="18"/>
          <w:color w:val="auto"/>
        </w:rPr>
      </w:pPr>
    </w:p>
    <w:p>
      <w:pPr>
        <w:ind w:left="1140" w:right="80" w:hanging="383"/>
        <w:spacing w:after="0" w:line="235" w:lineRule="auto"/>
        <w:tabs>
          <w:tab w:leader="none" w:pos="11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Vote to approve the expected appointment of Ernst &amp; Young LLP as the Company’s independent auditors for the fscal year ending March 31, 2025.</w:t>
      </w:r>
    </w:p>
    <w:p>
      <w:pPr>
        <w:spacing w:after="0" w:line="104" w:lineRule="exact"/>
        <w:rPr>
          <w:rFonts w:ascii="Calibri" w:cs="Calibri" w:eastAsia="Calibri" w:hAnsi="Calibri"/>
          <w:sz w:val="18"/>
          <w:szCs w:val="18"/>
          <w:color w:val="auto"/>
        </w:rPr>
      </w:pPr>
    </w:p>
    <w:p>
      <w:pPr>
        <w:ind w:left="1140" w:hanging="383"/>
        <w:spacing w:after="0"/>
        <w:tabs>
          <w:tab w:leader="none" w:pos="11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Any other maters properly brought before the annual meetng, or any adjournment thereof.</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Company’s Board of Directors has fxed the close of business on June 3, 2024 as the record date for the determinaton of stockholders enttled to notce of and to vote at the annual meetng or any adjournment thereof. Only record holders of the Company’s common stock, par value $0.01 per share (“Common Stock”) at the close of business on the record date are enttled to notce of and to vote at the annual meetng. A list of holders of Common Stock will be available for examinaton by any stockholder at the annual meetng and, during the ten-day period preceding the meetng date at the executve ofces of the Company located at 5960 Berkshire Ln., Suite 900, Dallas, Texas 75225.</w:t>
      </w:r>
    </w:p>
    <w:p>
      <w:pPr>
        <w:spacing w:after="0" w:line="220" w:lineRule="exact"/>
        <w:rPr>
          <w:sz w:val="20"/>
          <w:szCs w:val="20"/>
          <w:color w:val="auto"/>
        </w:rPr>
      </w:pPr>
    </w:p>
    <w:p>
      <w:pPr>
        <w:ind w:right="360" w:firstLine="749"/>
        <w:spacing w:after="0" w:line="235" w:lineRule="auto"/>
        <w:rPr>
          <w:sz w:val="20"/>
          <w:szCs w:val="20"/>
          <w:color w:val="auto"/>
        </w:rPr>
      </w:pPr>
      <w:r>
        <w:rPr>
          <w:rFonts w:ascii="Calibri" w:cs="Calibri" w:eastAsia="Calibri" w:hAnsi="Calibri"/>
          <w:sz w:val="18"/>
          <w:szCs w:val="18"/>
          <w:b w:val="1"/>
          <w:bCs w:val="1"/>
          <w:color w:val="auto"/>
        </w:rPr>
        <w:t xml:space="preserve">For further informaton regarding the maters to be acted upon at the annual meetng, I urge you to carefully read the accompanying Proxy Statement. </w:t>
      </w:r>
      <w:r>
        <w:rPr>
          <w:rFonts w:ascii="Calibri" w:cs="Calibri" w:eastAsia="Calibri" w:hAnsi="Calibri"/>
          <w:sz w:val="18"/>
          <w:szCs w:val="18"/>
          <w:color w:val="auto"/>
        </w:rPr>
        <w:t>If you have questons about these proposals or would like additonal copies of the Proxy Statement, please contact: Eagle Materials Inc.,</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Atenton: Mat Newby, Secretary, 5960 Berkshire Ln., Suite 900, Dallas, Texas 75225 (telephone: (214) 432-2000).</w:t>
      </w:r>
    </w:p>
    <w:p>
      <w:pPr>
        <w:spacing w:after="0" w:line="219"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You are cordially invited to atend the annual meetng. Your vote is important. Whether or not you expect to atend the annual meetng in person, please vote through the Internet (as described in the Notce) or by telephone or fll in, sign, date and promptly return the accompanying form of proxy in the enclosed postage-paid envelope so that your shares may be represented and voted at the annual meetng. This will not limit your right to atend or vote in person at the annual meetng. Your proxy will be returned to you if you choose to atend the annual meetng and request that it be returned. Shares will be voted in accordance with the instructons contained in your proxy, but if any proxies that are signed and returned to us do not specify a vote on any proposal, such proxies will be voted in the manner, if any, recommended by the Board.</w:t>
      </w:r>
    </w:p>
    <w:p>
      <w:pPr>
        <w:spacing w:after="0" w:line="230"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color w:val="auto"/>
        </w:rPr>
        <w:t>By Order of the Board of Directors</w:t>
      </w:r>
    </w:p>
    <w:p>
      <w:pPr>
        <w:spacing w:after="0" w:line="266" w:lineRule="exact"/>
        <w:rPr>
          <w:sz w:val="20"/>
          <w:szCs w:val="20"/>
          <w:color w:val="auto"/>
        </w:rPr>
      </w:pPr>
    </w:p>
    <w:p>
      <w:pPr>
        <w:ind w:left="5640"/>
        <w:spacing w:after="0"/>
        <w:rPr>
          <w:sz w:val="20"/>
          <w:szCs w:val="20"/>
          <w:color w:val="auto"/>
        </w:rPr>
      </w:pPr>
      <w:r>
        <w:rPr>
          <w:rFonts w:ascii="Calibri" w:cs="Calibri" w:eastAsia="Calibri" w:hAnsi="Calibri"/>
          <w:sz w:val="18"/>
          <w:szCs w:val="18"/>
          <w:color w:val="auto"/>
        </w:rPr>
        <w:t>MATT NEWBY</w:t>
      </w:r>
    </w:p>
    <w:p>
      <w:pPr>
        <w:spacing w:after="0" w:line="266" w:lineRule="exact"/>
        <w:rPr>
          <w:sz w:val="20"/>
          <w:szCs w:val="20"/>
          <w:color w:val="auto"/>
        </w:rPr>
      </w:pPr>
    </w:p>
    <w:p>
      <w:pPr>
        <w:ind w:left="5640"/>
        <w:spacing w:after="0"/>
        <w:rPr>
          <w:sz w:val="20"/>
          <w:szCs w:val="20"/>
          <w:color w:val="auto"/>
        </w:rPr>
      </w:pPr>
      <w:r>
        <w:rPr>
          <w:rFonts w:ascii="Calibri" w:cs="Calibri" w:eastAsia="Calibri" w:hAnsi="Calibri"/>
          <w:sz w:val="18"/>
          <w:szCs w:val="18"/>
          <w:i w:val="1"/>
          <w:iCs w:val="1"/>
          <w:color w:val="auto"/>
        </w:rPr>
        <w:t>Executve Vice President,</w:t>
      </w:r>
    </w:p>
    <w:p>
      <w:pPr>
        <w:ind w:left="5640"/>
        <w:spacing w:after="0" w:line="235" w:lineRule="auto"/>
        <w:rPr>
          <w:sz w:val="20"/>
          <w:szCs w:val="20"/>
          <w:color w:val="auto"/>
        </w:rPr>
      </w:pPr>
      <w:r>
        <w:rPr>
          <w:rFonts w:ascii="Calibri" w:cs="Calibri" w:eastAsia="Calibri" w:hAnsi="Calibri"/>
          <w:sz w:val="18"/>
          <w:szCs w:val="18"/>
          <w:i w:val="1"/>
          <w:iCs w:val="1"/>
          <w:color w:val="auto"/>
        </w:rPr>
        <w:t>General Counsel and Secretary</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June 17, 2024</w:t>
      </w:r>
    </w:p>
    <w:p>
      <w:pPr>
        <w:spacing w:after="0" w:line="15" w:lineRule="exact"/>
        <w:rPr>
          <w:sz w:val="20"/>
          <w:szCs w:val="20"/>
          <w:color w:val="auto"/>
        </w:rPr>
      </w:pPr>
    </w:p>
    <w:p>
      <w:pPr>
        <w:jc w:val="center"/>
        <w:ind w:left="360" w:right="2640"/>
        <w:spacing w:after="0" w:line="235" w:lineRule="auto"/>
        <w:rPr>
          <w:sz w:val="20"/>
          <w:szCs w:val="20"/>
          <w:color w:val="auto"/>
        </w:rPr>
      </w:pPr>
      <w:r>
        <w:rPr>
          <w:rFonts w:ascii="Calibri" w:cs="Calibri" w:eastAsia="Calibri" w:hAnsi="Calibri"/>
          <w:sz w:val="18"/>
          <w:szCs w:val="18"/>
          <w:b w:val="1"/>
          <w:bCs w:val="1"/>
          <w:color w:val="auto"/>
        </w:rPr>
        <w:t>IMPORTANT NOTICE REGARDING THE AVAILABILITY OF PROXY MATERIALS FOR THE ANNUAL MEETING OF STOCKHOLDERS TO BE HELD ON AUGUST 1, 2024. Our Proxy Statement and 2024 annual report to stockholders are available to you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22"/>
          <w:szCs w:val="22"/>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800" w:type="dxa"/>
            <w:vAlign w:val="bottom"/>
            <w:gridSpan w:val="71"/>
          </w:tcPr>
          <w:p>
            <w:pPr>
              <w:spacing w:after="0"/>
              <w:rPr>
                <w:sz w:val="20"/>
                <w:szCs w:val="20"/>
                <w:color w:val="auto"/>
              </w:rPr>
            </w:pPr>
            <w:r>
              <w:rPr>
                <w:rFonts w:ascii="Calibri" w:cs="Calibri" w:eastAsia="Calibri" w:hAnsi="Calibri"/>
                <w:sz w:val="18"/>
                <w:szCs w:val="18"/>
                <w:b w:val="1"/>
                <w:bCs w:val="1"/>
                <w:color w:val="auto"/>
              </w:rPr>
              <w:t>Page</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auto"/>
                <w:w w:val="99"/>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940" w:type="dxa"/>
            <w:vAlign w:val="bottom"/>
            <w:gridSpan w:val="34"/>
            <w:vMerge w:val="restart"/>
          </w:tcPr>
          <w:p>
            <w:pPr>
              <w:spacing w:after="0"/>
              <w:rPr>
                <w:sz w:val="20"/>
                <w:szCs w:val="20"/>
                <w:color w:val="auto"/>
              </w:rPr>
            </w:pPr>
            <w:r>
              <w:rPr>
                <w:rFonts w:ascii="Calibri" w:cs="Calibri" w:eastAsia="Calibri" w:hAnsi="Calibri"/>
                <w:sz w:val="18"/>
                <w:szCs w:val="18"/>
                <w:b w:val="1"/>
                <w:bCs w:val="1"/>
                <w:color w:val="4472C4"/>
              </w:rPr>
              <w:t>Introducton</w:t>
            </w:r>
          </w:p>
        </w:tc>
        <w:tc>
          <w:tcPr>
            <w:tcW w:w="440" w:type="dxa"/>
            <w:vAlign w:val="bottom"/>
            <w:tcBorders>
              <w:bottom w:val="single" w:sz="8" w:color="auto"/>
            </w:tcBorders>
          </w:tcPr>
          <w:p>
            <w:pPr>
              <w:spacing w:after="0"/>
              <w:rPr>
                <w:sz w:val="3"/>
                <w:szCs w:val="3"/>
                <w:color w:val="auto"/>
              </w:rPr>
            </w:pPr>
          </w:p>
        </w:tc>
        <w:tc>
          <w:tcPr>
            <w:tcW w:w="5400" w:type="dxa"/>
            <w:vAlign w:val="bottom"/>
            <w:gridSpan w:val="35"/>
            <w:vMerge w:val="restart"/>
          </w:tcPr>
          <w:p>
            <w:pPr>
              <w:ind w:left="480"/>
              <w:spacing w:after="0"/>
              <w:rPr>
                <w:sz w:val="20"/>
                <w:szCs w:val="20"/>
                <w:color w:val="auto"/>
              </w:rPr>
            </w:pPr>
            <w:r>
              <w:rPr>
                <w:rFonts w:ascii="Calibri" w:cs="Calibri" w:eastAsia="Calibri" w:hAnsi="Calibri"/>
                <w:sz w:val="18"/>
                <w:szCs w:val="18"/>
                <w:b w:val="1"/>
                <w:bCs w:val="1"/>
                <w:color w:val="4472C4"/>
              </w:rPr>
              <w:t>Executve Compensaton</w:t>
            </w: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40" w:type="dxa"/>
            <w:vAlign w:val="bottom"/>
            <w:gridSpan w:val="34"/>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Calibri" w:cs="Calibri" w:eastAsia="Calibri" w:hAnsi="Calibri"/>
                <w:sz w:val="18"/>
                <w:szCs w:val="18"/>
                <w:b w:val="1"/>
                <w:bCs w:val="1"/>
                <w:color w:val="4472C4"/>
              </w:rPr>
              <w:t>1</w:t>
            </w:r>
          </w:p>
        </w:tc>
        <w:tc>
          <w:tcPr>
            <w:tcW w:w="5400" w:type="dxa"/>
            <w:vAlign w:val="bottom"/>
            <w:gridSpan w:val="35"/>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Calibri" w:cs="Calibri" w:eastAsia="Calibri" w:hAnsi="Calibri"/>
                <w:sz w:val="18"/>
                <w:szCs w:val="18"/>
                <w:b w:val="1"/>
                <w:bCs w:val="1"/>
                <w:color w:val="4472C4"/>
              </w:rPr>
              <w:t>51</w:t>
            </w:r>
          </w:p>
        </w:tc>
        <w:tc>
          <w:tcPr>
            <w:tcW w:w="0" w:type="dxa"/>
            <w:vAlign w:val="bottom"/>
          </w:tcPr>
          <w:p>
            <w:pPr>
              <w:spacing w:after="0"/>
              <w:rPr>
                <w:sz w:val="1"/>
                <w:szCs w:val="1"/>
                <w:color w:val="auto"/>
              </w:rPr>
            </w:pPr>
          </w:p>
        </w:tc>
      </w:tr>
      <w:tr>
        <w:trPr>
          <w:trHeight w:val="20"/>
        </w:trPr>
        <w:tc>
          <w:tcPr>
            <w:tcW w:w="7660" w:type="dxa"/>
            <w:vAlign w:val="bottom"/>
            <w:gridSpan w:val="49"/>
          </w:tcPr>
          <w:p>
            <w:pPr>
              <w:spacing w:after="0" w:line="20" w:lineRule="exact"/>
              <w:rPr>
                <w:sz w:val="1"/>
                <w:szCs w:val="1"/>
                <w:color w:val="auto"/>
              </w:rPr>
            </w:pPr>
          </w:p>
        </w:tc>
        <w:tc>
          <w:tcPr>
            <w:tcW w:w="3580" w:type="dxa"/>
            <w:vAlign w:val="bottom"/>
            <w:tcBorders>
              <w:left w:val="single" w:sz="8" w:color="0000EE"/>
            </w:tcBorders>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gridSpan w:val="33"/>
          </w:tcPr>
          <w:p>
            <w:pPr>
              <w:spacing w:after="0"/>
              <w:rPr>
                <w:sz w:val="20"/>
                <w:szCs w:val="20"/>
                <w:color w:val="auto"/>
              </w:rPr>
            </w:pPr>
            <w:r>
              <w:rPr>
                <w:rFonts w:ascii="Calibri" w:cs="Calibri" w:eastAsia="Calibri" w:hAnsi="Calibri"/>
                <w:sz w:val="18"/>
                <w:szCs w:val="18"/>
                <w:color w:val="auto"/>
              </w:rPr>
              <w:t>Date, Time and Place of the Annual Meetng</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Fiscal 2024 Summary Compensaton Table</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0" w:type="dxa"/>
            <w:vAlign w:val="bottom"/>
          </w:tcPr>
          <w:p>
            <w:pPr>
              <w:spacing w:after="0"/>
              <w:rPr>
                <w:sz w:val="1"/>
                <w:szCs w:val="1"/>
                <w:color w:val="auto"/>
              </w:rPr>
            </w:pPr>
          </w:p>
        </w:tc>
      </w:tr>
      <w:tr>
        <w:trPr>
          <w:trHeight w:val="20"/>
        </w:trPr>
        <w:tc>
          <w:tcPr>
            <w:tcW w:w="1400" w:type="dxa"/>
            <w:vAlign w:val="bottom"/>
            <w:gridSpan w:val="8"/>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1160" w:type="dxa"/>
            <w:vAlign w:val="bottom"/>
            <w:tcBorders>
              <w:right w:val="single" w:sz="8" w:color="0000EE"/>
            </w:tcBorders>
            <w:gridSpan w:val="10"/>
            <w:shd w:val="clear" w:color="auto" w:fill="0000EE"/>
          </w:tcPr>
          <w:p>
            <w:pPr>
              <w:spacing w:after="0" w:line="20" w:lineRule="exact"/>
              <w:rPr>
                <w:sz w:val="1"/>
                <w:szCs w:val="1"/>
                <w:color w:val="auto"/>
              </w:rPr>
            </w:pPr>
          </w:p>
        </w:tc>
        <w:tc>
          <w:tcPr>
            <w:tcW w:w="4140" w:type="dxa"/>
            <w:vAlign w:val="bottom"/>
            <w:gridSpan w:val="22"/>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2060" w:type="dxa"/>
            <w:vAlign w:val="bottom"/>
            <w:tcBorders>
              <w:left w:val="single" w:sz="8" w:color="0000EE"/>
            </w:tcBorders>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gridSpan w:val="33"/>
          </w:tcPr>
          <w:p>
            <w:pPr>
              <w:spacing w:after="0" w:line="217" w:lineRule="exact"/>
              <w:rPr>
                <w:sz w:val="20"/>
                <w:szCs w:val="20"/>
                <w:color w:val="auto"/>
              </w:rPr>
            </w:pPr>
            <w:r>
              <w:rPr>
                <w:rFonts w:ascii="Calibri" w:cs="Calibri" w:eastAsia="Calibri" w:hAnsi="Calibri"/>
                <w:sz w:val="18"/>
                <w:szCs w:val="18"/>
                <w:color w:val="auto"/>
              </w:rPr>
              <w:t>Purposes of the Annual Meetng and Recommendatons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Borders>
              <w:bottom w:val="single" w:sz="8" w:color="0000EE"/>
            </w:tcBorders>
            <w:gridSpan w:val="16"/>
          </w:tcPr>
          <w:p>
            <w:pPr>
              <w:spacing w:after="0" w:line="209" w:lineRule="exact"/>
              <w:rPr>
                <w:sz w:val="20"/>
                <w:szCs w:val="20"/>
                <w:color w:val="auto"/>
              </w:rPr>
            </w:pPr>
            <w:r>
              <w:rPr>
                <w:rFonts w:ascii="Calibri" w:cs="Calibri" w:eastAsia="Calibri" w:hAnsi="Calibri"/>
                <w:sz w:val="18"/>
                <w:szCs w:val="18"/>
                <w:color w:val="auto"/>
                <w:w w:val="96"/>
              </w:rPr>
              <w:t>Grants of Plan-Based Awards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53</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980" w:type="dxa"/>
            <w:vAlign w:val="bottom"/>
            <w:tcBorders>
              <w:bottom w:val="single" w:sz="8" w:color="0000EE"/>
            </w:tcBorders>
            <w:gridSpan w:val="32"/>
          </w:tcPr>
          <w:p>
            <w:pPr>
              <w:spacing w:after="0" w:line="20" w:lineRule="exact"/>
              <w:rPr>
                <w:sz w:val="1"/>
                <w:szCs w:val="1"/>
                <w:color w:val="auto"/>
              </w:rPr>
            </w:pPr>
          </w:p>
        </w:tc>
        <w:tc>
          <w:tcPr>
            <w:tcW w:w="688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0" w:type="dxa"/>
            <w:vAlign w:val="bottom"/>
            <w:gridSpan w:val="32"/>
          </w:tcPr>
          <w:p>
            <w:pPr>
              <w:ind w:left="40"/>
              <w:spacing w:after="0" w:line="183" w:lineRule="exact"/>
              <w:rPr>
                <w:sz w:val="20"/>
                <w:szCs w:val="20"/>
                <w:color w:val="auto"/>
              </w:rPr>
            </w:pPr>
            <w:r>
              <w:rPr>
                <w:rFonts w:ascii="Calibri" w:cs="Calibri" w:eastAsia="Calibri" w:hAnsi="Calibri"/>
                <w:sz w:val="18"/>
                <w:szCs w:val="18"/>
                <w:color w:val="auto"/>
              </w:rPr>
              <w:t>of our Board of Directors</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1</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60" w:type="dxa"/>
            <w:vAlign w:val="bottom"/>
            <w:gridSpan w:val="32"/>
          </w:tcPr>
          <w:p>
            <w:pPr>
              <w:spacing w:after="0" w:line="183" w:lineRule="exact"/>
              <w:rPr>
                <w:sz w:val="20"/>
                <w:szCs w:val="20"/>
                <w:color w:val="auto"/>
              </w:rPr>
            </w:pPr>
            <w:r>
              <w:rPr>
                <w:rFonts w:ascii="Calibri" w:cs="Calibri" w:eastAsia="Calibri" w:hAnsi="Calibri"/>
                <w:sz w:val="18"/>
                <w:szCs w:val="18"/>
                <w:color w:val="auto"/>
              </w:rPr>
              <w:t>Outstanding Equity Awards at Fiscal Year-End</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55</w:t>
            </w:r>
          </w:p>
        </w:tc>
        <w:tc>
          <w:tcPr>
            <w:tcW w:w="0" w:type="dxa"/>
            <w:vAlign w:val="bottom"/>
          </w:tcPr>
          <w:p>
            <w:pPr>
              <w:spacing w:after="0"/>
              <w:rPr>
                <w:sz w:val="1"/>
                <w:szCs w:val="1"/>
                <w:color w:val="auto"/>
              </w:rPr>
            </w:pPr>
          </w:p>
        </w:tc>
      </w:tr>
      <w:tr>
        <w:trPr>
          <w:trHeight w:val="20"/>
        </w:trPr>
        <w:tc>
          <w:tcPr>
            <w:tcW w:w="1400" w:type="dxa"/>
            <w:vAlign w:val="bottom"/>
            <w:gridSpan w:val="8"/>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5300" w:type="dxa"/>
            <w:vAlign w:val="bottom"/>
            <w:gridSpan w:val="32"/>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gridSpan w:val="7"/>
          </w:tcPr>
          <w:p>
            <w:pPr>
              <w:spacing w:after="0"/>
              <w:rPr>
                <w:sz w:val="20"/>
                <w:szCs w:val="20"/>
                <w:color w:val="auto"/>
              </w:rPr>
            </w:pPr>
            <w:r>
              <w:rPr>
                <w:rFonts w:ascii="Calibri" w:cs="Calibri" w:eastAsia="Calibri" w:hAnsi="Calibri"/>
                <w:sz w:val="18"/>
                <w:szCs w:val="18"/>
                <w:b w:val="1"/>
                <w:bCs w:val="1"/>
                <w:color w:val="4472C4"/>
                <w:w w:val="97"/>
              </w:rPr>
              <w:t>About the Meetng</w:t>
            </w:r>
          </w:p>
        </w:tc>
        <w:tc>
          <w:tcPr>
            <w:tcW w:w="3560" w:type="dxa"/>
            <w:vAlign w:val="bottom"/>
            <w:gridSpan w:val="27"/>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Opton Exercises and Stock Vested</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58</w:t>
            </w:r>
          </w:p>
        </w:tc>
        <w:tc>
          <w:tcPr>
            <w:tcW w:w="0" w:type="dxa"/>
            <w:vAlign w:val="bottom"/>
          </w:tcPr>
          <w:p>
            <w:pPr>
              <w:spacing w:after="0"/>
              <w:rPr>
                <w:sz w:val="1"/>
                <w:szCs w:val="1"/>
                <w:color w:val="auto"/>
              </w:rPr>
            </w:pPr>
          </w:p>
        </w:tc>
      </w:tr>
      <w:tr>
        <w:trPr>
          <w:trHeight w:val="20"/>
        </w:trPr>
        <w:tc>
          <w:tcPr>
            <w:tcW w:w="1400" w:type="dxa"/>
            <w:vAlign w:val="bottom"/>
            <w:gridSpan w:val="8"/>
          </w:tcPr>
          <w:p>
            <w:pPr>
              <w:spacing w:after="0" w:line="20" w:lineRule="exact"/>
              <w:rPr>
                <w:sz w:val="1"/>
                <w:szCs w:val="1"/>
                <w:color w:val="auto"/>
              </w:rPr>
            </w:pPr>
          </w:p>
        </w:tc>
        <w:tc>
          <w:tcPr>
            <w:tcW w:w="6260" w:type="dxa"/>
            <w:vAlign w:val="bottom"/>
            <w:tcBorders>
              <w:left w:val="single" w:sz="8" w:color="0000EE"/>
            </w:tcBorders>
            <w:gridSpan w:val="41"/>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2620" w:type="dxa"/>
            <w:vAlign w:val="bottom"/>
            <w:tcBorders>
              <w:left w:val="single" w:sz="8" w:color="0000EE"/>
            </w:tcBorders>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6"/>
          </w:tcPr>
          <w:p>
            <w:pPr>
              <w:spacing w:after="0"/>
              <w:rPr>
                <w:sz w:val="20"/>
                <w:szCs w:val="20"/>
                <w:color w:val="auto"/>
              </w:rPr>
            </w:pPr>
            <w:r>
              <w:rPr>
                <w:rFonts w:ascii="Calibri" w:cs="Calibri" w:eastAsia="Calibri" w:hAnsi="Calibri"/>
                <w:sz w:val="18"/>
                <w:szCs w:val="18"/>
                <w:color w:val="auto"/>
                <w:w w:val="92"/>
              </w:rPr>
              <w:t>Who Can Vote</w:t>
            </w:r>
          </w:p>
        </w:tc>
        <w:tc>
          <w:tcPr>
            <w:tcW w:w="3560" w:type="dxa"/>
            <w:vAlign w:val="bottom"/>
            <w:gridSpan w:val="27"/>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Nonqualifed Deferred Compensaton in FY 2024</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59</w:t>
            </w:r>
          </w:p>
        </w:tc>
        <w:tc>
          <w:tcPr>
            <w:tcW w:w="0" w:type="dxa"/>
            <w:vAlign w:val="bottom"/>
          </w:tcPr>
          <w:p>
            <w:pPr>
              <w:spacing w:after="0"/>
              <w:rPr>
                <w:sz w:val="1"/>
                <w:szCs w:val="1"/>
                <w:color w:val="auto"/>
              </w:rPr>
            </w:pPr>
          </w:p>
        </w:tc>
      </w:tr>
      <w:tr>
        <w:trPr>
          <w:trHeight w:val="20"/>
        </w:trPr>
        <w:tc>
          <w:tcPr>
            <w:tcW w:w="7660" w:type="dxa"/>
            <w:vAlign w:val="bottom"/>
            <w:gridSpan w:val="49"/>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0" w:type="dxa"/>
            <w:vAlign w:val="bottom"/>
            <w:gridSpan w:val="1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Borders>
              <w:bottom w:val="single" w:sz="8" w:color="0000EE"/>
            </w:tcBorders>
            <w:gridSpan w:val="13"/>
          </w:tcPr>
          <w:p>
            <w:pPr>
              <w:spacing w:after="0" w:line="209" w:lineRule="exact"/>
              <w:rPr>
                <w:sz w:val="20"/>
                <w:szCs w:val="20"/>
                <w:color w:val="auto"/>
              </w:rPr>
            </w:pPr>
            <w:r>
              <w:rPr>
                <w:rFonts w:ascii="Calibri" w:cs="Calibri" w:eastAsia="Calibri" w:hAnsi="Calibri"/>
                <w:sz w:val="18"/>
                <w:szCs w:val="18"/>
                <w:color w:val="auto"/>
                <w:w w:val="95"/>
              </w:rPr>
              <w:t>How Proxies Will be Voted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3</w:t>
            </w:r>
          </w:p>
        </w:tc>
        <w:tc>
          <w:tcPr>
            <w:tcW w:w="5400" w:type="dxa"/>
            <w:vAlign w:val="bottom"/>
            <w:gridSpan w:val="35"/>
          </w:tcPr>
          <w:p>
            <w:pPr>
              <w:ind w:left="480"/>
              <w:spacing w:after="0" w:line="217" w:lineRule="exact"/>
              <w:rPr>
                <w:sz w:val="20"/>
                <w:szCs w:val="20"/>
                <w:color w:val="auto"/>
              </w:rPr>
            </w:pPr>
            <w:r>
              <w:rPr>
                <w:rFonts w:ascii="Calibri" w:cs="Calibri" w:eastAsia="Calibri" w:hAnsi="Calibri"/>
                <w:sz w:val="18"/>
                <w:szCs w:val="18"/>
                <w:b w:val="1"/>
                <w:bCs w:val="1"/>
                <w:color w:val="4472C4"/>
              </w:rPr>
              <w:t>Potental Payments Upon Terminaton or Change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37"/>
          </w:tcPr>
          <w:p>
            <w:pPr>
              <w:spacing w:after="0" w:line="20" w:lineRule="exact"/>
              <w:rPr>
                <w:sz w:val="1"/>
                <w:szCs w:val="1"/>
                <w:color w:val="auto"/>
              </w:rPr>
            </w:pPr>
          </w:p>
        </w:tc>
        <w:tc>
          <w:tcPr>
            <w:tcW w:w="3560" w:type="dxa"/>
            <w:vAlign w:val="bottom"/>
            <w:tcBorders>
              <w:bottom w:val="single" w:sz="8" w:color="0000EE"/>
            </w:tcBorders>
            <w:gridSpan w:val="24"/>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3" w:lineRule="exact"/>
              <w:rPr>
                <w:sz w:val="20"/>
                <w:szCs w:val="20"/>
                <w:color w:val="auto"/>
              </w:rPr>
            </w:pPr>
            <w:r>
              <w:rPr>
                <w:rFonts w:ascii="Calibri" w:cs="Calibri" w:eastAsia="Calibri" w:hAnsi="Calibri"/>
                <w:sz w:val="18"/>
                <w:szCs w:val="18"/>
                <w:color w:val="auto"/>
                <w:w w:val="95"/>
              </w:rPr>
              <w:t>Quorum and Required Vote</w:t>
            </w:r>
          </w:p>
        </w:tc>
        <w:tc>
          <w:tcPr>
            <w:tcW w:w="2600" w:type="dxa"/>
            <w:vAlign w:val="bottom"/>
            <w:gridSpan w:val="18"/>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bottom w:val="single" w:sz="8" w:color="0000EE"/>
            </w:tcBorders>
            <w:gridSpan w:val="3"/>
          </w:tcPr>
          <w:p>
            <w:pPr>
              <w:spacing w:after="0" w:line="183" w:lineRule="exact"/>
              <w:rPr>
                <w:sz w:val="20"/>
                <w:szCs w:val="20"/>
                <w:color w:val="auto"/>
              </w:rPr>
            </w:pPr>
            <w:r>
              <w:rPr>
                <w:rFonts w:ascii="Calibri" w:cs="Calibri" w:eastAsia="Calibri" w:hAnsi="Calibri"/>
                <w:sz w:val="18"/>
                <w:szCs w:val="18"/>
                <w:b w:val="1"/>
                <w:bCs w:val="1"/>
                <w:color w:val="4472C4"/>
                <w:w w:val="94"/>
              </w:rPr>
              <w:t>in Control</w:t>
            </w:r>
          </w:p>
        </w:tc>
        <w:tc>
          <w:tcPr>
            <w:tcW w:w="4020" w:type="dxa"/>
            <w:vAlign w:val="bottom"/>
            <w:gridSpan w:val="30"/>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b w:val="1"/>
                <w:bCs w:val="1"/>
                <w:color w:val="4472C4"/>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14"/>
          </w:tcPr>
          <w:p>
            <w:pPr>
              <w:spacing w:after="0"/>
              <w:rPr>
                <w:sz w:val="20"/>
                <w:szCs w:val="20"/>
                <w:color w:val="auto"/>
              </w:rPr>
            </w:pPr>
            <w:r>
              <w:rPr>
                <w:rFonts w:ascii="Calibri" w:cs="Calibri" w:eastAsia="Calibri" w:hAnsi="Calibri"/>
                <w:sz w:val="18"/>
                <w:szCs w:val="18"/>
                <w:color w:val="auto"/>
                <w:w w:val="96"/>
              </w:rPr>
              <w:t>How to Revoke Your Proxy</w:t>
            </w:r>
          </w:p>
        </w:tc>
        <w:tc>
          <w:tcPr>
            <w:tcW w:w="2680" w:type="dxa"/>
            <w:vAlign w:val="bottom"/>
            <w:gridSpan w:val="19"/>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Change in Control Contnuity Agreements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61</w:t>
            </w:r>
          </w:p>
        </w:tc>
        <w:tc>
          <w:tcPr>
            <w:tcW w:w="0" w:type="dxa"/>
            <w:vAlign w:val="bottom"/>
          </w:tcPr>
          <w:p>
            <w:pPr>
              <w:spacing w:after="0"/>
              <w:rPr>
                <w:sz w:val="1"/>
                <w:szCs w:val="1"/>
                <w:color w:val="auto"/>
              </w:rPr>
            </w:pPr>
          </w:p>
        </w:tc>
      </w:tr>
      <w:tr>
        <w:trPr>
          <w:trHeight w:val="20"/>
        </w:trPr>
        <w:tc>
          <w:tcPr>
            <w:tcW w:w="1700" w:type="dxa"/>
            <w:vAlign w:val="bottom"/>
            <w:gridSpan w:val="11"/>
          </w:tcPr>
          <w:p>
            <w:pPr>
              <w:spacing w:after="0" w:line="20" w:lineRule="exact"/>
              <w:rPr>
                <w:sz w:val="1"/>
                <w:szCs w:val="1"/>
                <w:color w:val="auto"/>
              </w:rPr>
            </w:pPr>
          </w:p>
        </w:tc>
        <w:tc>
          <w:tcPr>
            <w:tcW w:w="5960" w:type="dxa"/>
            <w:vAlign w:val="bottom"/>
            <w:tcBorders>
              <w:left w:val="single" w:sz="8" w:color="0000EE"/>
            </w:tcBorders>
            <w:gridSpan w:val="38"/>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2620" w:type="dxa"/>
            <w:vAlign w:val="bottom"/>
            <w:tcBorders>
              <w:left w:val="single" w:sz="8" w:color="0000EE"/>
            </w:tcBorders>
            <w:gridSpan w:val="1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16"/>
          </w:tcPr>
          <w:p>
            <w:pPr>
              <w:spacing w:after="0"/>
              <w:rPr>
                <w:sz w:val="20"/>
                <w:szCs w:val="20"/>
                <w:color w:val="auto"/>
              </w:rPr>
            </w:pPr>
            <w:r>
              <w:rPr>
                <w:rFonts w:ascii="Calibri" w:cs="Calibri" w:eastAsia="Calibri" w:hAnsi="Calibri"/>
                <w:sz w:val="18"/>
                <w:szCs w:val="18"/>
                <w:color w:val="auto"/>
                <w:w w:val="98"/>
              </w:rPr>
              <w:t>Expenses of Solicitng Proxies</w:t>
            </w:r>
          </w:p>
        </w:tc>
        <w:tc>
          <w:tcPr>
            <w:tcW w:w="2500" w:type="dxa"/>
            <w:vAlign w:val="bottom"/>
            <w:gridSpan w:val="17"/>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Payments Made Upon Any Terminaton</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20"/>
        </w:trPr>
        <w:tc>
          <w:tcPr>
            <w:tcW w:w="1700" w:type="dxa"/>
            <w:vAlign w:val="bottom"/>
            <w:gridSpan w:val="11"/>
          </w:tcPr>
          <w:p>
            <w:pPr>
              <w:spacing w:after="0" w:line="20" w:lineRule="exact"/>
              <w:rPr>
                <w:sz w:val="1"/>
                <w:szCs w:val="1"/>
                <w:color w:val="auto"/>
              </w:rPr>
            </w:pPr>
          </w:p>
        </w:tc>
        <w:tc>
          <w:tcPr>
            <w:tcW w:w="5960" w:type="dxa"/>
            <w:vAlign w:val="bottom"/>
            <w:tcBorders>
              <w:left w:val="single" w:sz="8" w:color="0000EE"/>
            </w:tcBorders>
            <w:gridSpan w:val="38"/>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2620" w:type="dxa"/>
            <w:vAlign w:val="bottom"/>
            <w:tcBorders>
              <w:left w:val="single" w:sz="8" w:color="0000EE"/>
            </w:tcBorders>
            <w:gridSpan w:val="1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16"/>
          </w:tcPr>
          <w:p>
            <w:pPr>
              <w:spacing w:after="0"/>
              <w:rPr>
                <w:sz w:val="20"/>
                <w:szCs w:val="20"/>
                <w:color w:val="auto"/>
              </w:rPr>
            </w:pPr>
            <w:r>
              <w:rPr>
                <w:rFonts w:ascii="Calibri" w:cs="Calibri" w:eastAsia="Calibri" w:hAnsi="Calibri"/>
                <w:sz w:val="18"/>
                <w:szCs w:val="18"/>
                <w:color w:val="auto"/>
              </w:rPr>
              <w:t>How You Can Vote</w:t>
            </w:r>
          </w:p>
        </w:tc>
        <w:tc>
          <w:tcPr>
            <w:tcW w:w="2500" w:type="dxa"/>
            <w:vAlign w:val="bottom"/>
            <w:gridSpan w:val="17"/>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5400" w:type="dxa"/>
            <w:vAlign w:val="bottom"/>
            <w:gridSpan w:val="35"/>
          </w:tcPr>
          <w:p>
            <w:pPr>
              <w:ind w:left="480"/>
              <w:spacing w:after="0"/>
              <w:rPr>
                <w:sz w:val="20"/>
                <w:szCs w:val="20"/>
                <w:color w:val="auto"/>
              </w:rPr>
            </w:pPr>
            <w:r>
              <w:rPr>
                <w:rFonts w:ascii="Calibri" w:cs="Calibri" w:eastAsia="Calibri" w:hAnsi="Calibri"/>
                <w:sz w:val="18"/>
                <w:szCs w:val="18"/>
                <w:b w:val="1"/>
                <w:bCs w:val="1"/>
                <w:color w:val="4472C4"/>
              </w:rPr>
              <w:t>CEO Pay Rato</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65</w:t>
            </w:r>
          </w:p>
        </w:tc>
        <w:tc>
          <w:tcPr>
            <w:tcW w:w="0" w:type="dxa"/>
            <w:vAlign w:val="bottom"/>
          </w:tcPr>
          <w:p>
            <w:pPr>
              <w:spacing w:after="0"/>
              <w:rPr>
                <w:sz w:val="1"/>
                <w:szCs w:val="1"/>
                <w:color w:val="auto"/>
              </w:rPr>
            </w:pPr>
          </w:p>
        </w:tc>
      </w:tr>
      <w:tr>
        <w:trPr>
          <w:trHeight w:val="20"/>
        </w:trPr>
        <w:tc>
          <w:tcPr>
            <w:tcW w:w="11240" w:type="dxa"/>
            <w:vAlign w:val="bottom"/>
            <w:gridSpan w:val="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4"/>
          </w:tcPr>
          <w:p>
            <w:pPr>
              <w:spacing w:after="0"/>
              <w:rPr>
                <w:sz w:val="20"/>
                <w:szCs w:val="20"/>
                <w:color w:val="auto"/>
              </w:rPr>
            </w:pPr>
            <w:r>
              <w:rPr>
                <w:rFonts w:ascii="Calibri" w:cs="Calibri" w:eastAsia="Calibri" w:hAnsi="Calibri"/>
                <w:sz w:val="18"/>
                <w:szCs w:val="18"/>
                <w:b w:val="1"/>
                <w:bCs w:val="1"/>
                <w:color w:val="4472C4"/>
              </w:rPr>
              <w:t>Proposal No. 1: Electon of Directors and Related Maters</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5</w:t>
            </w:r>
          </w:p>
        </w:tc>
        <w:tc>
          <w:tcPr>
            <w:tcW w:w="5400" w:type="dxa"/>
            <w:vAlign w:val="bottom"/>
            <w:gridSpan w:val="35"/>
          </w:tcPr>
          <w:p>
            <w:pPr>
              <w:ind w:left="480"/>
              <w:spacing w:after="0"/>
              <w:rPr>
                <w:sz w:val="20"/>
                <w:szCs w:val="20"/>
                <w:color w:val="auto"/>
              </w:rPr>
            </w:pPr>
            <w:r>
              <w:rPr>
                <w:rFonts w:ascii="Calibri" w:cs="Calibri" w:eastAsia="Calibri" w:hAnsi="Calibri"/>
                <w:sz w:val="18"/>
                <w:szCs w:val="18"/>
                <w:b w:val="1"/>
                <w:bCs w:val="1"/>
                <w:color w:val="4472C4"/>
              </w:rPr>
              <w:t>Pay Versus Performance</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780" w:type="dxa"/>
            <w:vAlign w:val="bottom"/>
            <w:tcBorders>
              <w:top w:val="single" w:sz="8" w:color="0000EE"/>
            </w:tcBorders>
            <w:gridSpan w:val="30"/>
          </w:tcPr>
          <w:p>
            <w:pPr>
              <w:spacing w:after="0"/>
              <w:rPr>
                <w:sz w:val="20"/>
                <w:szCs w:val="20"/>
                <w:color w:val="auto"/>
              </w:rPr>
            </w:pPr>
            <w:r>
              <w:rPr>
                <w:rFonts w:ascii="Calibri" w:cs="Calibri" w:eastAsia="Calibri" w:hAnsi="Calibri"/>
                <w:sz w:val="18"/>
                <w:szCs w:val="18"/>
                <w:color w:val="auto"/>
              </w:rPr>
              <w:t>General</w:t>
            </w:r>
          </w:p>
        </w:tc>
        <w:tc>
          <w:tcPr>
            <w:tcW w:w="800" w:type="dxa"/>
            <w:vAlign w:val="bottom"/>
            <w:gridSpan w:val="3"/>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480" w:type="dxa"/>
            <w:vAlign w:val="bottom"/>
          </w:tcPr>
          <w:p>
            <w:pPr>
              <w:spacing w:after="0"/>
              <w:rPr>
                <w:sz w:val="19"/>
                <w:szCs w:val="19"/>
                <w:color w:val="auto"/>
              </w:rPr>
            </w:pPr>
          </w:p>
        </w:tc>
        <w:tc>
          <w:tcPr>
            <w:tcW w:w="1740" w:type="dxa"/>
            <w:vAlign w:val="bottom"/>
            <w:tcBorders>
              <w:top w:val="single" w:sz="8" w:color="0000EE"/>
            </w:tcBorders>
            <w:gridSpan w:val="11"/>
          </w:tcPr>
          <w:p>
            <w:pPr>
              <w:spacing w:after="0"/>
              <w:rPr>
                <w:sz w:val="20"/>
                <w:szCs w:val="20"/>
                <w:color w:val="auto"/>
              </w:rPr>
            </w:pPr>
            <w:r>
              <w:rPr>
                <w:rFonts w:ascii="Calibri" w:cs="Calibri" w:eastAsia="Calibri" w:hAnsi="Calibri"/>
                <w:sz w:val="18"/>
                <w:szCs w:val="18"/>
                <w:b w:val="1"/>
                <w:bCs w:val="1"/>
                <w:color w:val="4472C4"/>
              </w:rPr>
              <w:t>Stock Ownership</w:t>
            </w:r>
          </w:p>
        </w:tc>
        <w:tc>
          <w:tcPr>
            <w:tcW w:w="3180" w:type="dxa"/>
            <w:vAlign w:val="bottom"/>
            <w:gridSpan w:val="23"/>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70</w:t>
            </w:r>
          </w:p>
        </w:tc>
        <w:tc>
          <w:tcPr>
            <w:tcW w:w="0" w:type="dxa"/>
            <w:vAlign w:val="bottom"/>
          </w:tcPr>
          <w:p>
            <w:pPr>
              <w:spacing w:after="0"/>
              <w:rPr>
                <w:sz w:val="1"/>
                <w:szCs w:val="1"/>
                <w:color w:val="auto"/>
              </w:rPr>
            </w:pPr>
          </w:p>
        </w:tc>
      </w:tr>
      <w:tr>
        <w:trPr>
          <w:trHeight w:val="20"/>
        </w:trPr>
        <w:tc>
          <w:tcPr>
            <w:tcW w:w="11240" w:type="dxa"/>
            <w:vAlign w:val="bottom"/>
            <w:gridSpan w:val="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gridSpan w:val="33"/>
          </w:tcPr>
          <w:p>
            <w:pPr>
              <w:spacing w:after="0"/>
              <w:rPr>
                <w:sz w:val="20"/>
                <w:szCs w:val="20"/>
                <w:color w:val="auto"/>
              </w:rPr>
            </w:pPr>
            <w:r>
              <w:rPr>
                <w:rFonts w:ascii="Calibri" w:cs="Calibri" w:eastAsia="Calibri" w:hAnsi="Calibri"/>
                <w:sz w:val="18"/>
                <w:szCs w:val="18"/>
                <w:color w:val="auto"/>
              </w:rPr>
              <w:t>Director Independence</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Management</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10"/>
          </w:tcPr>
          <w:p>
            <w:pPr>
              <w:spacing w:after="0"/>
              <w:rPr>
                <w:sz w:val="20"/>
                <w:szCs w:val="20"/>
                <w:color w:val="auto"/>
              </w:rPr>
            </w:pPr>
            <w:r>
              <w:rPr>
                <w:rFonts w:ascii="Calibri" w:cs="Calibri" w:eastAsia="Calibri" w:hAnsi="Calibri"/>
                <w:sz w:val="18"/>
                <w:szCs w:val="18"/>
                <w:color w:val="auto"/>
              </w:rPr>
              <w:t>Nominees</w:t>
            </w:r>
          </w:p>
        </w:tc>
        <w:tc>
          <w:tcPr>
            <w:tcW w:w="2940" w:type="dxa"/>
            <w:vAlign w:val="bottom"/>
            <w:gridSpan w:val="23"/>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Certain Benefcial Owners</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Borders>
              <w:bottom w:val="single" w:sz="8" w:color="0000EE"/>
            </w:tcBorders>
            <w:gridSpan w:val="17"/>
          </w:tcPr>
          <w:p>
            <w:pPr>
              <w:spacing w:after="0"/>
              <w:rPr>
                <w:sz w:val="20"/>
                <w:szCs w:val="20"/>
                <w:color w:val="auto"/>
              </w:rPr>
            </w:pPr>
            <w:r>
              <w:rPr>
                <w:rFonts w:ascii="Calibri" w:cs="Calibri" w:eastAsia="Calibri" w:hAnsi="Calibri"/>
                <w:sz w:val="18"/>
                <w:szCs w:val="18"/>
                <w:color w:val="auto"/>
                <w:w w:val="98"/>
              </w:rPr>
              <w:t>Recommendaton of the Board</w:t>
            </w:r>
          </w:p>
        </w:tc>
        <w:tc>
          <w:tcPr>
            <w:tcW w:w="2380" w:type="dxa"/>
            <w:vAlign w:val="bottom"/>
            <w:gridSpan w:val="16"/>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bottom w:val="single" w:sz="8" w:color="0000EE"/>
            </w:tcBorders>
            <w:gridSpan w:val="15"/>
          </w:tcPr>
          <w:p>
            <w:pPr>
              <w:spacing w:after="0"/>
              <w:rPr>
                <w:sz w:val="20"/>
                <w:szCs w:val="20"/>
                <w:color w:val="auto"/>
              </w:rPr>
            </w:pPr>
            <w:r>
              <w:rPr>
                <w:rFonts w:ascii="Calibri" w:cs="Calibri" w:eastAsia="Calibri" w:hAnsi="Calibri"/>
                <w:sz w:val="18"/>
                <w:szCs w:val="18"/>
                <w:color w:val="auto"/>
                <w:w w:val="97"/>
              </w:rPr>
              <w:t>Related Party Transactons</w:t>
            </w:r>
          </w:p>
        </w:tc>
        <w:tc>
          <w:tcPr>
            <w:tcW w:w="2680" w:type="dxa"/>
            <w:vAlign w:val="bottom"/>
            <w:gridSpan w:val="17"/>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80" w:type="dxa"/>
            <w:vAlign w:val="bottom"/>
            <w:tcBorders>
              <w:bottom w:val="single" w:sz="8" w:color="0000EE"/>
            </w:tcBorders>
            <w:gridSpan w:val="21"/>
          </w:tcPr>
          <w:p>
            <w:pPr>
              <w:spacing w:after="0" w:line="209" w:lineRule="exact"/>
              <w:rPr>
                <w:sz w:val="20"/>
                <w:szCs w:val="20"/>
                <w:color w:val="auto"/>
              </w:rPr>
            </w:pPr>
            <w:r>
              <w:rPr>
                <w:rFonts w:ascii="Calibri" w:cs="Calibri" w:eastAsia="Calibri" w:hAnsi="Calibri"/>
                <w:sz w:val="18"/>
                <w:szCs w:val="18"/>
                <w:color w:val="auto"/>
                <w:w w:val="99"/>
              </w:rPr>
              <w:t>Director Qualifcatons and Biographies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gridSpan w:val="2"/>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line="217" w:lineRule="exact"/>
              <w:rPr>
                <w:sz w:val="20"/>
                <w:szCs w:val="20"/>
                <w:color w:val="auto"/>
              </w:rPr>
            </w:pPr>
            <w:r>
              <w:rPr>
                <w:rFonts w:ascii="Calibri" w:cs="Calibri" w:eastAsia="Calibri" w:hAnsi="Calibri"/>
                <w:sz w:val="18"/>
                <w:szCs w:val="18"/>
                <w:color w:val="auto"/>
              </w:rPr>
              <w:t>Insider Trading and Prohibited Transactons in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gridSpan w:val="3"/>
          </w:tcPr>
          <w:p>
            <w:pPr>
              <w:spacing w:after="0" w:line="20" w:lineRule="exact"/>
              <w:rPr>
                <w:sz w:val="1"/>
                <w:szCs w:val="1"/>
                <w:color w:val="auto"/>
              </w:rPr>
            </w:pPr>
          </w:p>
        </w:tc>
        <w:tc>
          <w:tcPr>
            <w:tcW w:w="260" w:type="dxa"/>
            <w:vAlign w:val="bottom"/>
            <w:tcBorders>
              <w:bottom w:val="single" w:sz="8" w:color="0000EE"/>
            </w:tcBorders>
            <w:gridSpan w:val="3"/>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gridSpan w:val="4"/>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22"/>
          </w:tcPr>
          <w:p>
            <w:pPr>
              <w:spacing w:after="0" w:line="183" w:lineRule="exact"/>
              <w:rPr>
                <w:sz w:val="20"/>
                <w:szCs w:val="20"/>
                <w:color w:val="auto"/>
              </w:rPr>
            </w:pPr>
            <w:r>
              <w:rPr>
                <w:rFonts w:ascii="Calibri" w:cs="Calibri" w:eastAsia="Calibri" w:hAnsi="Calibri"/>
                <w:sz w:val="18"/>
                <w:szCs w:val="18"/>
                <w:color w:val="auto"/>
                <w:w w:val="99"/>
              </w:rPr>
              <w:t>Board Meetngs and Atendance Records</w:t>
            </w:r>
          </w:p>
        </w:tc>
        <w:tc>
          <w:tcPr>
            <w:tcW w:w="1680" w:type="dxa"/>
            <w:vAlign w:val="bottom"/>
            <w:gridSpan w:val="11"/>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19</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gridSpan w:val="31"/>
          </w:tcPr>
          <w:p>
            <w:pPr>
              <w:spacing w:after="0" w:line="183" w:lineRule="exact"/>
              <w:rPr>
                <w:sz w:val="20"/>
                <w:szCs w:val="20"/>
                <w:color w:val="auto"/>
              </w:rPr>
            </w:pPr>
            <w:r>
              <w:rPr>
                <w:rFonts w:ascii="Calibri" w:cs="Calibri" w:eastAsia="Calibri" w:hAnsi="Calibri"/>
                <w:sz w:val="18"/>
                <w:szCs w:val="18"/>
                <w:color w:val="auto"/>
              </w:rPr>
              <w:t>Company Securites</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gridSpan w:val="10"/>
          </w:tcPr>
          <w:p>
            <w:pPr>
              <w:spacing w:after="0"/>
              <w:rPr>
                <w:sz w:val="20"/>
                <w:szCs w:val="20"/>
                <w:color w:val="auto"/>
              </w:rPr>
            </w:pPr>
            <w:r>
              <w:rPr>
                <w:rFonts w:ascii="Calibri" w:cs="Calibri" w:eastAsia="Calibri" w:hAnsi="Calibri"/>
                <w:sz w:val="18"/>
                <w:szCs w:val="18"/>
                <w:b w:val="1"/>
                <w:bCs w:val="1"/>
                <w:color w:val="4472C4"/>
                <w:w w:val="97"/>
              </w:rPr>
              <w:t>Director Compensaton</w:t>
            </w:r>
          </w:p>
        </w:tc>
        <w:tc>
          <w:tcPr>
            <w:tcW w:w="3260" w:type="dxa"/>
            <w:vAlign w:val="bottom"/>
            <w:gridSpan w:val="24"/>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20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Code of Conduct</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tcBorders>
              <w:bottom w:val="single" w:sz="8" w:color="0000EE"/>
            </w:tcBorders>
            <w:gridSpan w:val="28"/>
          </w:tcPr>
          <w:p>
            <w:pPr>
              <w:spacing w:after="0"/>
              <w:rPr>
                <w:sz w:val="20"/>
                <w:szCs w:val="20"/>
                <w:color w:val="auto"/>
              </w:rPr>
            </w:pPr>
            <w:r>
              <w:rPr>
                <w:rFonts w:ascii="Calibri" w:cs="Calibri" w:eastAsia="Calibri" w:hAnsi="Calibri"/>
                <w:sz w:val="18"/>
                <w:szCs w:val="18"/>
                <w:color w:val="auto"/>
                <w:w w:val="98"/>
              </w:rPr>
              <w:t>Non-Employee Director Compensaton for Fiscal</w:t>
            </w:r>
          </w:p>
        </w:tc>
        <w:tc>
          <w:tcPr>
            <w:tcW w:w="1120" w:type="dxa"/>
            <w:vAlign w:val="bottom"/>
            <w:gridSpan w:val="5"/>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00" w:type="dxa"/>
            <w:vAlign w:val="bottom"/>
            <w:tcBorders>
              <w:bottom w:val="single" w:sz="8" w:color="0000EE"/>
            </w:tcBorders>
            <w:gridSpan w:val="33"/>
          </w:tcPr>
          <w:p>
            <w:pPr>
              <w:spacing w:after="0"/>
              <w:rPr>
                <w:sz w:val="20"/>
                <w:szCs w:val="20"/>
                <w:color w:val="auto"/>
              </w:rPr>
            </w:pPr>
            <w:r>
              <w:rPr>
                <w:rFonts w:ascii="Calibri" w:cs="Calibri" w:eastAsia="Calibri" w:hAnsi="Calibri"/>
                <w:sz w:val="18"/>
                <w:szCs w:val="18"/>
                <w:b w:val="1"/>
                <w:bCs w:val="1"/>
                <w:color w:val="4472C4"/>
                <w:w w:val="97"/>
              </w:rPr>
              <w:t>Proposal No. 2: Advisory Vote to Approve the Compensaton of Our</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32"/>
          </w:tcPr>
          <w:p>
            <w:pPr>
              <w:spacing w:after="0" w:line="196" w:lineRule="exact"/>
              <w:rPr>
                <w:sz w:val="20"/>
                <w:szCs w:val="20"/>
                <w:color w:val="auto"/>
              </w:rPr>
            </w:pPr>
            <w:r>
              <w:rPr>
                <w:rFonts w:ascii="Calibri" w:cs="Calibri" w:eastAsia="Calibri" w:hAnsi="Calibri"/>
                <w:sz w:val="18"/>
                <w:szCs w:val="18"/>
                <w:color w:val="auto"/>
              </w:rPr>
              <w:t>Year 2024</w:t>
            </w:r>
          </w:p>
        </w:tc>
        <w:tc>
          <w:tcPr>
            <w:tcW w:w="440" w:type="dxa"/>
            <w:vAlign w:val="bottom"/>
          </w:tcPr>
          <w:p>
            <w:pPr>
              <w:jc w:val="right"/>
              <w:spacing w:after="0" w:line="196" w:lineRule="exact"/>
              <w:rPr>
                <w:sz w:val="20"/>
                <w:szCs w:val="20"/>
                <w:color w:val="auto"/>
              </w:rPr>
            </w:pPr>
            <w:r>
              <w:rPr>
                <w:rFonts w:ascii="Calibri" w:cs="Calibri" w:eastAsia="Calibri" w:hAnsi="Calibri"/>
                <w:sz w:val="18"/>
                <w:szCs w:val="18"/>
                <w:color w:val="auto"/>
              </w:rPr>
              <w:t>21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gridSpan w:val="33"/>
          </w:tcPr>
          <w:p>
            <w:pPr>
              <w:spacing w:after="0" w:line="196" w:lineRule="exact"/>
              <w:rPr>
                <w:sz w:val="20"/>
                <w:szCs w:val="20"/>
                <w:color w:val="auto"/>
              </w:rPr>
            </w:pPr>
            <w:r>
              <w:rPr>
                <w:rFonts w:ascii="Calibri" w:cs="Calibri" w:eastAsia="Calibri" w:hAnsi="Calibri"/>
                <w:sz w:val="18"/>
                <w:szCs w:val="18"/>
                <w:b w:val="1"/>
                <w:bCs w:val="1"/>
                <w:color w:val="4472C4"/>
              </w:rPr>
              <w:t>Named Executve Ofcers</w:t>
            </w:r>
          </w:p>
        </w:tc>
        <w:tc>
          <w:tcPr>
            <w:tcW w:w="440" w:type="dxa"/>
            <w:vAlign w:val="bottom"/>
          </w:tcPr>
          <w:p>
            <w:pPr>
              <w:jc w:val="right"/>
              <w:spacing w:after="0" w:line="196" w:lineRule="exact"/>
              <w:rPr>
                <w:sz w:val="20"/>
                <w:szCs w:val="20"/>
                <w:color w:val="auto"/>
              </w:rPr>
            </w:pPr>
            <w:r>
              <w:rPr>
                <w:rFonts w:ascii="Calibri" w:cs="Calibri" w:eastAsia="Calibri" w:hAnsi="Calibri"/>
                <w:sz w:val="18"/>
                <w:szCs w:val="18"/>
                <w:b w:val="1"/>
                <w:bCs w:val="1"/>
                <w:color w:val="4472C4"/>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gridSpan w:val="33"/>
          </w:tcPr>
          <w:p>
            <w:pPr>
              <w:spacing w:after="0"/>
              <w:rPr>
                <w:sz w:val="20"/>
                <w:szCs w:val="20"/>
                <w:color w:val="auto"/>
              </w:rPr>
            </w:pPr>
            <w:r>
              <w:rPr>
                <w:rFonts w:ascii="Calibri" w:cs="Calibri" w:eastAsia="Calibri" w:hAnsi="Calibri"/>
                <w:sz w:val="18"/>
                <w:szCs w:val="18"/>
                <w:color w:val="auto"/>
              </w:rPr>
              <w:t>Board Leadership Structure and Role in Risk Oversight</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23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Recommendaton of the Board</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tcBorders>
              <w:bottom w:val="single" w:sz="8" w:color="0000EE"/>
            </w:tcBorders>
            <w:gridSpan w:val="27"/>
          </w:tcPr>
          <w:p>
            <w:pPr>
              <w:spacing w:after="0" w:line="209" w:lineRule="exact"/>
              <w:rPr>
                <w:sz w:val="20"/>
                <w:szCs w:val="20"/>
                <w:color w:val="auto"/>
              </w:rPr>
            </w:pPr>
            <w:r>
              <w:rPr>
                <w:rFonts w:ascii="Calibri" w:cs="Calibri" w:eastAsia="Calibri" w:hAnsi="Calibri"/>
                <w:sz w:val="18"/>
                <w:szCs w:val="18"/>
                <w:color w:val="auto"/>
                <w:w w:val="99"/>
              </w:rPr>
              <w:t>Director Orientaton and Contnuing Educaton</w:t>
            </w:r>
          </w:p>
        </w:tc>
        <w:tc>
          <w:tcPr>
            <w:tcW w:w="18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gridSpan w:val="2"/>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24</w:t>
            </w:r>
          </w:p>
        </w:tc>
        <w:tc>
          <w:tcPr>
            <w:tcW w:w="5400" w:type="dxa"/>
            <w:vAlign w:val="bottom"/>
            <w:gridSpan w:val="35"/>
          </w:tcPr>
          <w:p>
            <w:pPr>
              <w:ind w:left="480"/>
              <w:spacing w:after="0" w:line="217" w:lineRule="exact"/>
              <w:rPr>
                <w:sz w:val="20"/>
                <w:szCs w:val="20"/>
                <w:color w:val="auto"/>
              </w:rPr>
            </w:pPr>
            <w:r>
              <w:rPr>
                <w:rFonts w:ascii="Calibri" w:cs="Calibri" w:eastAsia="Calibri" w:hAnsi="Calibri"/>
                <w:sz w:val="18"/>
                <w:szCs w:val="18"/>
                <w:b w:val="1"/>
                <w:bCs w:val="1"/>
                <w:color w:val="4472C4"/>
              </w:rPr>
              <w:t>Proposal No. 3: Approval of Amendment to our Charter</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900" w:type="dxa"/>
            <w:vAlign w:val="bottom"/>
            <w:tcBorders>
              <w:bottom w:val="single" w:sz="8" w:color="0000EE"/>
            </w:tcBorders>
            <w:gridSpan w:val="5"/>
          </w:tcPr>
          <w:p>
            <w:pPr>
              <w:spacing w:after="0" w:line="20" w:lineRule="exact"/>
              <w:rPr>
                <w:sz w:val="1"/>
                <w:szCs w:val="1"/>
                <w:color w:val="auto"/>
              </w:rPr>
            </w:pPr>
          </w:p>
        </w:tc>
        <w:tc>
          <w:tcPr>
            <w:tcW w:w="260" w:type="dxa"/>
            <w:vAlign w:val="bottom"/>
            <w:tcBorders>
              <w:bottom w:val="single" w:sz="8" w:color="0000EE"/>
            </w:tcBorders>
            <w:gridSpan w:val="3"/>
          </w:tcPr>
          <w:p>
            <w:pPr>
              <w:spacing w:after="0" w:line="20" w:lineRule="exact"/>
              <w:rPr>
                <w:sz w:val="1"/>
                <w:szCs w:val="1"/>
                <w:color w:val="auto"/>
              </w:rPr>
            </w:pPr>
          </w:p>
        </w:tc>
        <w:tc>
          <w:tcPr>
            <w:tcW w:w="440" w:type="dxa"/>
            <w:vAlign w:val="bottom"/>
            <w:tcBorders>
              <w:bottom w:val="single" w:sz="8" w:color="0000EE"/>
            </w:tcBorders>
            <w:gridSpan w:val="3"/>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780" w:type="dxa"/>
            <w:vAlign w:val="bottom"/>
            <w:tcBorders>
              <w:bottom w:val="single" w:sz="8" w:color="0000EE"/>
            </w:tcBorders>
            <w:gridSpan w:val="6"/>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gridSpan w:val="5"/>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80" w:type="dxa"/>
            <w:vAlign w:val="bottom"/>
            <w:gridSpan w:val="33"/>
          </w:tcPr>
          <w:p>
            <w:pPr>
              <w:spacing w:after="0" w:line="183" w:lineRule="exact"/>
              <w:rPr>
                <w:sz w:val="20"/>
                <w:szCs w:val="20"/>
                <w:color w:val="auto"/>
              </w:rPr>
            </w:pPr>
            <w:r>
              <w:rPr>
                <w:rFonts w:ascii="Calibri" w:cs="Calibri" w:eastAsia="Calibri" w:hAnsi="Calibri"/>
                <w:sz w:val="18"/>
                <w:szCs w:val="18"/>
                <w:color w:val="auto"/>
              </w:rPr>
              <w:t>Board Commitees</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24</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40" w:type="dxa"/>
            <w:vAlign w:val="bottom"/>
            <w:gridSpan w:val="33"/>
          </w:tcPr>
          <w:p>
            <w:pPr>
              <w:spacing w:after="0" w:line="183" w:lineRule="exact"/>
              <w:rPr>
                <w:sz w:val="20"/>
                <w:szCs w:val="20"/>
                <w:color w:val="auto"/>
              </w:rPr>
            </w:pPr>
            <w:r>
              <w:rPr>
                <w:rFonts w:ascii="Calibri" w:cs="Calibri" w:eastAsia="Calibri" w:hAnsi="Calibri"/>
                <w:sz w:val="18"/>
                <w:szCs w:val="18"/>
                <w:b w:val="1"/>
                <w:bCs w:val="1"/>
                <w:color w:val="4472C4"/>
              </w:rPr>
              <w:t>to Allow For Exculpaton of Ofcers</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b w:val="1"/>
                <w:bCs w:val="1"/>
                <w:color w:val="4472C4"/>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gridSpan w:val="33"/>
          </w:tcPr>
          <w:p>
            <w:pPr>
              <w:spacing w:after="0" w:line="217" w:lineRule="exact"/>
              <w:rPr>
                <w:sz w:val="20"/>
                <w:szCs w:val="20"/>
                <w:color w:val="auto"/>
              </w:rPr>
            </w:pPr>
            <w:r>
              <w:rPr>
                <w:rFonts w:ascii="Calibri" w:cs="Calibri" w:eastAsia="Calibri" w:hAnsi="Calibri"/>
                <w:sz w:val="18"/>
                <w:szCs w:val="18"/>
                <w:color w:val="auto"/>
              </w:rPr>
              <w:t>Compensaton Commitee Interlocks and Insider</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bottom w:val="single" w:sz="8" w:color="0000EE"/>
            </w:tcBorders>
            <w:gridSpan w:val="17"/>
          </w:tcPr>
          <w:p>
            <w:pPr>
              <w:spacing w:after="0" w:line="209" w:lineRule="exact"/>
              <w:rPr>
                <w:sz w:val="20"/>
                <w:szCs w:val="20"/>
                <w:color w:val="auto"/>
              </w:rPr>
            </w:pPr>
            <w:r>
              <w:rPr>
                <w:rFonts w:ascii="Calibri" w:cs="Calibri" w:eastAsia="Calibri" w:hAnsi="Calibri"/>
                <w:sz w:val="18"/>
                <w:szCs w:val="18"/>
                <w:color w:val="auto"/>
                <w:w w:val="97"/>
              </w:rPr>
              <w:t>Recommendaton of the Board</w:t>
            </w:r>
          </w:p>
        </w:tc>
        <w:tc>
          <w:tcPr>
            <w:tcW w:w="280" w:type="dxa"/>
            <w:vAlign w:val="bottom"/>
            <w:gridSpan w:val="2"/>
          </w:tcPr>
          <w:p>
            <w:pPr>
              <w:spacing w:after="0"/>
              <w:rPr>
                <w:sz w:val="19"/>
                <w:szCs w:val="19"/>
                <w:color w:val="auto"/>
              </w:rPr>
            </w:pPr>
          </w:p>
        </w:tc>
        <w:tc>
          <w:tcPr>
            <w:tcW w:w="860" w:type="dxa"/>
            <w:vAlign w:val="bottom"/>
            <w:gridSpan w:val="5"/>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900" w:type="dxa"/>
            <w:vAlign w:val="bottom"/>
            <w:tcBorders>
              <w:bottom w:val="single" w:sz="8" w:color="0000EE"/>
            </w:tcBorders>
            <w:gridSpan w:val="6"/>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50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3"/>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0000EE"/>
            </w:tcBorders>
            <w:gridSpan w:val="6"/>
          </w:tcPr>
          <w:p>
            <w:pPr>
              <w:spacing w:after="0" w:line="183" w:lineRule="exact"/>
              <w:rPr>
                <w:sz w:val="20"/>
                <w:szCs w:val="20"/>
                <w:color w:val="auto"/>
              </w:rPr>
            </w:pPr>
            <w:r>
              <w:rPr>
                <w:rFonts w:ascii="Calibri" w:cs="Calibri" w:eastAsia="Calibri" w:hAnsi="Calibri"/>
                <w:sz w:val="18"/>
                <w:szCs w:val="18"/>
                <w:color w:val="auto"/>
              </w:rPr>
              <w:t>Partcipaton</w:t>
            </w:r>
          </w:p>
        </w:tc>
        <w:tc>
          <w:tcPr>
            <w:tcW w:w="240" w:type="dxa"/>
            <w:vAlign w:val="bottom"/>
            <w:gridSpan w:val="2"/>
          </w:tcPr>
          <w:p>
            <w:pPr>
              <w:spacing w:after="0"/>
              <w:rPr>
                <w:sz w:val="15"/>
                <w:szCs w:val="15"/>
                <w:color w:val="auto"/>
              </w:rPr>
            </w:pPr>
          </w:p>
        </w:tc>
        <w:tc>
          <w:tcPr>
            <w:tcW w:w="5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7"/>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26</w:t>
            </w:r>
          </w:p>
        </w:tc>
        <w:tc>
          <w:tcPr>
            <w:tcW w:w="5400" w:type="dxa"/>
            <w:vAlign w:val="bottom"/>
            <w:gridSpan w:val="35"/>
          </w:tcPr>
          <w:p>
            <w:pPr>
              <w:ind w:left="480"/>
              <w:spacing w:after="0" w:line="183" w:lineRule="exact"/>
              <w:rPr>
                <w:sz w:val="20"/>
                <w:szCs w:val="20"/>
                <w:color w:val="auto"/>
              </w:rPr>
            </w:pPr>
            <w:r>
              <w:rPr>
                <w:rFonts w:ascii="Calibri" w:cs="Calibri" w:eastAsia="Calibri" w:hAnsi="Calibri"/>
                <w:sz w:val="18"/>
                <w:szCs w:val="18"/>
                <w:b w:val="1"/>
                <w:bCs w:val="1"/>
                <w:color w:val="4472C4"/>
              </w:rPr>
              <w:t>Proposal No. 4: Approval of the Expected Appointment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900" w:type="dxa"/>
            <w:vAlign w:val="bottom"/>
            <w:tcBorders>
              <w:bottom w:val="single" w:sz="8" w:color="0000EE"/>
            </w:tcBorders>
            <w:gridSpan w:val="5"/>
          </w:tcPr>
          <w:p>
            <w:pPr>
              <w:spacing w:after="0" w:line="20" w:lineRule="exact"/>
              <w:rPr>
                <w:sz w:val="1"/>
                <w:szCs w:val="1"/>
                <w:color w:val="auto"/>
              </w:rPr>
            </w:pPr>
          </w:p>
        </w:tc>
        <w:tc>
          <w:tcPr>
            <w:tcW w:w="260" w:type="dxa"/>
            <w:vAlign w:val="bottom"/>
            <w:tcBorders>
              <w:bottom w:val="single" w:sz="8" w:color="0000EE"/>
            </w:tcBorders>
            <w:gridSpan w:val="3"/>
          </w:tcPr>
          <w:p>
            <w:pPr>
              <w:spacing w:after="0" w:line="20" w:lineRule="exact"/>
              <w:rPr>
                <w:sz w:val="1"/>
                <w:szCs w:val="1"/>
                <w:color w:val="auto"/>
              </w:rPr>
            </w:pPr>
          </w:p>
        </w:tc>
        <w:tc>
          <w:tcPr>
            <w:tcW w:w="440" w:type="dxa"/>
            <w:vAlign w:val="bottom"/>
            <w:tcBorders>
              <w:bottom w:val="single" w:sz="8" w:color="0000EE"/>
            </w:tcBorders>
            <w:gridSpan w:val="3"/>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860" w:type="dxa"/>
            <w:vAlign w:val="bottom"/>
            <w:tcBorders>
              <w:bottom w:val="single" w:sz="8" w:color="0000EE"/>
            </w:tcBorders>
            <w:gridSpan w:val="7"/>
          </w:tcPr>
          <w:p>
            <w:pPr>
              <w:spacing w:after="0" w:line="20" w:lineRule="exact"/>
              <w:rPr>
                <w:sz w:val="1"/>
                <w:szCs w:val="1"/>
                <w:color w:val="auto"/>
              </w:rPr>
            </w:pPr>
          </w:p>
        </w:tc>
        <w:tc>
          <w:tcPr>
            <w:tcW w:w="860" w:type="dxa"/>
            <w:vAlign w:val="bottom"/>
            <w:tcBorders>
              <w:bottom w:val="single" w:sz="8" w:color="0000EE"/>
            </w:tcBorders>
            <w:gridSpan w:val="5"/>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14"/>
          </w:tcPr>
          <w:p>
            <w:pPr>
              <w:spacing w:after="0" w:line="183" w:lineRule="exact"/>
              <w:rPr>
                <w:sz w:val="20"/>
                <w:szCs w:val="20"/>
                <w:color w:val="auto"/>
              </w:rPr>
            </w:pPr>
            <w:r>
              <w:rPr>
                <w:rFonts w:ascii="Calibri" w:cs="Calibri" w:eastAsia="Calibri" w:hAnsi="Calibri"/>
                <w:sz w:val="18"/>
                <w:szCs w:val="18"/>
                <w:color w:val="auto"/>
                <w:w w:val="97"/>
              </w:rPr>
              <w:t>How to Contact Our Board</w:t>
            </w:r>
          </w:p>
        </w:tc>
        <w:tc>
          <w:tcPr>
            <w:tcW w:w="2680" w:type="dxa"/>
            <w:vAlign w:val="bottom"/>
            <w:gridSpan w:val="19"/>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29</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40" w:type="dxa"/>
            <w:vAlign w:val="bottom"/>
            <w:gridSpan w:val="33"/>
          </w:tcPr>
          <w:p>
            <w:pPr>
              <w:spacing w:after="0" w:line="183" w:lineRule="exact"/>
              <w:rPr>
                <w:sz w:val="20"/>
                <w:szCs w:val="20"/>
                <w:color w:val="auto"/>
              </w:rPr>
            </w:pPr>
            <w:r>
              <w:rPr>
                <w:rFonts w:ascii="Calibri" w:cs="Calibri" w:eastAsia="Calibri" w:hAnsi="Calibri"/>
                <w:sz w:val="18"/>
                <w:szCs w:val="18"/>
                <w:b w:val="1"/>
                <w:bCs w:val="1"/>
                <w:color w:val="4472C4"/>
              </w:rPr>
              <w:t>of Independent Auditors</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b w:val="1"/>
                <w:bCs w:val="1"/>
                <w:color w:val="4472C4"/>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4"/>
          </w:tcPr>
          <w:p>
            <w:pPr>
              <w:spacing w:after="0"/>
              <w:rPr>
                <w:sz w:val="20"/>
                <w:szCs w:val="20"/>
                <w:color w:val="auto"/>
              </w:rPr>
            </w:pPr>
            <w:r>
              <w:rPr>
                <w:rFonts w:ascii="Calibri" w:cs="Calibri" w:eastAsia="Calibri" w:hAnsi="Calibri"/>
                <w:sz w:val="18"/>
                <w:szCs w:val="18"/>
                <w:b w:val="1"/>
                <w:bCs w:val="1"/>
                <w:color w:val="4472C4"/>
              </w:rPr>
              <w:t>Executve Ofcers Who Are Not Directors</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30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60" w:type="dxa"/>
            <w:vAlign w:val="bottom"/>
            <w:gridSpan w:val="32"/>
          </w:tcPr>
          <w:p>
            <w:pPr>
              <w:spacing w:after="0"/>
              <w:rPr>
                <w:sz w:val="20"/>
                <w:szCs w:val="20"/>
                <w:color w:val="auto"/>
              </w:rPr>
            </w:pPr>
            <w:r>
              <w:rPr>
                <w:rFonts w:ascii="Calibri" w:cs="Calibri" w:eastAsia="Calibri" w:hAnsi="Calibri"/>
                <w:sz w:val="18"/>
                <w:szCs w:val="18"/>
                <w:color w:val="auto"/>
              </w:rPr>
              <w:t>Recommendaton of the Board</w:t>
            </w:r>
          </w:p>
        </w:tc>
        <w:tc>
          <w:tcPr>
            <w:tcW w:w="440" w:type="dxa"/>
            <w:vAlign w:val="bottom"/>
          </w:tcPr>
          <w:p>
            <w:pPr>
              <w:jc w:val="right"/>
              <w:spacing w:after="0"/>
              <w:rPr>
                <w:sz w:val="20"/>
                <w:szCs w:val="20"/>
                <w:color w:val="auto"/>
              </w:rPr>
            </w:pPr>
            <w:r>
              <w:rPr>
                <w:rFonts w:ascii="Calibri" w:cs="Calibri" w:eastAsia="Calibri" w:hAnsi="Calibri"/>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gridSpan w:val="10"/>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0000EE"/>
            </w:tcBorders>
            <w:gridSpan w:val="17"/>
          </w:tcPr>
          <w:p>
            <w:pPr>
              <w:spacing w:after="0"/>
              <w:rPr>
                <w:sz w:val="20"/>
                <w:szCs w:val="20"/>
                <w:color w:val="auto"/>
              </w:rPr>
            </w:pPr>
            <w:r>
              <w:rPr>
                <w:rFonts w:ascii="Calibri" w:cs="Calibri" w:eastAsia="Calibri" w:hAnsi="Calibri"/>
                <w:sz w:val="18"/>
                <w:szCs w:val="18"/>
                <w:b w:val="1"/>
                <w:bCs w:val="1"/>
                <w:color w:val="4472C4"/>
              </w:rPr>
              <w:t>Compensaton Commitee Report</w:t>
            </w:r>
          </w:p>
        </w:tc>
        <w:tc>
          <w:tcPr>
            <w:tcW w:w="540" w:type="dxa"/>
            <w:vAlign w:val="bottom"/>
            <w:gridSpan w:val="3"/>
          </w:tcPr>
          <w:p>
            <w:pPr>
              <w:spacing w:after="0"/>
              <w:rPr>
                <w:sz w:val="19"/>
                <w:szCs w:val="19"/>
                <w:color w:val="auto"/>
              </w:rPr>
            </w:pPr>
          </w:p>
        </w:tc>
        <w:tc>
          <w:tcPr>
            <w:tcW w:w="1960" w:type="dxa"/>
            <w:vAlign w:val="bottom"/>
            <w:gridSpan w:val="14"/>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31</w:t>
            </w:r>
          </w:p>
        </w:tc>
        <w:tc>
          <w:tcPr>
            <w:tcW w:w="480" w:type="dxa"/>
            <w:vAlign w:val="bottom"/>
          </w:tcPr>
          <w:p>
            <w:pPr>
              <w:spacing w:after="0"/>
              <w:rPr>
                <w:sz w:val="19"/>
                <w:szCs w:val="19"/>
                <w:color w:val="auto"/>
              </w:rPr>
            </w:pPr>
          </w:p>
        </w:tc>
        <w:tc>
          <w:tcPr>
            <w:tcW w:w="3680" w:type="dxa"/>
            <w:vAlign w:val="bottom"/>
            <w:tcBorders>
              <w:bottom w:val="single" w:sz="8" w:color="0000EE"/>
            </w:tcBorders>
            <w:gridSpan w:val="26"/>
          </w:tcPr>
          <w:p>
            <w:pPr>
              <w:spacing w:after="0"/>
              <w:rPr>
                <w:sz w:val="20"/>
                <w:szCs w:val="20"/>
                <w:color w:val="auto"/>
              </w:rPr>
            </w:pPr>
            <w:r>
              <w:rPr>
                <w:rFonts w:ascii="Calibri" w:cs="Calibri" w:eastAsia="Calibri" w:hAnsi="Calibri"/>
                <w:sz w:val="18"/>
                <w:szCs w:val="18"/>
                <w:b w:val="1"/>
                <w:bCs w:val="1"/>
                <w:color w:val="4472C4"/>
                <w:w w:val="97"/>
              </w:rPr>
              <w:t>Relatonship with Independent Public Accountants</w:t>
            </w:r>
          </w:p>
        </w:tc>
        <w:tc>
          <w:tcPr>
            <w:tcW w:w="1240" w:type="dxa"/>
            <w:vAlign w:val="bottom"/>
            <w:gridSpan w:val="8"/>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4"/>
          </w:tcPr>
          <w:p>
            <w:pPr>
              <w:spacing w:after="0"/>
              <w:rPr>
                <w:sz w:val="20"/>
                <w:szCs w:val="20"/>
                <w:color w:val="auto"/>
              </w:rPr>
            </w:pPr>
            <w:r>
              <w:rPr>
                <w:rFonts w:ascii="Calibri" w:cs="Calibri" w:eastAsia="Calibri" w:hAnsi="Calibri"/>
                <w:sz w:val="18"/>
                <w:szCs w:val="18"/>
                <w:b w:val="1"/>
                <w:bCs w:val="1"/>
                <w:color w:val="4472C4"/>
              </w:rPr>
              <w:t>Compensaton Discussion and Analysis</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32</w:t>
            </w:r>
          </w:p>
        </w:tc>
        <w:tc>
          <w:tcPr>
            <w:tcW w:w="5400" w:type="dxa"/>
            <w:vAlign w:val="bottom"/>
            <w:gridSpan w:val="35"/>
          </w:tcPr>
          <w:p>
            <w:pPr>
              <w:ind w:left="480"/>
              <w:spacing w:after="0"/>
              <w:rPr>
                <w:sz w:val="20"/>
                <w:szCs w:val="20"/>
                <w:color w:val="auto"/>
              </w:rPr>
            </w:pPr>
            <w:r>
              <w:rPr>
                <w:rFonts w:ascii="Calibri" w:cs="Calibri" w:eastAsia="Calibri" w:hAnsi="Calibri"/>
                <w:sz w:val="18"/>
                <w:szCs w:val="18"/>
                <w:b w:val="1"/>
                <w:bCs w:val="1"/>
                <w:color w:val="4472C4"/>
              </w:rPr>
              <w:t>Audit Commitee Report</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bottom w:val="single" w:sz="8" w:color="0000EE"/>
            </w:tcBorders>
            <w:gridSpan w:val="9"/>
          </w:tcPr>
          <w:p>
            <w:pPr>
              <w:spacing w:after="0" w:line="209" w:lineRule="exact"/>
              <w:rPr>
                <w:sz w:val="20"/>
                <w:szCs w:val="20"/>
                <w:color w:val="auto"/>
              </w:rPr>
            </w:pPr>
            <w:r>
              <w:rPr>
                <w:rFonts w:ascii="Calibri" w:cs="Calibri" w:eastAsia="Calibri" w:hAnsi="Calibri"/>
                <w:sz w:val="18"/>
                <w:szCs w:val="18"/>
                <w:color w:val="auto"/>
                <w:w w:val="92"/>
              </w:rPr>
              <w:t>Our Year in Review</w:t>
            </w:r>
          </w:p>
        </w:tc>
        <w:tc>
          <w:tcPr>
            <w:tcW w:w="5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6"/>
          </w:tcPr>
          <w:p>
            <w:pPr>
              <w:spacing w:after="0"/>
              <w:rPr>
                <w:sz w:val="19"/>
                <w:szCs w:val="19"/>
                <w:color w:val="auto"/>
              </w:rPr>
            </w:pPr>
          </w:p>
        </w:tc>
        <w:tc>
          <w:tcPr>
            <w:tcW w:w="240" w:type="dxa"/>
            <w:vAlign w:val="bottom"/>
            <w:gridSpan w:val="2"/>
          </w:tcPr>
          <w:p>
            <w:pPr>
              <w:spacing w:after="0"/>
              <w:rPr>
                <w:sz w:val="19"/>
                <w:szCs w:val="19"/>
                <w:color w:val="auto"/>
              </w:rPr>
            </w:pPr>
          </w:p>
        </w:tc>
        <w:tc>
          <w:tcPr>
            <w:tcW w:w="24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7"/>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32</w:t>
            </w:r>
          </w:p>
        </w:tc>
        <w:tc>
          <w:tcPr>
            <w:tcW w:w="480" w:type="dxa"/>
            <w:vAlign w:val="bottom"/>
          </w:tcPr>
          <w:p>
            <w:pPr>
              <w:spacing w:after="0"/>
              <w:rPr>
                <w:sz w:val="19"/>
                <w:szCs w:val="19"/>
                <w:color w:val="auto"/>
              </w:rPr>
            </w:pPr>
          </w:p>
        </w:tc>
        <w:tc>
          <w:tcPr>
            <w:tcW w:w="4920" w:type="dxa"/>
            <w:vAlign w:val="bottom"/>
            <w:gridSpan w:val="34"/>
          </w:tcPr>
          <w:p>
            <w:pPr>
              <w:spacing w:after="0" w:line="217" w:lineRule="exact"/>
              <w:rPr>
                <w:sz w:val="20"/>
                <w:szCs w:val="20"/>
                <w:color w:val="auto"/>
              </w:rPr>
            </w:pPr>
            <w:r>
              <w:rPr>
                <w:rFonts w:ascii="Calibri" w:cs="Calibri" w:eastAsia="Calibri" w:hAnsi="Calibri"/>
                <w:sz w:val="18"/>
                <w:szCs w:val="18"/>
                <w:b w:val="1"/>
                <w:bCs w:val="1"/>
                <w:color w:val="4472C4"/>
              </w:rPr>
              <w:t>Other Maters Which May be Presented for Acton at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900" w:type="dxa"/>
            <w:vAlign w:val="bottom"/>
            <w:tcBorders>
              <w:bottom w:val="single" w:sz="8" w:color="0000EE"/>
            </w:tcBorders>
            <w:gridSpan w:val="5"/>
          </w:tcPr>
          <w:p>
            <w:pPr>
              <w:spacing w:after="0" w:line="20" w:lineRule="exact"/>
              <w:rPr>
                <w:sz w:val="1"/>
                <w:szCs w:val="1"/>
                <w:color w:val="auto"/>
              </w:rPr>
            </w:pPr>
          </w:p>
        </w:tc>
        <w:tc>
          <w:tcPr>
            <w:tcW w:w="260" w:type="dxa"/>
            <w:vAlign w:val="bottom"/>
            <w:tcBorders>
              <w:bottom w:val="single" w:sz="8" w:color="0000EE"/>
            </w:tcBorders>
            <w:gridSpan w:val="3"/>
          </w:tcPr>
          <w:p>
            <w:pPr>
              <w:spacing w:after="0" w:line="20" w:lineRule="exact"/>
              <w:rPr>
                <w:sz w:val="1"/>
                <w:szCs w:val="1"/>
                <w:color w:val="auto"/>
              </w:rPr>
            </w:pPr>
          </w:p>
        </w:tc>
        <w:tc>
          <w:tcPr>
            <w:tcW w:w="1480" w:type="dxa"/>
            <w:vAlign w:val="bottom"/>
            <w:tcBorders>
              <w:bottom w:val="single" w:sz="8" w:color="0000EE"/>
            </w:tcBorders>
            <w:gridSpan w:val="12"/>
          </w:tcPr>
          <w:p>
            <w:pPr>
              <w:spacing w:after="0" w:line="20" w:lineRule="exact"/>
              <w:rPr>
                <w:sz w:val="1"/>
                <w:szCs w:val="1"/>
                <w:color w:val="auto"/>
              </w:rPr>
            </w:pPr>
          </w:p>
        </w:tc>
        <w:tc>
          <w:tcPr>
            <w:tcW w:w="1020" w:type="dxa"/>
            <w:vAlign w:val="bottom"/>
            <w:tcBorders>
              <w:bottom w:val="single" w:sz="8" w:color="0000EE"/>
            </w:tcBorders>
            <w:gridSpan w:val="7"/>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Borders>
              <w:bottom w:val="single" w:sz="8" w:color="0000EE"/>
            </w:tcBorders>
            <w:gridSpan w:val="11"/>
          </w:tcPr>
          <w:p>
            <w:pPr>
              <w:spacing w:after="0" w:line="183" w:lineRule="exact"/>
              <w:rPr>
                <w:sz w:val="20"/>
                <w:szCs w:val="20"/>
                <w:color w:val="auto"/>
              </w:rPr>
            </w:pPr>
            <w:r>
              <w:rPr>
                <w:rFonts w:ascii="Calibri" w:cs="Calibri" w:eastAsia="Calibri" w:hAnsi="Calibri"/>
                <w:sz w:val="18"/>
                <w:szCs w:val="18"/>
                <w:color w:val="auto"/>
              </w:rPr>
              <w:t>Named Executve Ofcers</w:t>
            </w:r>
          </w:p>
        </w:tc>
        <w:tc>
          <w:tcPr>
            <w:tcW w:w="2760" w:type="dxa"/>
            <w:vAlign w:val="bottom"/>
            <w:gridSpan w:val="22"/>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32</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0000EE"/>
            </w:tcBorders>
            <w:gridSpan w:val="5"/>
          </w:tcPr>
          <w:p>
            <w:pPr>
              <w:spacing w:after="0" w:line="183" w:lineRule="exact"/>
              <w:rPr>
                <w:sz w:val="20"/>
                <w:szCs w:val="20"/>
                <w:color w:val="auto"/>
              </w:rPr>
            </w:pPr>
            <w:r>
              <w:rPr>
                <w:rFonts w:ascii="Calibri" w:cs="Calibri" w:eastAsia="Calibri" w:hAnsi="Calibri"/>
                <w:sz w:val="18"/>
                <w:szCs w:val="18"/>
                <w:b w:val="1"/>
                <w:bCs w:val="1"/>
                <w:color w:val="4472C4"/>
              </w:rPr>
              <w:t>the Meetng</w:t>
            </w:r>
          </w:p>
        </w:tc>
        <w:tc>
          <w:tcPr>
            <w:tcW w:w="3840" w:type="dxa"/>
            <w:vAlign w:val="bottom"/>
            <w:gridSpan w:val="28"/>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Calibri" w:cs="Calibri" w:eastAsia="Calibri" w:hAnsi="Calibri"/>
                <w:sz w:val="18"/>
                <w:szCs w:val="18"/>
                <w:b w:val="1"/>
                <w:bCs w:val="1"/>
                <w:color w:val="4472C4"/>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12"/>
          </w:tcPr>
          <w:p>
            <w:pPr>
              <w:spacing w:after="0"/>
              <w:rPr>
                <w:sz w:val="20"/>
                <w:szCs w:val="20"/>
                <w:color w:val="auto"/>
              </w:rPr>
            </w:pPr>
            <w:r>
              <w:rPr>
                <w:rFonts w:ascii="Calibri" w:cs="Calibri" w:eastAsia="Calibri" w:hAnsi="Calibri"/>
                <w:sz w:val="18"/>
                <w:szCs w:val="18"/>
                <w:color w:val="auto"/>
                <w:w w:val="98"/>
              </w:rPr>
              <w:t>Compensaton Philosophy</w:t>
            </w:r>
          </w:p>
        </w:tc>
        <w:tc>
          <w:tcPr>
            <w:tcW w:w="2720" w:type="dxa"/>
            <w:vAlign w:val="bottom"/>
            <w:gridSpan w:val="21"/>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33</w:t>
            </w:r>
          </w:p>
        </w:tc>
        <w:tc>
          <w:tcPr>
            <w:tcW w:w="480" w:type="dxa"/>
            <w:vAlign w:val="bottom"/>
          </w:tcPr>
          <w:p>
            <w:pPr>
              <w:spacing w:after="0"/>
              <w:rPr>
                <w:sz w:val="19"/>
                <w:szCs w:val="19"/>
                <w:color w:val="auto"/>
              </w:rPr>
            </w:pPr>
          </w:p>
        </w:tc>
        <w:tc>
          <w:tcPr>
            <w:tcW w:w="4920" w:type="dxa"/>
            <w:vAlign w:val="bottom"/>
            <w:gridSpan w:val="34"/>
          </w:tcPr>
          <w:p>
            <w:pPr>
              <w:spacing w:after="0"/>
              <w:rPr>
                <w:sz w:val="20"/>
                <w:szCs w:val="20"/>
                <w:color w:val="auto"/>
              </w:rPr>
            </w:pPr>
            <w:r>
              <w:rPr>
                <w:rFonts w:ascii="Calibri" w:cs="Calibri" w:eastAsia="Calibri" w:hAnsi="Calibri"/>
                <w:sz w:val="18"/>
                <w:szCs w:val="18"/>
                <w:b w:val="1"/>
                <w:bCs w:val="1"/>
                <w:color w:val="4472C4"/>
              </w:rPr>
              <w:t>Delivery of Documents to Stockholders</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tcBorders>
              <w:bottom w:val="single" w:sz="8" w:color="0000EE"/>
            </w:tcBorders>
            <w:gridSpan w:val="20"/>
          </w:tcPr>
          <w:p>
            <w:pPr>
              <w:spacing w:after="0" w:line="209" w:lineRule="exact"/>
              <w:rPr>
                <w:sz w:val="20"/>
                <w:szCs w:val="20"/>
                <w:color w:val="auto"/>
              </w:rPr>
            </w:pPr>
            <w:r>
              <w:rPr>
                <w:rFonts w:ascii="Calibri" w:cs="Calibri" w:eastAsia="Calibri" w:hAnsi="Calibri"/>
                <w:sz w:val="18"/>
                <w:szCs w:val="18"/>
                <w:color w:val="auto"/>
                <w:w w:val="99"/>
              </w:rPr>
              <w:t>Determining Executve Compensaton</w:t>
            </w:r>
          </w:p>
        </w:tc>
        <w:tc>
          <w:tcPr>
            <w:tcW w:w="24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7"/>
          </w:tcPr>
          <w:p>
            <w:pPr>
              <w:spacing w:after="0"/>
              <w:rPr>
                <w:sz w:val="19"/>
                <w:szCs w:val="19"/>
                <w:color w:val="auto"/>
              </w:rPr>
            </w:pPr>
          </w:p>
        </w:tc>
        <w:tc>
          <w:tcPr>
            <w:tcW w:w="440" w:type="dxa"/>
            <w:vAlign w:val="bottom"/>
          </w:tcPr>
          <w:p>
            <w:pPr>
              <w:jc w:val="right"/>
              <w:spacing w:after="0" w:line="217" w:lineRule="exact"/>
              <w:rPr>
                <w:sz w:val="20"/>
                <w:szCs w:val="20"/>
                <w:color w:val="auto"/>
              </w:rPr>
            </w:pPr>
            <w:r>
              <w:rPr>
                <w:rFonts w:ascii="Calibri" w:cs="Calibri" w:eastAsia="Calibri" w:hAnsi="Calibri"/>
                <w:sz w:val="18"/>
                <w:szCs w:val="18"/>
                <w:color w:val="auto"/>
              </w:rPr>
              <w:t>36</w:t>
            </w:r>
          </w:p>
        </w:tc>
        <w:tc>
          <w:tcPr>
            <w:tcW w:w="5400" w:type="dxa"/>
            <w:vAlign w:val="bottom"/>
            <w:gridSpan w:val="35"/>
          </w:tcPr>
          <w:p>
            <w:pPr>
              <w:ind w:left="480"/>
              <w:spacing w:after="0" w:line="217" w:lineRule="exact"/>
              <w:rPr>
                <w:sz w:val="20"/>
                <w:szCs w:val="20"/>
                <w:color w:val="auto"/>
              </w:rPr>
            </w:pPr>
            <w:r>
              <w:rPr>
                <w:rFonts w:ascii="Calibri" w:cs="Calibri" w:eastAsia="Calibri" w:hAnsi="Calibri"/>
                <w:sz w:val="18"/>
                <w:szCs w:val="18"/>
                <w:b w:val="1"/>
                <w:bCs w:val="1"/>
                <w:color w:val="4472C4"/>
              </w:rPr>
              <w:t>Stockholder Proposals and Nominatons for the 2025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2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160" w:type="dxa"/>
            <w:vAlign w:val="bottom"/>
            <w:tcBorders>
              <w:bottom w:val="single" w:sz="8" w:color="0000EE"/>
            </w:tcBorders>
            <w:gridSpan w:val="8"/>
          </w:tcPr>
          <w:p>
            <w:pPr>
              <w:spacing w:after="0" w:line="20" w:lineRule="exact"/>
              <w:rPr>
                <w:sz w:val="1"/>
                <w:szCs w:val="1"/>
                <w:color w:val="auto"/>
              </w:rPr>
            </w:pPr>
          </w:p>
        </w:tc>
        <w:tc>
          <w:tcPr>
            <w:tcW w:w="2500" w:type="dxa"/>
            <w:vAlign w:val="bottom"/>
            <w:tcBorders>
              <w:bottom w:val="single" w:sz="8" w:color="0000EE"/>
            </w:tcBorders>
            <w:gridSpan w:val="19"/>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80" w:type="dxa"/>
            <w:vAlign w:val="bottom"/>
            <w:gridSpan w:val="33"/>
          </w:tcPr>
          <w:p>
            <w:pPr>
              <w:spacing w:after="0" w:line="183" w:lineRule="exact"/>
              <w:rPr>
                <w:sz w:val="20"/>
                <w:szCs w:val="20"/>
                <w:color w:val="auto"/>
              </w:rPr>
            </w:pPr>
            <w:r>
              <w:rPr>
                <w:rFonts w:ascii="Calibri" w:cs="Calibri" w:eastAsia="Calibri" w:hAnsi="Calibri"/>
                <w:sz w:val="18"/>
                <w:szCs w:val="18"/>
                <w:color w:val="auto"/>
              </w:rPr>
              <w:t>Primary Elements of Executve Compensaton</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color w:val="auto"/>
              </w:rPr>
              <w:t>38</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40" w:type="dxa"/>
            <w:vAlign w:val="bottom"/>
            <w:gridSpan w:val="33"/>
          </w:tcPr>
          <w:p>
            <w:pPr>
              <w:spacing w:after="0" w:line="183" w:lineRule="exact"/>
              <w:rPr>
                <w:sz w:val="20"/>
                <w:szCs w:val="20"/>
                <w:color w:val="auto"/>
              </w:rPr>
            </w:pPr>
            <w:r>
              <w:rPr>
                <w:rFonts w:ascii="Calibri" w:cs="Calibri" w:eastAsia="Calibri" w:hAnsi="Calibri"/>
                <w:sz w:val="18"/>
                <w:szCs w:val="18"/>
                <w:b w:val="1"/>
                <w:bCs w:val="1"/>
                <w:color w:val="4472C4"/>
              </w:rPr>
              <w:t>Annual Meetng</w:t>
            </w:r>
          </w:p>
        </w:tc>
        <w:tc>
          <w:tcPr>
            <w:tcW w:w="440" w:type="dxa"/>
            <w:vAlign w:val="bottom"/>
          </w:tcPr>
          <w:p>
            <w:pPr>
              <w:jc w:val="right"/>
              <w:spacing w:after="0" w:line="183" w:lineRule="exact"/>
              <w:rPr>
                <w:sz w:val="20"/>
                <w:szCs w:val="20"/>
                <w:color w:val="auto"/>
              </w:rPr>
            </w:pPr>
            <w:r>
              <w:rPr>
                <w:rFonts w:ascii="Calibri" w:cs="Calibri" w:eastAsia="Calibri" w:hAnsi="Calibri"/>
                <w:sz w:val="18"/>
                <w:szCs w:val="18"/>
                <w:b w:val="1"/>
                <w:bCs w:val="1"/>
                <w:color w:val="4472C4"/>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2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2500" w:type="dxa"/>
            <w:vAlign w:val="bottom"/>
            <w:gridSpan w:val="19"/>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26"/>
          </w:tcPr>
          <w:p>
            <w:pPr>
              <w:spacing w:after="0"/>
              <w:rPr>
                <w:sz w:val="20"/>
                <w:szCs w:val="20"/>
                <w:color w:val="auto"/>
              </w:rPr>
            </w:pPr>
            <w:r>
              <w:rPr>
                <w:rFonts w:ascii="Calibri" w:cs="Calibri" w:eastAsia="Calibri" w:hAnsi="Calibri"/>
                <w:sz w:val="18"/>
                <w:szCs w:val="18"/>
                <w:color w:val="auto"/>
              </w:rPr>
              <w:t>Other Elements of Executve Compensaton</w:t>
            </w:r>
          </w:p>
        </w:tc>
        <w:tc>
          <w:tcPr>
            <w:tcW w:w="1360" w:type="dxa"/>
            <w:vAlign w:val="bottom"/>
            <w:gridSpan w:val="7"/>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5400" w:type="dxa"/>
            <w:vAlign w:val="bottom"/>
            <w:gridSpan w:val="35"/>
          </w:tcPr>
          <w:p>
            <w:pPr>
              <w:ind w:left="480"/>
              <w:spacing w:after="0"/>
              <w:rPr>
                <w:sz w:val="20"/>
                <w:szCs w:val="20"/>
                <w:color w:val="auto"/>
              </w:rPr>
            </w:pPr>
            <w:r>
              <w:rPr>
                <w:rFonts w:ascii="Calibri" w:cs="Calibri" w:eastAsia="Calibri" w:hAnsi="Calibri"/>
                <w:sz w:val="18"/>
                <w:szCs w:val="18"/>
                <w:b w:val="1"/>
                <w:bCs w:val="1"/>
                <w:color w:val="4472C4"/>
              </w:rPr>
              <w:t>Appendix A: Ofcer Exculpaton Charter Amendment</w:t>
            </w:r>
          </w:p>
        </w:tc>
        <w:tc>
          <w:tcPr>
            <w:tcW w:w="440" w:type="dxa"/>
            <w:vAlign w:val="bottom"/>
          </w:tcPr>
          <w:p>
            <w:pPr>
              <w:jc w:val="right"/>
              <w:spacing w:after="0"/>
              <w:rPr>
                <w:sz w:val="20"/>
                <w:szCs w:val="20"/>
                <w:color w:val="auto"/>
              </w:rPr>
            </w:pPr>
            <w:r>
              <w:rPr>
                <w:rFonts w:ascii="Calibri" w:cs="Calibri" w:eastAsia="Calibri" w:hAnsi="Calibri"/>
                <w:sz w:val="18"/>
                <w:szCs w:val="18"/>
                <w:b w:val="1"/>
                <w:bCs w:val="1"/>
                <w:color w:val="4472C4"/>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Borders>
              <w:top w:val="single" w:sz="8" w:color="0000EE"/>
            </w:tcBorders>
            <w:gridSpan w:val="25"/>
          </w:tcPr>
          <w:p>
            <w:pPr>
              <w:spacing w:after="0"/>
              <w:rPr>
                <w:sz w:val="20"/>
                <w:szCs w:val="20"/>
                <w:color w:val="auto"/>
              </w:rPr>
            </w:pPr>
            <w:r>
              <w:rPr>
                <w:rFonts w:ascii="Calibri" w:cs="Calibri" w:eastAsia="Calibri" w:hAnsi="Calibri"/>
                <w:sz w:val="18"/>
                <w:szCs w:val="18"/>
                <w:color w:val="auto"/>
              </w:rPr>
              <w:t>Other Compensaton Policies and Practces</w:t>
            </w:r>
          </w:p>
        </w:tc>
        <w:tc>
          <w:tcPr>
            <w:tcW w:w="1440" w:type="dxa"/>
            <w:vAlign w:val="bottom"/>
            <w:gridSpan w:val="8"/>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48</w:t>
            </w:r>
          </w:p>
        </w:tc>
        <w:tc>
          <w:tcPr>
            <w:tcW w:w="4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tcBorders>
              <w:top w:val="single" w:sz="8" w:color="0000EE"/>
            </w:tcBorders>
            <w:gridSpan w:val="24"/>
          </w:tcPr>
          <w:p>
            <w:pPr>
              <w:spacing w:after="0"/>
              <w:rPr>
                <w:sz w:val="20"/>
                <w:szCs w:val="20"/>
                <w:color w:val="auto"/>
              </w:rPr>
            </w:pPr>
            <w:r>
              <w:rPr>
                <w:rFonts w:ascii="Calibri" w:cs="Calibri" w:eastAsia="Calibri" w:hAnsi="Calibri"/>
                <w:sz w:val="18"/>
                <w:szCs w:val="18"/>
                <w:color w:val="auto"/>
              </w:rPr>
              <w:t>Fiscal 2025 Compensaton Developments</w:t>
            </w:r>
          </w:p>
        </w:tc>
        <w:tc>
          <w:tcPr>
            <w:tcW w:w="1540" w:type="dxa"/>
            <w:vAlign w:val="bottom"/>
            <w:gridSpan w:val="9"/>
          </w:tcPr>
          <w:p>
            <w:pPr>
              <w:spacing w:after="0"/>
              <w:rPr>
                <w:sz w:val="19"/>
                <w:szCs w:val="19"/>
                <w:color w:val="auto"/>
              </w:rPr>
            </w:pPr>
          </w:p>
        </w:tc>
        <w:tc>
          <w:tcPr>
            <w:tcW w:w="440" w:type="dxa"/>
            <w:vAlign w:val="bottom"/>
          </w:tcPr>
          <w:p>
            <w:pPr>
              <w:jc w:val="right"/>
              <w:spacing w:after="0"/>
              <w:rPr>
                <w:sz w:val="20"/>
                <w:szCs w:val="20"/>
                <w:color w:val="auto"/>
              </w:rPr>
            </w:pPr>
            <w:r>
              <w:rPr>
                <w:rFonts w:ascii="Calibri" w:cs="Calibri" w:eastAsia="Calibri" w:hAnsi="Calibri"/>
                <w:sz w:val="18"/>
                <w:szCs w:val="18"/>
                <w:color w:val="auto"/>
              </w:rPr>
              <w:t>49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3"/>
        </w:trPr>
        <w:tc>
          <w:tcPr>
            <w:tcW w:w="380" w:type="dxa"/>
            <w:vAlign w:val="bottom"/>
            <w:tcBorders>
              <w:bottom w:val="single" w:sz="8" w:color="9A9A9A"/>
            </w:tcBorders>
            <w:gridSpan w:val="2"/>
          </w:tcPr>
          <w:p>
            <w:pPr>
              <w:spacing w:after="0"/>
              <w:rPr>
                <w:sz w:val="24"/>
                <w:szCs w:val="24"/>
                <w:color w:val="auto"/>
              </w:rPr>
            </w:pPr>
          </w:p>
        </w:tc>
        <w:tc>
          <w:tcPr>
            <w:tcW w:w="2920" w:type="dxa"/>
            <w:vAlign w:val="bottom"/>
            <w:tcBorders>
              <w:top w:val="single" w:sz="8" w:color="0000EE"/>
              <w:bottom w:val="single" w:sz="8" w:color="9A9A9A"/>
            </w:tcBorders>
            <w:gridSpan w:val="23"/>
          </w:tcPr>
          <w:p>
            <w:pPr>
              <w:spacing w:after="0"/>
              <w:rPr>
                <w:sz w:val="24"/>
                <w:szCs w:val="24"/>
                <w:color w:val="auto"/>
              </w:rPr>
            </w:pPr>
          </w:p>
        </w:tc>
        <w:tc>
          <w:tcPr>
            <w:tcW w:w="7940" w:type="dxa"/>
            <w:vAlign w:val="bottom"/>
            <w:tcBorders>
              <w:bottom w:val="single" w:sz="8" w:color="9A9A9A"/>
            </w:tcBorders>
            <w:gridSpan w:val="4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32"/>
          <w:szCs w:val="32"/>
          <w:b w:val="1"/>
          <w:bCs w:val="1"/>
          <w:color w:val="auto"/>
        </w:rPr>
        <w:t>EAGLE MATERIALS INC.</w:t>
      </w:r>
    </w:p>
    <w:p>
      <w:pPr>
        <w:spacing w:after="0" w:line="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5960 Berkshire Ln., Suite 900</w:t>
      </w:r>
    </w:p>
    <w:p>
      <w:pPr>
        <w:jc w:val="center"/>
        <w:ind w:right="-19"/>
        <w:spacing w:after="0" w:line="235" w:lineRule="auto"/>
        <w:rPr>
          <w:sz w:val="20"/>
          <w:szCs w:val="20"/>
          <w:color w:val="auto"/>
        </w:rPr>
      </w:pPr>
      <w:r>
        <w:rPr>
          <w:rFonts w:ascii="Calibri" w:cs="Calibri" w:eastAsia="Calibri" w:hAnsi="Calibri"/>
          <w:sz w:val="18"/>
          <w:szCs w:val="18"/>
          <w:color w:val="auto"/>
        </w:rPr>
        <w:t>Dallas, Texas 75225</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PROXY STATEMENT</w:t>
      </w:r>
    </w:p>
    <w:p>
      <w:pPr>
        <w:spacing w:after="0" w:line="248"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4472C4"/>
        </w:rPr>
        <w:t>INTRODUCTION</w:t>
      </w:r>
    </w:p>
    <w:p>
      <w:pPr>
        <w:spacing w:after="0" w:line="226"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The accompanying proxy, mailed or provided online, together with this Proxy Statement, is solicited by and on behalf of the Board of Directors of Eagle Materials Inc. (the “Company”) for use at the annual meetng of stockholders of the Company and at any adjournment or postponement thereof. References in this Proxy Statement to “we,” “us,” “our” or like terms also refer to the Company. References to our “Board of Directors” or “Board” refer to the board of directors of the Company. The Notce Regarding the Availability of Proxy Materials, this Proxy Statement and accompanying proxy were frst mailed to our stockholders on or about June 17, 2024.</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Date, Time and Place of the Annual Meetng</w:t>
      </w:r>
    </w:p>
    <w:p>
      <w:pPr>
        <w:spacing w:after="0" w:line="109"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The 2024 annual meetng of our stockholders will be held at the Douglas Conference Center, 8343 Douglas Avenue, Suite 125, Dallas, TX 75225, at 8:00 a.m., local tme, on Thursday, August 1, 2024.</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Purposes of the Annual Meetng and Recommendatons of our Board of Directors</w:t>
      </w:r>
    </w:p>
    <w:p>
      <w:pPr>
        <w:spacing w:after="0" w:line="104"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At the meetng, acton will be taken upon the following maters:</w:t>
      </w:r>
    </w:p>
    <w:p>
      <w:pPr>
        <w:spacing w:after="0" w:line="109" w:lineRule="exact"/>
        <w:rPr>
          <w:sz w:val="20"/>
          <w:szCs w:val="20"/>
          <w:color w:val="auto"/>
        </w:rPr>
      </w:pPr>
    </w:p>
    <w:p>
      <w:pPr>
        <w:ind w:left="1500" w:right="40" w:hanging="743"/>
        <w:spacing w:after="0" w:line="235" w:lineRule="auto"/>
        <w:tabs>
          <w:tab w:leader="none" w:pos="1500" w:val="left"/>
        </w:tabs>
        <w:numPr>
          <w:ilvl w:val="0"/>
          <w:numId w:val="7"/>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Electon of Directors. </w:t>
      </w:r>
      <w:r>
        <w:rPr>
          <w:rFonts w:ascii="Calibri" w:cs="Calibri" w:eastAsia="Calibri" w:hAnsi="Calibri"/>
          <w:sz w:val="18"/>
          <w:szCs w:val="18"/>
          <w:color w:val="auto"/>
        </w:rPr>
        <w:t>Stockholders will be asked to elect the three Class III directors identfed in this Proxy Statement, each to hold ofce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 a term of three years.</w:t>
      </w:r>
    </w:p>
    <w:p>
      <w:pPr>
        <w:spacing w:after="0" w:line="123" w:lineRule="exact"/>
        <w:rPr>
          <w:rFonts w:ascii="Calibri" w:cs="Calibri" w:eastAsia="Calibri" w:hAnsi="Calibri"/>
          <w:sz w:val="18"/>
          <w:szCs w:val="18"/>
          <w:color w:val="auto"/>
        </w:rPr>
      </w:pPr>
    </w:p>
    <w:p>
      <w:pPr>
        <w:ind w:left="2520" w:right="340" w:hanging="506"/>
        <w:spacing w:after="0" w:line="245" w:lineRule="auto"/>
        <w:tabs>
          <w:tab w:leader="none" w:pos="2520" w:val="left"/>
        </w:tabs>
        <w:numPr>
          <w:ilvl w:val="2"/>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Our Board of Directors recommends that you vote FOR the electon of its three nominees for director named in this Proxy Statement.</w:t>
      </w:r>
    </w:p>
    <w:p>
      <w:pPr>
        <w:spacing w:after="0" w:line="118" w:lineRule="exact"/>
        <w:rPr>
          <w:rFonts w:ascii="Times New Roman" w:cs="Times New Roman" w:eastAsia="Times New Roman" w:hAnsi="Times New Roman"/>
          <w:sz w:val="18"/>
          <w:szCs w:val="18"/>
          <w:color w:val="auto"/>
        </w:rPr>
      </w:pPr>
    </w:p>
    <w:p>
      <w:pPr>
        <w:ind w:left="1500" w:right="440" w:hanging="743"/>
        <w:spacing w:after="0" w:line="235" w:lineRule="auto"/>
        <w:tabs>
          <w:tab w:leader="none" w:pos="1500" w:val="left"/>
        </w:tabs>
        <w:numPr>
          <w:ilvl w:val="0"/>
          <w:numId w:val="7"/>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Advisory Vote to Approve the Compensaton of our Named Executve Ofcers. </w:t>
      </w:r>
      <w:r>
        <w:rPr>
          <w:rFonts w:ascii="Calibri" w:cs="Calibri" w:eastAsia="Calibri" w:hAnsi="Calibri"/>
          <w:sz w:val="18"/>
          <w:szCs w:val="18"/>
          <w:color w:val="auto"/>
        </w:rPr>
        <w:t>We are asking you to approve a non-binding advisory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resoluton regarding the compensaton of our Named Executve Ofcers as reported in this Proxy Statement.</w:t>
      </w:r>
    </w:p>
    <w:p>
      <w:pPr>
        <w:spacing w:after="0" w:line="123" w:lineRule="exact"/>
        <w:rPr>
          <w:rFonts w:ascii="Calibri" w:cs="Calibri" w:eastAsia="Calibri" w:hAnsi="Calibri"/>
          <w:sz w:val="18"/>
          <w:szCs w:val="18"/>
          <w:color w:val="auto"/>
        </w:rPr>
      </w:pPr>
    </w:p>
    <w:p>
      <w:pPr>
        <w:ind w:left="2520" w:right="1040" w:hanging="506"/>
        <w:spacing w:after="0" w:line="235" w:lineRule="auto"/>
        <w:tabs>
          <w:tab w:leader="none" w:pos="2520" w:val="left"/>
        </w:tabs>
        <w:numPr>
          <w:ilvl w:val="2"/>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Our Board of Directors recommends that you vote FOR the non-binding advisory resoluton approving the compensaton of our Named Executve Ofcers.</w:t>
      </w:r>
    </w:p>
    <w:p>
      <w:pPr>
        <w:spacing w:after="0" w:line="109" w:lineRule="exact"/>
        <w:rPr>
          <w:rFonts w:ascii="Times New Roman" w:cs="Times New Roman" w:eastAsia="Times New Roman" w:hAnsi="Times New Roman"/>
          <w:sz w:val="18"/>
          <w:szCs w:val="18"/>
          <w:color w:val="auto"/>
        </w:rPr>
      </w:pPr>
    </w:p>
    <w:p>
      <w:pPr>
        <w:ind w:left="1500" w:hanging="743"/>
        <w:spacing w:after="0" w:line="235" w:lineRule="auto"/>
        <w:tabs>
          <w:tab w:leader="none" w:pos="1500" w:val="left"/>
        </w:tabs>
        <w:numPr>
          <w:ilvl w:val="0"/>
          <w:numId w:val="7"/>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Approval of an Amendment to our Restated Certfcate of Incorporaton to Refect New Delaware Law Provisions Regarding Exculpaton of Ofcers. </w:t>
      </w:r>
      <w:r>
        <w:rPr>
          <w:rFonts w:ascii="Calibri" w:cs="Calibri" w:eastAsia="Calibri" w:hAnsi="Calibri"/>
          <w:sz w:val="18"/>
          <w:szCs w:val="18"/>
          <w:color w:val="auto"/>
        </w:rPr>
        <w:t>We are asking you to approve an amendment to our Restated Certfcate of Incorporaton.</w:t>
      </w:r>
    </w:p>
    <w:p>
      <w:pPr>
        <w:spacing w:after="0" w:line="118" w:lineRule="exact"/>
        <w:rPr>
          <w:rFonts w:ascii="Calibri" w:cs="Calibri" w:eastAsia="Calibri" w:hAnsi="Calibri"/>
          <w:sz w:val="18"/>
          <w:szCs w:val="18"/>
          <w:color w:val="auto"/>
        </w:rPr>
      </w:pPr>
    </w:p>
    <w:p>
      <w:pPr>
        <w:ind w:left="2520" w:hanging="506"/>
        <w:spacing w:after="0"/>
        <w:tabs>
          <w:tab w:leader="none" w:pos="2520" w:val="left"/>
        </w:tabs>
        <w:numPr>
          <w:ilvl w:val="2"/>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Our Board of Directors recommends that you vote FOR the Amendment to our Restated Certfcate of Incorporaton.</w:t>
      </w:r>
    </w:p>
    <w:p>
      <w:pPr>
        <w:spacing w:after="0" w:line="109" w:lineRule="exact"/>
        <w:rPr>
          <w:rFonts w:ascii="Times New Roman" w:cs="Times New Roman" w:eastAsia="Times New Roman" w:hAnsi="Times New Roman"/>
          <w:sz w:val="18"/>
          <w:szCs w:val="18"/>
          <w:color w:val="auto"/>
        </w:rPr>
      </w:pPr>
    </w:p>
    <w:p>
      <w:pPr>
        <w:ind w:left="1500" w:right="20" w:hanging="690"/>
        <w:spacing w:after="0" w:line="235" w:lineRule="auto"/>
        <w:tabs>
          <w:tab w:leader="none" w:pos="1122" w:val="left"/>
        </w:tabs>
        <w:numPr>
          <w:ilvl w:val="1"/>
          <w:numId w:val="7"/>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Approval of the Expected Appointment of Ernst &amp; Young LLP. </w:t>
      </w:r>
      <w:r>
        <w:rPr>
          <w:rFonts w:ascii="Calibri" w:cs="Calibri" w:eastAsia="Calibri" w:hAnsi="Calibri"/>
          <w:sz w:val="18"/>
          <w:szCs w:val="18"/>
          <w:color w:val="auto"/>
        </w:rPr>
        <w:t>We are asking you to approve the expected appointment by our Audit Commitee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 Ernst &amp; Young LLP as the Company’s independent auditors for the fscal year ending March 31, 2025.</w:t>
      </w:r>
    </w:p>
    <w:p>
      <w:pPr>
        <w:spacing w:after="0" w:line="123" w:lineRule="exact"/>
        <w:rPr>
          <w:rFonts w:ascii="Calibri" w:cs="Calibri" w:eastAsia="Calibri" w:hAnsi="Calibri"/>
          <w:sz w:val="18"/>
          <w:szCs w:val="18"/>
          <w:color w:val="auto"/>
        </w:rPr>
      </w:pPr>
    </w:p>
    <w:p>
      <w:pPr>
        <w:ind w:left="2520" w:right="80" w:hanging="506"/>
        <w:spacing w:after="0" w:line="235" w:lineRule="auto"/>
        <w:tabs>
          <w:tab w:leader="none" w:pos="2520" w:val="left"/>
        </w:tabs>
        <w:numPr>
          <w:ilvl w:val="2"/>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Our Board of Directors recommends that you vote FOR the approval of the expected appointment of Ernst &amp; Young LLP as the Company’s independent auditors for the fscal year ending March 31, 2025.</w:t>
      </w:r>
    </w:p>
    <w:p>
      <w:pPr>
        <w:spacing w:after="0" w:line="109" w:lineRule="exact"/>
        <w:rPr>
          <w:rFonts w:ascii="Times New Roman" w:cs="Times New Roman" w:eastAsia="Times New Roman" w:hAnsi="Times New Roman"/>
          <w:sz w:val="18"/>
          <w:szCs w:val="18"/>
          <w:color w:val="auto"/>
        </w:rPr>
      </w:pPr>
    </w:p>
    <w:p>
      <w:pPr>
        <w:ind w:left="1500" w:right="280" w:hanging="690"/>
        <w:spacing w:after="0" w:line="235" w:lineRule="auto"/>
        <w:tabs>
          <w:tab w:leader="none" w:pos="1122" w:val="left"/>
        </w:tabs>
        <w:numPr>
          <w:ilvl w:val="1"/>
          <w:numId w:val="7"/>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Other Business. </w:t>
      </w:r>
      <w:r>
        <w:rPr>
          <w:rFonts w:ascii="Calibri" w:cs="Calibri" w:eastAsia="Calibri" w:hAnsi="Calibri"/>
          <w:sz w:val="18"/>
          <w:szCs w:val="18"/>
          <w:color w:val="auto"/>
        </w:rPr>
        <w:t>In additon, you may be asked to vote upon such other maters, if any, as properly come before the annual meetng, or any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adjournment thereof.</w:t>
      </w:r>
    </w:p>
    <w:p>
      <w:pPr>
        <w:spacing w:after="0" w:line="21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Our Board of Directors does not know of any maters to be acted upon at the meetng other than the maters set forth in items (1) through (4)</w:t>
      </w:r>
    </w:p>
    <w:p>
      <w:pPr>
        <w:spacing w:after="0" w:line="235" w:lineRule="auto"/>
        <w:rPr>
          <w:sz w:val="20"/>
          <w:szCs w:val="20"/>
          <w:color w:val="auto"/>
        </w:rPr>
      </w:pPr>
      <w:r>
        <w:rPr>
          <w:rFonts w:ascii="Calibri" w:cs="Calibri" w:eastAsia="Calibri" w:hAnsi="Calibri"/>
          <w:sz w:val="18"/>
          <w:szCs w:val="18"/>
          <w:color w:val="auto"/>
        </w:rPr>
        <w:t>above.</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 w:name="page7"/>
    <w:bookmarkEnd w:id="6"/>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32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jc w:val="center"/>
        <w:ind w:right="39"/>
        <w:spacing w:after="0"/>
        <w:rPr>
          <w:sz w:val="20"/>
          <w:szCs w:val="20"/>
          <w:color w:val="auto"/>
        </w:rPr>
      </w:pPr>
      <w:r>
        <w:rPr>
          <w:rFonts w:ascii="Calibri" w:cs="Calibri" w:eastAsia="Calibri" w:hAnsi="Calibri"/>
          <w:sz w:val="18"/>
          <w:szCs w:val="18"/>
          <w:b w:val="1"/>
          <w:bCs w:val="1"/>
          <w:color w:val="auto"/>
        </w:rPr>
        <w:t>IMPORTANT NOTICE REGARDING THE AVAILABILITY</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OF PROXY MATERIALS FOR THE ANNUAL MEETING</w:t>
      </w:r>
    </w:p>
    <w:p>
      <w:pPr>
        <w:jc w:val="center"/>
        <w:spacing w:after="0" w:line="236" w:lineRule="auto"/>
        <w:rPr>
          <w:sz w:val="20"/>
          <w:szCs w:val="20"/>
          <w:color w:val="auto"/>
        </w:rPr>
      </w:pPr>
      <w:r>
        <w:rPr>
          <w:rFonts w:ascii="Calibri" w:cs="Calibri" w:eastAsia="Calibri" w:hAnsi="Calibri"/>
          <w:sz w:val="18"/>
          <w:szCs w:val="18"/>
          <w:b w:val="1"/>
          <w:bCs w:val="1"/>
          <w:color w:val="auto"/>
        </w:rPr>
        <w:t>OF STOCKHOLDERS TO BE HELD ON</w:t>
      </w:r>
    </w:p>
    <w:p>
      <w:pPr>
        <w:jc w:val="center"/>
        <w:spacing w:after="0" w:line="236" w:lineRule="auto"/>
        <w:rPr>
          <w:sz w:val="20"/>
          <w:szCs w:val="20"/>
          <w:color w:val="auto"/>
        </w:rPr>
      </w:pPr>
      <w:r>
        <w:rPr>
          <w:rFonts w:ascii="Calibri" w:cs="Calibri" w:eastAsia="Calibri" w:hAnsi="Calibri"/>
          <w:sz w:val="18"/>
          <w:szCs w:val="18"/>
          <w:b w:val="1"/>
          <w:bCs w:val="1"/>
          <w:color w:val="auto"/>
        </w:rPr>
        <w:t>AUGUST 1, 2024.</w:t>
      </w:r>
    </w:p>
    <w:p>
      <w:pPr>
        <w:spacing w:after="0" w:line="213" w:lineRule="exact"/>
        <w:rPr>
          <w:sz w:val="20"/>
          <w:szCs w:val="20"/>
          <w:color w:val="auto"/>
        </w:rPr>
      </w:pPr>
    </w:p>
    <w:p>
      <w:pPr>
        <w:ind w:left="2720"/>
        <w:spacing w:after="0"/>
        <w:rPr>
          <w:sz w:val="20"/>
          <w:szCs w:val="20"/>
          <w:color w:val="auto"/>
        </w:rPr>
      </w:pPr>
      <w:r>
        <w:rPr>
          <w:rFonts w:ascii="Calibri" w:cs="Calibri" w:eastAsia="Calibri" w:hAnsi="Calibri"/>
          <w:sz w:val="18"/>
          <w:szCs w:val="18"/>
          <w:b w:val="1"/>
          <w:bCs w:val="1"/>
          <w:color w:val="auto"/>
        </w:rPr>
        <w:t>Our Proxy Statement and 2024 Annual Report to</w:t>
      </w:r>
    </w:p>
    <w:p>
      <w:pPr>
        <w:spacing w:after="0" w:line="1" w:lineRule="exact"/>
        <w:rPr>
          <w:sz w:val="20"/>
          <w:szCs w:val="20"/>
          <w:color w:val="auto"/>
        </w:rPr>
      </w:pPr>
    </w:p>
    <w:p>
      <w:pPr>
        <w:ind w:left="2420"/>
        <w:spacing w:after="0"/>
        <w:rPr>
          <w:sz w:val="20"/>
          <w:szCs w:val="20"/>
          <w:color w:val="auto"/>
        </w:rPr>
      </w:pPr>
      <w:r>
        <w:rPr>
          <w:rFonts w:ascii="Calibri" w:cs="Calibri" w:eastAsia="Calibri" w:hAnsi="Calibri"/>
          <w:sz w:val="17"/>
          <w:szCs w:val="17"/>
          <w:b w:val="1"/>
          <w:bCs w:val="1"/>
          <w:color w:val="auto"/>
        </w:rPr>
        <w:t>stockholders are available to you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94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jc w:val="center"/>
        <w:ind w:right="-59"/>
        <w:spacing w:after="0"/>
        <w:rPr>
          <w:sz w:val="20"/>
          <w:szCs w:val="20"/>
          <w:color w:val="auto"/>
        </w:rPr>
      </w:pPr>
      <w:r>
        <w:rPr>
          <w:rFonts w:ascii="Calibri" w:cs="Calibri" w:eastAsia="Calibri" w:hAnsi="Calibri"/>
          <w:sz w:val="25"/>
          <w:szCs w:val="25"/>
          <w:b w:val="1"/>
          <w:bCs w:val="1"/>
          <w:color w:val="4472C4"/>
        </w:rPr>
        <w:t>ABOUT THE MEETING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Who Can Vote</w:t>
      </w:r>
    </w:p>
    <w:p>
      <w:pPr>
        <w:spacing w:after="0" w:line="109" w:lineRule="exact"/>
        <w:rPr>
          <w:sz w:val="20"/>
          <w:szCs w:val="20"/>
          <w:color w:val="auto"/>
        </w:rPr>
      </w:pPr>
    </w:p>
    <w:p>
      <w:pPr>
        <w:jc w:val="both"/>
        <w:ind w:right="20" w:firstLine="749"/>
        <w:spacing w:after="0" w:line="235" w:lineRule="auto"/>
        <w:rPr>
          <w:sz w:val="20"/>
          <w:szCs w:val="20"/>
          <w:color w:val="auto"/>
        </w:rPr>
      </w:pPr>
      <w:r>
        <w:rPr>
          <w:rFonts w:ascii="Calibri" w:cs="Calibri" w:eastAsia="Calibri" w:hAnsi="Calibri"/>
          <w:sz w:val="18"/>
          <w:szCs w:val="18"/>
          <w:color w:val="auto"/>
        </w:rPr>
        <w:t>The record date for the determinaton of holders of the Company’s Common Stock, par value $0.01 per share, which we refer to as our “Common Stock,” enttled to notce of and to vote at the meetng, or any adjournment or postponement of the meetng, is the close of business on June 3, 2024. In this Proxy Statement, we refer to this date as the record date. As of the record date, there were 33,857,658 shares of our Common Stock issued and outstanding and enttled to vote at the meetng. Our stock transfer books will not be closed in connecton with the meetng. Our Common Stock is listed on the New York Stock Exchange (“NYSE”) under the symbol EXP.</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How Proxies Will be Voted</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Shares represented by valid proxies will be voted at the meetng in accordance with the directons given. If the enclosed proxy card is signed and returned without any directon given, the shares will be voted in the manner, if any, recommended by the Board. The Board does not intend to present, and has no informaton indicatng that others will present, any business at the annual meetng other than as set forth in the atached Notce of Annual Meetng of Stockholders. However, if other maters requiring the vote of our stockholders properly come before the meetng, it is the intenton of the persons named in the accompanying form of proxy to vote the proxies held by them in accordance with their best judgment in such maters.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Quorum and Required Vote</w:t>
      </w:r>
    </w:p>
    <w:p>
      <w:pPr>
        <w:spacing w:after="0" w:line="109"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Before any business can be transacted at our annual meetng, a quorum must be present. The presence at the meetng, in person or represented by proxy, of the holders of a majority of the votng power of the shares of our capital stock enttled to vote on any mater shall consttute a quorum for purposes of such mater. Abstentons will be included in determining the presence of a quorum at the meetng. Broker non-votes will be included in determining the presence of a quorum at the meetng in relaton to maters that are considered “routne maters.” The only "routne mater" on which a broker may cast a vote is the approval of the expected appointment of Ernst &amp; Young LLP as our independent auditors for the fscal year ending March 31, 2025.</w:t>
      </w:r>
    </w:p>
    <w:p>
      <w:pPr>
        <w:spacing w:after="0" w:line="113" w:lineRule="exact"/>
        <w:rPr>
          <w:sz w:val="20"/>
          <w:szCs w:val="20"/>
          <w:color w:val="auto"/>
        </w:rPr>
      </w:pPr>
    </w:p>
    <w:p>
      <w:pPr>
        <w:ind w:right="460" w:firstLine="749"/>
        <w:spacing w:after="0" w:line="235" w:lineRule="auto"/>
        <w:rPr>
          <w:sz w:val="20"/>
          <w:szCs w:val="20"/>
          <w:color w:val="auto"/>
        </w:rPr>
      </w:pPr>
      <w:r>
        <w:rPr>
          <w:rFonts w:ascii="Calibri" w:cs="Calibri" w:eastAsia="Calibri" w:hAnsi="Calibri"/>
          <w:sz w:val="18"/>
          <w:szCs w:val="18"/>
          <w:color w:val="auto"/>
        </w:rPr>
        <w:t>The holders of Common Stock will be enttled to one vote per share on each mater that may properly be brought before the meetng or any adjournment thereof. There is no cumulatve votng. A summary of the required vote for each proposal is as follows:</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264"/>
        </w:trPr>
        <w:tc>
          <w:tcPr>
            <w:tcW w:w="2600" w:type="dxa"/>
            <w:vAlign w:val="bottom"/>
            <w:tcBorders>
              <w:bottom w:val="single" w:sz="8" w:color="auto"/>
            </w:tcBorders>
          </w:tcPr>
          <w:p>
            <w:pPr>
              <w:ind w:left="1000"/>
              <w:spacing w:after="0"/>
              <w:rPr>
                <w:sz w:val="20"/>
                <w:szCs w:val="20"/>
                <w:color w:val="auto"/>
              </w:rPr>
            </w:pPr>
            <w:r>
              <w:rPr>
                <w:rFonts w:ascii="Calibri" w:cs="Calibri" w:eastAsia="Calibri" w:hAnsi="Calibri"/>
                <w:sz w:val="16"/>
                <w:szCs w:val="16"/>
                <w:b w:val="1"/>
                <w:bCs w:val="1"/>
                <w:color w:val="auto"/>
              </w:rPr>
              <w:t>Proposal</w:t>
            </w:r>
          </w:p>
        </w:tc>
        <w:tc>
          <w:tcPr>
            <w:tcW w:w="120" w:type="dxa"/>
            <w:vAlign w:val="bottom"/>
          </w:tcPr>
          <w:p>
            <w:pPr>
              <w:spacing w:after="0"/>
              <w:rPr>
                <w:sz w:val="22"/>
                <w:szCs w:val="22"/>
                <w:color w:val="auto"/>
              </w:rPr>
            </w:pPr>
          </w:p>
        </w:tc>
        <w:tc>
          <w:tcPr>
            <w:tcW w:w="2360" w:type="dxa"/>
            <w:vAlign w:val="bottom"/>
            <w:tcBorders>
              <w:bottom w:val="single" w:sz="8" w:color="auto"/>
            </w:tcBorders>
          </w:tcPr>
          <w:p>
            <w:pPr>
              <w:ind w:left="700"/>
              <w:spacing w:after="0"/>
              <w:rPr>
                <w:sz w:val="20"/>
                <w:szCs w:val="20"/>
                <w:color w:val="auto"/>
              </w:rPr>
            </w:pPr>
            <w:r>
              <w:rPr>
                <w:rFonts w:ascii="Calibri" w:cs="Calibri" w:eastAsia="Calibri" w:hAnsi="Calibri"/>
                <w:sz w:val="16"/>
                <w:szCs w:val="16"/>
                <w:b w:val="1"/>
                <w:bCs w:val="1"/>
                <w:color w:val="auto"/>
              </w:rPr>
              <w:t>Required Vote</w:t>
            </w:r>
          </w:p>
        </w:tc>
        <w:tc>
          <w:tcPr>
            <w:tcW w:w="120" w:type="dxa"/>
            <w:vAlign w:val="bottom"/>
          </w:tcPr>
          <w:p>
            <w:pPr>
              <w:spacing w:after="0"/>
              <w:rPr>
                <w:sz w:val="22"/>
                <w:szCs w:val="22"/>
                <w:color w:val="auto"/>
              </w:rPr>
            </w:pPr>
          </w:p>
        </w:tc>
        <w:tc>
          <w:tcPr>
            <w:tcW w:w="2000" w:type="dxa"/>
            <w:vAlign w:val="bottom"/>
            <w:tcBorders>
              <w:bottom w:val="single" w:sz="8" w:color="auto"/>
            </w:tcBorders>
          </w:tcPr>
          <w:p>
            <w:pPr>
              <w:ind w:left="300"/>
              <w:spacing w:after="0"/>
              <w:rPr>
                <w:sz w:val="20"/>
                <w:szCs w:val="20"/>
                <w:color w:val="auto"/>
              </w:rPr>
            </w:pPr>
            <w:r>
              <w:rPr>
                <w:rFonts w:ascii="Calibri" w:cs="Calibri" w:eastAsia="Calibri" w:hAnsi="Calibri"/>
                <w:sz w:val="16"/>
                <w:szCs w:val="16"/>
                <w:b w:val="1"/>
                <w:bCs w:val="1"/>
                <w:color w:val="auto"/>
              </w:rPr>
              <w:t>Efect of Abstentons</w:t>
            </w:r>
          </w:p>
        </w:tc>
        <w:tc>
          <w:tcPr>
            <w:tcW w:w="100" w:type="dxa"/>
            <w:vAlign w:val="bottom"/>
          </w:tcPr>
          <w:p>
            <w:pPr>
              <w:spacing w:after="0"/>
              <w:rPr>
                <w:sz w:val="22"/>
                <w:szCs w:val="22"/>
                <w:color w:val="auto"/>
              </w:rPr>
            </w:pPr>
          </w:p>
        </w:tc>
        <w:tc>
          <w:tcPr>
            <w:tcW w:w="2020" w:type="dxa"/>
            <w:vAlign w:val="bottom"/>
            <w:tcBorders>
              <w:bottom w:val="single" w:sz="8" w:color="auto"/>
            </w:tcBorders>
          </w:tcPr>
          <w:p>
            <w:pPr>
              <w:ind w:left="60"/>
              <w:spacing w:after="0"/>
              <w:rPr>
                <w:sz w:val="20"/>
                <w:szCs w:val="20"/>
                <w:color w:val="auto"/>
              </w:rPr>
            </w:pPr>
            <w:r>
              <w:rPr>
                <w:rFonts w:ascii="Calibri" w:cs="Calibri" w:eastAsia="Calibri" w:hAnsi="Calibri"/>
                <w:sz w:val="16"/>
                <w:szCs w:val="16"/>
                <w:b w:val="1"/>
                <w:bCs w:val="1"/>
                <w:color w:val="auto"/>
              </w:rPr>
              <w:t>Efect of Broker Non-Votes</w:t>
            </w:r>
            <w:r>
              <w:rPr>
                <w:rFonts w:ascii="Calibri" w:cs="Calibri" w:eastAsia="Calibri" w:hAnsi="Calibri"/>
                <w:sz w:val="21"/>
                <w:szCs w:val="21"/>
                <w:b w:val="1"/>
                <w:bCs w:val="1"/>
                <w:color w:val="auto"/>
                <w:vertAlign w:val="superscript"/>
              </w:rPr>
              <w:t>(1)</w:t>
            </w:r>
          </w:p>
        </w:tc>
      </w:tr>
      <w:tr>
        <w:trPr>
          <w:trHeight w:val="184"/>
        </w:trPr>
        <w:tc>
          <w:tcPr>
            <w:tcW w:w="2600" w:type="dxa"/>
            <w:vAlign w:val="bottom"/>
          </w:tcPr>
          <w:p>
            <w:pPr>
              <w:ind w:left="20"/>
              <w:spacing w:after="0" w:line="184" w:lineRule="exact"/>
              <w:rPr>
                <w:sz w:val="20"/>
                <w:szCs w:val="20"/>
                <w:color w:val="auto"/>
              </w:rPr>
            </w:pPr>
            <w:r>
              <w:rPr>
                <w:rFonts w:ascii="Calibri" w:cs="Calibri" w:eastAsia="Calibri" w:hAnsi="Calibri"/>
                <w:sz w:val="16"/>
                <w:szCs w:val="16"/>
                <w:color w:val="auto"/>
              </w:rPr>
              <w:t>(1) Electon of Directors</w:t>
            </w:r>
          </w:p>
        </w:tc>
        <w:tc>
          <w:tcPr>
            <w:tcW w:w="120" w:type="dxa"/>
            <w:vAlign w:val="bottom"/>
          </w:tcPr>
          <w:p>
            <w:pPr>
              <w:spacing w:after="0"/>
              <w:rPr>
                <w:sz w:val="16"/>
                <w:szCs w:val="16"/>
                <w:color w:val="auto"/>
              </w:rPr>
            </w:pPr>
          </w:p>
        </w:tc>
        <w:tc>
          <w:tcPr>
            <w:tcW w:w="2360" w:type="dxa"/>
            <w:vAlign w:val="bottom"/>
          </w:tcPr>
          <w:p>
            <w:pPr>
              <w:ind w:left="20"/>
              <w:spacing w:after="0" w:line="184" w:lineRule="exact"/>
              <w:rPr>
                <w:sz w:val="20"/>
                <w:szCs w:val="20"/>
                <w:color w:val="auto"/>
              </w:rPr>
            </w:pPr>
            <w:r>
              <w:rPr>
                <w:rFonts w:ascii="Calibri" w:cs="Calibri" w:eastAsia="Calibri" w:hAnsi="Calibri"/>
                <w:sz w:val="16"/>
                <w:szCs w:val="16"/>
                <w:color w:val="auto"/>
              </w:rPr>
              <w:t>Majority of votes cast by the shares</w:t>
            </w:r>
          </w:p>
        </w:tc>
        <w:tc>
          <w:tcPr>
            <w:tcW w:w="120" w:type="dxa"/>
            <w:vAlign w:val="bottom"/>
          </w:tcPr>
          <w:p>
            <w:pPr>
              <w:spacing w:after="0"/>
              <w:rPr>
                <w:sz w:val="16"/>
                <w:szCs w:val="16"/>
                <w:color w:val="auto"/>
              </w:rPr>
            </w:pPr>
          </w:p>
        </w:tc>
        <w:tc>
          <w:tcPr>
            <w:tcW w:w="2000" w:type="dxa"/>
            <w:vAlign w:val="bottom"/>
          </w:tcPr>
          <w:p>
            <w:pPr>
              <w:spacing w:after="0" w:line="184" w:lineRule="exact"/>
              <w:rPr>
                <w:sz w:val="20"/>
                <w:szCs w:val="20"/>
                <w:color w:val="auto"/>
              </w:rPr>
            </w:pPr>
            <w:r>
              <w:rPr>
                <w:rFonts w:ascii="Calibri" w:cs="Calibri" w:eastAsia="Calibri" w:hAnsi="Calibri"/>
                <w:sz w:val="16"/>
                <w:szCs w:val="16"/>
                <w:color w:val="auto"/>
              </w:rPr>
              <w:t>No efect</w:t>
            </w:r>
          </w:p>
        </w:tc>
        <w:tc>
          <w:tcPr>
            <w:tcW w:w="100" w:type="dxa"/>
            <w:vAlign w:val="bottom"/>
          </w:tcPr>
          <w:p>
            <w:pPr>
              <w:spacing w:after="0"/>
              <w:rPr>
                <w:sz w:val="16"/>
                <w:szCs w:val="16"/>
                <w:color w:val="auto"/>
              </w:rPr>
            </w:pPr>
          </w:p>
        </w:tc>
        <w:tc>
          <w:tcPr>
            <w:tcW w:w="2020" w:type="dxa"/>
            <w:vAlign w:val="bottom"/>
          </w:tcPr>
          <w:p>
            <w:pPr>
              <w:ind w:left="20"/>
              <w:spacing w:after="0" w:line="184" w:lineRule="exact"/>
              <w:rPr>
                <w:sz w:val="20"/>
                <w:szCs w:val="20"/>
                <w:color w:val="auto"/>
              </w:rPr>
            </w:pPr>
            <w:r>
              <w:rPr>
                <w:rFonts w:ascii="Calibri" w:cs="Calibri" w:eastAsia="Calibri" w:hAnsi="Calibri"/>
                <w:sz w:val="16"/>
                <w:szCs w:val="16"/>
                <w:color w:val="auto"/>
              </w:rPr>
              <w:t>No efect</w:t>
            </w:r>
          </w:p>
        </w:tc>
      </w:tr>
      <w:tr>
        <w:trPr>
          <w:trHeight w:val="194"/>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ind w:left="20"/>
              <w:spacing w:after="0" w:line="193" w:lineRule="exact"/>
              <w:rPr>
                <w:sz w:val="20"/>
                <w:szCs w:val="20"/>
                <w:color w:val="auto"/>
              </w:rPr>
            </w:pPr>
            <w:r>
              <w:rPr>
                <w:rFonts w:ascii="Calibri" w:cs="Calibri" w:eastAsia="Calibri" w:hAnsi="Calibri"/>
                <w:sz w:val="16"/>
                <w:szCs w:val="16"/>
                <w:color w:val="auto"/>
              </w:rPr>
              <w:t>present in person or represented</w:t>
            </w: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Calibri" w:cs="Calibri" w:eastAsia="Calibri" w:hAnsi="Calibri"/>
                <w:sz w:val="16"/>
                <w:szCs w:val="16"/>
                <w:color w:val="auto"/>
              </w:rPr>
              <w:t>by proxy at the meetng and</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2"/>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Calibri" w:cs="Calibri" w:eastAsia="Calibri" w:hAnsi="Calibri"/>
                <w:sz w:val="16"/>
                <w:szCs w:val="16"/>
                <w:color w:val="auto"/>
              </w:rPr>
              <w:t>enttled to vote (the shares voted</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Calibri" w:cs="Calibri" w:eastAsia="Calibri" w:hAnsi="Calibri"/>
                <w:sz w:val="16"/>
                <w:szCs w:val="16"/>
                <w:color w:val="auto"/>
              </w:rPr>
              <w:t>"for" a nominee must exceed the</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Calibri" w:cs="Calibri" w:eastAsia="Calibri" w:hAnsi="Calibri"/>
                <w:sz w:val="16"/>
                <w:szCs w:val="16"/>
                <w:color w:val="auto"/>
              </w:rPr>
              <w:t>number voted "against" that</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Calibri" w:cs="Calibri" w:eastAsia="Calibri" w:hAnsi="Calibri"/>
                <w:sz w:val="16"/>
                <w:szCs w:val="16"/>
                <w:color w:val="auto"/>
              </w:rPr>
              <w:t>nominee)</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80"/>
          </w:cols>
          <w:pgMar w:left="320" w:top="976" w:right="399" w:bottom="1440" w:gutter="0" w:footer="0" w:header="0"/>
        </w:sectPr>
      </w:pPr>
    </w:p>
    <w:p>
      <w:pPr>
        <w:spacing w:after="0" w:line="200" w:lineRule="exact"/>
        <w:rPr>
          <w:sz w:val="20"/>
          <w:szCs w:val="20"/>
          <w:color w:val="auto"/>
        </w:rPr>
      </w:pPr>
    </w:p>
    <w:p>
      <w:pPr>
        <w:ind w:left="980"/>
        <w:spacing w:after="0" w:line="247" w:lineRule="auto"/>
        <w:tabs>
          <w:tab w:leader="none" w:pos="1197" w:val="left"/>
        </w:tabs>
        <w:numPr>
          <w:ilvl w:val="0"/>
          <w:numId w:val="8"/>
        </w:numPr>
        <w:rPr>
          <w:rFonts w:ascii="Calibri" w:cs="Calibri" w:eastAsia="Calibri" w:hAnsi="Calibri"/>
          <w:sz w:val="16"/>
          <w:szCs w:val="16"/>
          <w:color w:val="auto"/>
        </w:rPr>
      </w:pPr>
      <w:r>
        <w:rPr>
          <w:rFonts w:ascii="Calibri" w:cs="Calibri" w:eastAsia="Calibri" w:hAnsi="Calibri"/>
          <w:sz w:val="16"/>
          <w:szCs w:val="16"/>
          <w:color w:val="auto"/>
        </w:rPr>
        <w:t>Advisory vote to approve the compensaton of our Named Executve Ofcers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248" w:lineRule="auto"/>
        <w:rPr>
          <w:sz w:val="20"/>
          <w:szCs w:val="20"/>
          <w:color w:val="auto"/>
        </w:rPr>
      </w:pPr>
      <w:r>
        <w:rPr>
          <w:rFonts w:ascii="Calibri" w:cs="Calibri" w:eastAsia="Calibri" w:hAnsi="Calibri"/>
          <w:sz w:val="16"/>
          <w:szCs w:val="16"/>
          <w:color w:val="auto"/>
        </w:rPr>
        <w:t>Afrmatve vote of a majority of the shares present in person or represented by proxy at the meetng and enttled to vote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300"/>
        <w:spacing w:after="0" w:line="246" w:lineRule="auto"/>
        <w:rPr>
          <w:sz w:val="20"/>
          <w:szCs w:val="20"/>
          <w:color w:val="auto"/>
        </w:rPr>
      </w:pPr>
      <w:r>
        <w:rPr>
          <w:rFonts w:ascii="Calibri" w:cs="Calibri" w:eastAsia="Calibri" w:hAnsi="Calibri"/>
          <w:sz w:val="16"/>
          <w:szCs w:val="16"/>
          <w:color w:val="auto"/>
        </w:rPr>
        <w:t>Same efect as a vote against No efect the proposal</w:t>
      </w:r>
    </w:p>
    <w:p>
      <w:pPr>
        <w:spacing w:after="0" w:line="606" w:lineRule="exact"/>
        <w:rPr>
          <w:sz w:val="20"/>
          <w:szCs w:val="20"/>
          <w:color w:val="auto"/>
        </w:rPr>
      </w:pPr>
    </w:p>
    <w:p>
      <w:pPr>
        <w:sectPr>
          <w:pgSz w:w="11900" w:h="16838" w:orient="portrait"/>
          <w:cols w:equalWidth="0" w:num="3">
            <w:col w:w="3520" w:space="180"/>
            <w:col w:w="2100" w:space="360"/>
            <w:col w:w="5020"/>
          </w:cols>
          <w:pgMar w:left="320" w:top="976" w:right="399" w:bottom="1440" w:gutter="0" w:footer="0" w:header="0"/>
          <w:type w:val="continuous"/>
        </w:sectPr>
      </w:pPr>
    </w:p>
    <w:p>
      <w:pPr>
        <w:spacing w:after="0" w:line="300" w:lineRule="exact"/>
        <w:rPr>
          <w:sz w:val="20"/>
          <w:szCs w:val="20"/>
          <w:color w:val="auto"/>
        </w:rPr>
      </w:pPr>
    </w:p>
    <w:p>
      <w:pPr>
        <w:ind w:left="980"/>
        <w:spacing w:after="0"/>
        <w:tabs>
          <w:tab w:leader="none" w:pos="3680" w:val="left"/>
          <w:tab w:leader="none" w:pos="6140" w:val="left"/>
        </w:tabs>
        <w:rPr>
          <w:sz w:val="20"/>
          <w:szCs w:val="20"/>
          <w:color w:val="auto"/>
        </w:rPr>
      </w:pPr>
      <w:r>
        <w:rPr>
          <w:rFonts w:ascii="Calibri" w:cs="Calibri" w:eastAsia="Calibri" w:hAnsi="Calibri"/>
          <w:sz w:val="16"/>
          <w:szCs w:val="16"/>
          <w:color w:val="auto"/>
        </w:rPr>
        <w:t>(3) Approval of an Amendment to our</w:t>
        <w:tab/>
        <w:t>Majority of the outstanding shares</w:t>
        <w:tab/>
        <w:t>Same efect as a vote against</w:t>
      </w:r>
    </w:p>
    <w:p>
      <w:pPr>
        <w:spacing w:after="0" w:line="7" w:lineRule="exact"/>
        <w:rPr>
          <w:sz w:val="20"/>
          <w:szCs w:val="20"/>
          <w:color w:val="auto"/>
        </w:rPr>
      </w:pPr>
    </w:p>
    <w:p>
      <w:pPr>
        <w:ind w:left="980"/>
        <w:spacing w:after="0"/>
        <w:tabs>
          <w:tab w:leader="none" w:pos="6140" w:val="left"/>
        </w:tabs>
        <w:rPr>
          <w:sz w:val="20"/>
          <w:szCs w:val="20"/>
          <w:color w:val="auto"/>
        </w:rPr>
      </w:pPr>
      <w:r>
        <w:rPr>
          <w:rFonts w:ascii="Calibri" w:cs="Calibri" w:eastAsia="Calibri" w:hAnsi="Calibri"/>
          <w:sz w:val="16"/>
          <w:szCs w:val="16"/>
          <w:color w:val="auto"/>
        </w:rPr>
        <w:t>Restated Certfcate of Incorporaton</w:t>
      </w:r>
      <w:r>
        <w:rPr>
          <w:sz w:val="20"/>
          <w:szCs w:val="20"/>
          <w:color w:val="auto"/>
        </w:rPr>
        <w:tab/>
      </w:r>
      <w:r>
        <w:rPr>
          <w:rFonts w:ascii="Calibri" w:cs="Calibri" w:eastAsia="Calibri" w:hAnsi="Calibri"/>
          <w:sz w:val="16"/>
          <w:szCs w:val="16"/>
          <w:color w:val="auto"/>
        </w:rPr>
        <w:t>the proposal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000"/>
        <w:spacing w:after="0" w:line="246" w:lineRule="auto"/>
        <w:rPr>
          <w:sz w:val="20"/>
          <w:szCs w:val="20"/>
          <w:color w:val="auto"/>
        </w:rPr>
      </w:pPr>
      <w:r>
        <w:rPr>
          <w:rFonts w:ascii="Calibri" w:cs="Calibri" w:eastAsia="Calibri" w:hAnsi="Calibri"/>
          <w:sz w:val="16"/>
          <w:szCs w:val="16"/>
          <w:color w:val="auto"/>
        </w:rPr>
        <w:t>Same efect as a vote against the proposal</w:t>
      </w:r>
    </w:p>
    <w:p>
      <w:pPr>
        <w:spacing w:after="0" w:line="200" w:lineRule="exact"/>
        <w:rPr>
          <w:sz w:val="20"/>
          <w:szCs w:val="20"/>
          <w:color w:val="auto"/>
        </w:rPr>
      </w:pPr>
    </w:p>
    <w:p>
      <w:pPr>
        <w:sectPr>
          <w:pgSz w:w="11900" w:h="16838" w:orient="portrait"/>
          <w:cols w:equalWidth="0" w:num="2">
            <w:col w:w="8060" w:space="220"/>
            <w:col w:w="2900"/>
          </w:cols>
          <w:pgMar w:left="320" w:top="976" w:right="399" w:bottom="1440" w:gutter="0" w:footer="0" w:header="0"/>
          <w:type w:val="continuous"/>
        </w:sectPr>
      </w:pPr>
    </w:p>
    <w:p>
      <w:pPr>
        <w:spacing w:after="0" w:line="28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17" w:lineRule="exact"/>
        <w:rPr>
          <w:sz w:val="20"/>
          <w:szCs w:val="20"/>
          <w:color w:val="auto"/>
        </w:rPr>
      </w:pPr>
    </w:p>
    <w:p>
      <w:pPr>
        <w:jc w:val="center"/>
        <w:ind w:right="-79"/>
        <w:spacing w:after="0"/>
        <w:rPr>
          <w:sz w:val="20"/>
          <w:szCs w:val="20"/>
          <w:color w:val="auto"/>
        </w:rPr>
      </w:pPr>
      <w:r>
        <w:rPr>
          <w:rFonts w:ascii="Calibri" w:cs="Calibri" w:eastAsia="Calibri" w:hAnsi="Calibri"/>
          <w:sz w:val="19"/>
          <w:szCs w:val="19"/>
          <w:color w:val="auto"/>
        </w:rPr>
        <w:t>Eagle Materials Inc. - 2024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type w:val="continuous"/>
        </w:sectPr>
      </w:pPr>
    </w:p>
    <w:bookmarkStart w:id="8" w:name="page9"/>
    <w:bookmarkEnd w:id="8"/>
    <w:p>
      <w:pPr>
        <w:spacing w:after="0" w:line="2" w:lineRule="exact"/>
        <w:rPr>
          <w:sz w:val="20"/>
          <w:szCs w:val="20"/>
          <w:color w:val="auto"/>
        </w:rPr>
      </w:pPr>
    </w:p>
    <w:p>
      <w:pPr>
        <w:ind w:left="980"/>
        <w:spacing w:after="0" w:line="248" w:lineRule="auto"/>
        <w:tabs>
          <w:tab w:leader="none" w:pos="1197"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Approval of the expected appointment of Ernst &amp; Young LLP as our independent auditors for the fscal year ending March 31, 2025</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Calibri" w:cs="Calibri" w:eastAsia="Calibri" w:hAnsi="Calibri"/>
          <w:sz w:val="16"/>
          <w:szCs w:val="16"/>
          <w:color w:val="auto"/>
        </w:rPr>
        <w:t>Afrmatve vote of a majority of the shares present in person or represented by proxy at the meetng and enttled to vote</w:t>
      </w:r>
    </w:p>
    <w:p>
      <w:pPr>
        <w:spacing w:after="0" w:line="20" w:lineRule="exact"/>
        <w:rPr>
          <w:sz w:val="20"/>
          <w:szCs w:val="20"/>
          <w:color w:val="auto"/>
        </w:rPr>
      </w:pPr>
      <w:r>
        <w:rPr>
          <w:sz w:val="20"/>
          <w:szCs w:val="20"/>
          <w:color w:val="auto"/>
        </w:rPr>
        <w:br w:type="column"/>
      </w:r>
    </w:p>
    <w:p>
      <w:pPr>
        <w:spacing w:after="0"/>
        <w:tabs>
          <w:tab w:leader="none" w:pos="2100" w:val="left"/>
        </w:tabs>
        <w:rPr>
          <w:sz w:val="20"/>
          <w:szCs w:val="20"/>
          <w:color w:val="auto"/>
        </w:rPr>
      </w:pPr>
      <w:r>
        <w:rPr>
          <w:rFonts w:ascii="Calibri" w:cs="Calibri" w:eastAsia="Calibri" w:hAnsi="Calibri"/>
          <w:sz w:val="16"/>
          <w:szCs w:val="16"/>
          <w:color w:val="auto"/>
        </w:rPr>
        <w:t>Same efect as a vote against</w:t>
        <w:tab/>
        <w:t>Brokers have discretonary</w:t>
      </w:r>
    </w:p>
    <w:p>
      <w:pPr>
        <w:spacing w:after="0" w:line="7" w:lineRule="exact"/>
        <w:rPr>
          <w:sz w:val="20"/>
          <w:szCs w:val="20"/>
          <w:color w:val="auto"/>
        </w:rPr>
      </w:pPr>
    </w:p>
    <w:p>
      <w:pPr>
        <w:spacing w:after="0"/>
        <w:tabs>
          <w:tab w:leader="none" w:pos="2100" w:val="left"/>
        </w:tabs>
        <w:rPr>
          <w:sz w:val="20"/>
          <w:szCs w:val="20"/>
          <w:color w:val="auto"/>
        </w:rPr>
      </w:pPr>
      <w:r>
        <w:rPr>
          <w:rFonts w:ascii="Calibri" w:cs="Calibri" w:eastAsia="Calibri" w:hAnsi="Calibri"/>
          <w:sz w:val="16"/>
          <w:szCs w:val="16"/>
          <w:color w:val="auto"/>
        </w:rPr>
        <w:t>the proposal</w:t>
      </w:r>
      <w:r>
        <w:rPr>
          <w:sz w:val="20"/>
          <w:szCs w:val="20"/>
          <w:color w:val="auto"/>
        </w:rPr>
        <w:tab/>
      </w:r>
      <w:r>
        <w:rPr>
          <w:rFonts w:ascii="Calibri" w:cs="Calibri" w:eastAsia="Calibri" w:hAnsi="Calibri"/>
          <w:sz w:val="16"/>
          <w:szCs w:val="16"/>
          <w:color w:val="auto"/>
        </w:rPr>
        <w:t>authority to vote</w:t>
      </w:r>
    </w:p>
    <w:p>
      <w:pPr>
        <w:spacing w:after="0" w:line="418" w:lineRule="exact"/>
        <w:rPr>
          <w:sz w:val="20"/>
          <w:szCs w:val="20"/>
          <w:color w:val="auto"/>
        </w:rPr>
      </w:pPr>
    </w:p>
    <w:p>
      <w:pPr>
        <w:sectPr>
          <w:pgSz w:w="11900" w:h="16838" w:orient="portrait"/>
          <w:cols w:equalWidth="0" w:num="3">
            <w:col w:w="3520" w:space="180"/>
            <w:col w:w="2100" w:space="360"/>
            <w:col w:w="5060"/>
          </w:cols>
          <w:pgMar w:left="320" w:top="983" w:right="359" w:bottom="1440" w:gutter="0" w:footer="0" w:header="0"/>
        </w:sectPr>
      </w:pPr>
    </w:p>
    <w:p>
      <w:pPr>
        <w:ind w:left="820"/>
        <w:spacing w:after="0"/>
        <w:rPr>
          <w:sz w:val="20"/>
          <w:szCs w:val="20"/>
          <w:color w:val="auto"/>
        </w:rPr>
      </w:pPr>
      <w:r>
        <w:rPr>
          <w:rFonts w:ascii="Calibri" w:cs="Calibri" w:eastAsia="Calibri" w:hAnsi="Calibri"/>
          <w:sz w:val="18"/>
          <w:szCs w:val="18"/>
          <w:color w:val="auto"/>
        </w:rPr>
        <w:t>__________________</w:t>
      </w:r>
    </w:p>
    <w:p>
      <w:pPr>
        <w:spacing w:after="0" w:line="1" w:lineRule="exact"/>
        <w:rPr>
          <w:sz w:val="20"/>
          <w:szCs w:val="20"/>
          <w:color w:val="auto"/>
        </w:rPr>
      </w:pPr>
    </w:p>
    <w:p>
      <w:pPr>
        <w:ind w:left="1500" w:right="740" w:firstLine="6"/>
        <w:spacing w:after="0" w:line="235" w:lineRule="auto"/>
        <w:tabs>
          <w:tab w:leader="none" w:pos="1775"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A broker non-vote occurs when banks, brokers or others hold shares in street name for a client and such client provides no instructon as to how shares should be voted on a partcular mater.</w:t>
      </w:r>
    </w:p>
    <w:p>
      <w:pPr>
        <w:spacing w:after="0" w:line="218"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Pursuant to the rules of the NYSE, brokers do not have discretonary authority to vote in the electon of directors if they did not receive instructons from the benefcial owner because the electon of directors is not considered a routne mater. The advisory vote to approve the compensaton of our named executve ofcers and the approval of an Amendment to our Restated Certfcate of Incorporaton are also not considered routne, and brokers may not vote your shares with respect to such maters without instructons from you.</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How to Revoke Your Proxy</w:t>
      </w:r>
    </w:p>
    <w:p>
      <w:pPr>
        <w:spacing w:after="0" w:line="217" w:lineRule="exact"/>
        <w:rPr>
          <w:sz w:val="20"/>
          <w:szCs w:val="20"/>
          <w:color w:val="auto"/>
        </w:rPr>
      </w:pPr>
    </w:p>
    <w:p>
      <w:pPr>
        <w:jc w:val="both"/>
        <w:ind w:right="200" w:firstLine="749"/>
        <w:spacing w:after="0" w:line="235" w:lineRule="auto"/>
        <w:rPr>
          <w:sz w:val="20"/>
          <w:szCs w:val="20"/>
          <w:color w:val="auto"/>
        </w:rPr>
      </w:pPr>
      <w:r>
        <w:rPr>
          <w:rFonts w:ascii="Calibri" w:cs="Calibri" w:eastAsia="Calibri" w:hAnsi="Calibri"/>
          <w:sz w:val="18"/>
          <w:szCs w:val="18"/>
          <w:color w:val="auto"/>
        </w:rPr>
        <w:t>You have the unconditonal right to revoke your proxy at any tme prior to the votng thereof by submitng a later-dated proxy, by atending the meetng and votng in person, or by writen notce to us addressed to: Eagle Materials Inc., Atenton: Mat Newby, Secretary, 5960 Berkshire Ln., Suite 900, Dallas, Texas 75225. No such revocaton shall be efectve, however, unless and untl received by the Company at or prior to the meetng.</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Expenses of Solicitng Proxies</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cost of solicitng proxies for the meetng will be borne by the Company. Solicitatons may be made on behalf of our Board by mail, personal interview, telephone or other electronic means by ofcers and other employees of the Company, who will receive no additonal compensaton therefor. To aid in the solicitaton of proxies, we have retained the frm of Kingsdale Advisors, which will receive a fee of approximately $20,000, in additon to the reimbursement of out-of-pocket expenses.</w:t>
      </w:r>
    </w:p>
    <w:p>
      <w:pPr>
        <w:spacing w:after="0" w:line="21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We will request banks, brokers, custodians, nominees, fduciaries and other record holders to forward copies of this Proxy Statement to persons on whose behalf they hold shares of Common Stock and to request authority for the exercise of proxies by the record holders on behalf of those persons. In compliance with the regulatons of the Securites and Exchange Commission (“SEC”) and the NYSE, we will reimburse such persons for reasonable expenses incurred by them in forwarding proxy materials to the benefcial owners of our Common Stock.</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How You Can Vote</w:t>
      </w:r>
    </w:p>
    <w:p>
      <w:pPr>
        <w:spacing w:after="0" w:line="109" w:lineRule="exact"/>
        <w:rPr>
          <w:sz w:val="20"/>
          <w:szCs w:val="20"/>
          <w:color w:val="auto"/>
        </w:rPr>
      </w:pPr>
    </w:p>
    <w:p>
      <w:pPr>
        <w:jc w:val="both"/>
        <w:ind w:firstLine="749"/>
        <w:spacing w:after="0" w:line="254" w:lineRule="auto"/>
        <w:rPr>
          <w:sz w:val="20"/>
          <w:szCs w:val="20"/>
          <w:color w:val="auto"/>
        </w:rPr>
      </w:pPr>
      <w:r>
        <w:rPr>
          <w:rFonts w:ascii="Calibri" w:cs="Calibri" w:eastAsia="Calibri" w:hAnsi="Calibri"/>
          <w:sz w:val="17"/>
          <w:szCs w:val="17"/>
          <w:color w:val="auto"/>
        </w:rPr>
        <w:t xml:space="preserve">You can vote your shares at the meetng, by telephone, over the Internet or by completng, signing, datng and returning your proxy in the enclosed envelope. If you have any questons, or require assistance, please contact the Company’s shareholder advisor and proxy solicitaton agent, Kingsdale Advisors, at 1-888-327-0821 (toll free in North America), or at 917-933-5119 (collect outside North America), or by email at </w:t>
      </w:r>
      <w:r>
        <w:rPr>
          <w:rFonts w:ascii="Calibri" w:cs="Calibri" w:eastAsia="Calibri" w:hAnsi="Calibri"/>
          <w:sz w:val="17"/>
          <w:szCs w:val="17"/>
          <w:u w:val="single" w:color="auto"/>
          <w:color w:val="auto"/>
        </w:rPr>
        <w:t>contactus@kingsdaleadvisors.com</w:t>
      </w:r>
      <w:r>
        <w:rPr>
          <w:rFonts w:ascii="Calibri" w:cs="Calibri" w:eastAsia="Calibri" w:hAnsi="Calibri"/>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9" w:name="page10"/>
    <w:bookmarkEnd w:id="9"/>
    <w:p>
      <w:pPr>
        <w:jc w:val="center"/>
        <w:ind w:right="-39"/>
        <w:spacing w:after="0"/>
        <w:rPr>
          <w:sz w:val="20"/>
          <w:szCs w:val="20"/>
          <w:color w:val="auto"/>
        </w:rPr>
      </w:pPr>
      <w:r>
        <w:rPr>
          <w:rFonts w:ascii="Calibri" w:cs="Calibri" w:eastAsia="Calibri" w:hAnsi="Calibri"/>
          <w:sz w:val="25"/>
          <w:szCs w:val="25"/>
          <w:b w:val="1"/>
          <w:bCs w:val="1"/>
          <w:color w:val="4472C4"/>
        </w:rPr>
        <w:t>PROPOSAL NO. 1: ELECTION OF DIRECTORS AND RELATED MATTERS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w:t>
      </w:r>
    </w:p>
    <w:p>
      <w:pPr>
        <w:spacing w:after="0" w:line="109"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Our Board of Directors is the ultmate decision-making body of the Company, except with respect to those maters reserved to our stockholders.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primary responsibilites of our Board include:</w:t>
      </w:r>
    </w:p>
    <w:p>
      <w:pPr>
        <w:spacing w:after="0" w:line="118"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selecton, compensaton and evaluaton of our Chief Executve Ofcer and oversight over succession planning;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oversight of our strategic planning;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of material transactons and fnancings;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oversight of processes that are in place to promote compliance with law and high standards of business ethics;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advising management on major issues that may arise;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evaluatng the performance of the Board and its commitees, and making appropriate changes where necessary.</w:t>
      </w:r>
    </w:p>
    <w:p>
      <w:pPr>
        <w:spacing w:after="0" w:line="325"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Members of our Board of Directors are divided into three classes based on their term of ofce (Class I, II and III). The directors in each class hold ofce for staggered terms of three years each. At present, Class I has three directors, Class II has four directors and Class III has three directors. The following table and graphics show the compositon by class, the tenure, the independence and diversity of our Board as of August 1, 2024, assuming the electon of the proposed slate of Class III director nominees.</w:t>
      </w:r>
    </w:p>
    <w:p>
      <w:pPr>
        <w:spacing w:after="0" w:line="228" w:lineRule="exact"/>
        <w:rPr>
          <w:sz w:val="20"/>
          <w:szCs w:val="20"/>
          <w:color w:val="auto"/>
        </w:rPr>
      </w:pPr>
    </w:p>
    <w:tbl>
      <w:tblPr>
        <w:tblLayout w:type="fixed"/>
        <w:tblInd w:w="3220" w:type="dxa"/>
        <w:tblCellMar>
          <w:top w:w="0" w:type="dxa"/>
          <w:left w:w="0" w:type="dxa"/>
          <w:bottom w:w="0" w:type="dxa"/>
          <w:right w:w="0" w:type="dxa"/>
        </w:tblCellMar>
      </w:tblPr>
      <w:tr>
        <w:trPr>
          <w:trHeight w:val="220"/>
        </w:trPr>
        <w:tc>
          <w:tcPr>
            <w:tcW w:w="1140" w:type="dxa"/>
            <w:vAlign w:val="bottom"/>
          </w:tcPr>
          <w:p>
            <w:pPr>
              <w:jc w:val="center"/>
              <w:spacing w:after="0"/>
              <w:rPr>
                <w:sz w:val="20"/>
                <w:szCs w:val="20"/>
                <w:color w:val="auto"/>
              </w:rPr>
            </w:pPr>
            <w:r>
              <w:rPr>
                <w:rFonts w:ascii="Calibri" w:cs="Calibri" w:eastAsia="Calibri" w:hAnsi="Calibri"/>
                <w:sz w:val="18"/>
                <w:szCs w:val="18"/>
                <w:b w:val="1"/>
                <w:bCs w:val="1"/>
                <w:color w:val="auto"/>
              </w:rPr>
              <w:t>Class</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Term Expires</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Directors</w:t>
            </w:r>
          </w:p>
        </w:tc>
      </w:tr>
      <w:tr>
        <w:trPr>
          <w:trHeight w:val="37"/>
        </w:trPr>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01"/>
        </w:trPr>
        <w:tc>
          <w:tcPr>
            <w:tcW w:w="1140" w:type="dxa"/>
            <w:vAlign w:val="bottom"/>
          </w:tcPr>
          <w:p>
            <w:pPr>
              <w:jc w:val="center"/>
              <w:spacing w:after="0" w:line="201" w:lineRule="exact"/>
              <w:rPr>
                <w:sz w:val="20"/>
                <w:szCs w:val="20"/>
                <w:color w:val="auto"/>
              </w:rPr>
            </w:pPr>
            <w:r>
              <w:rPr>
                <w:rFonts w:ascii="Calibri" w:cs="Calibri" w:eastAsia="Calibri" w:hAnsi="Calibri"/>
                <w:sz w:val="18"/>
                <w:szCs w:val="18"/>
                <w:color w:val="auto"/>
              </w:rPr>
              <w:t>I</w:t>
            </w:r>
          </w:p>
        </w:tc>
        <w:tc>
          <w:tcPr>
            <w:tcW w:w="12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Calibri" w:cs="Calibri" w:eastAsia="Calibri" w:hAnsi="Calibri"/>
                <w:sz w:val="18"/>
                <w:szCs w:val="18"/>
                <w:color w:val="auto"/>
                <w:w w:val="98"/>
              </w:rPr>
              <w:t>2025</w:t>
            </w:r>
          </w:p>
        </w:tc>
        <w:tc>
          <w:tcPr>
            <w:tcW w:w="120" w:type="dxa"/>
            <w:vAlign w:val="bottom"/>
          </w:tcPr>
          <w:p>
            <w:pPr>
              <w:spacing w:after="0"/>
              <w:rPr>
                <w:sz w:val="17"/>
                <w:szCs w:val="17"/>
                <w:color w:val="auto"/>
              </w:rPr>
            </w:pPr>
          </w:p>
        </w:tc>
        <w:tc>
          <w:tcPr>
            <w:tcW w:w="1860" w:type="dxa"/>
            <w:vAlign w:val="bottom"/>
          </w:tcPr>
          <w:p>
            <w:pPr>
              <w:jc w:val="center"/>
              <w:spacing w:after="0" w:line="201" w:lineRule="exact"/>
              <w:rPr>
                <w:sz w:val="20"/>
                <w:szCs w:val="20"/>
                <w:color w:val="auto"/>
              </w:rPr>
            </w:pPr>
            <w:r>
              <w:rPr>
                <w:rFonts w:ascii="Calibri" w:cs="Calibri" w:eastAsia="Calibri" w:hAnsi="Calibri"/>
                <w:sz w:val="18"/>
                <w:szCs w:val="18"/>
                <w:color w:val="auto"/>
                <w:w w:val="97"/>
              </w:rPr>
              <w:t>George J. Damiris</w:t>
            </w:r>
          </w:p>
        </w:tc>
      </w:tr>
      <w:tr>
        <w:trPr>
          <w:trHeight w:val="215"/>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5" w:lineRule="exact"/>
              <w:rPr>
                <w:sz w:val="20"/>
                <w:szCs w:val="20"/>
                <w:color w:val="auto"/>
              </w:rPr>
            </w:pPr>
            <w:r>
              <w:rPr>
                <w:rFonts w:ascii="Calibri" w:cs="Calibri" w:eastAsia="Calibri" w:hAnsi="Calibri"/>
                <w:sz w:val="18"/>
                <w:szCs w:val="18"/>
                <w:color w:val="auto"/>
              </w:rPr>
              <w:t>Martn M. Ellen</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David B. Powers</w:t>
            </w:r>
          </w:p>
        </w:tc>
      </w:tr>
      <w:tr>
        <w:trPr>
          <w:trHeight w:val="486"/>
        </w:trPr>
        <w:tc>
          <w:tcPr>
            <w:tcW w:w="1140" w:type="dxa"/>
            <w:vAlign w:val="bottom"/>
          </w:tcPr>
          <w:p>
            <w:pPr>
              <w:jc w:val="center"/>
              <w:spacing w:after="0"/>
              <w:rPr>
                <w:sz w:val="20"/>
                <w:szCs w:val="20"/>
                <w:color w:val="auto"/>
              </w:rPr>
            </w:pPr>
            <w:r>
              <w:rPr>
                <w:rFonts w:ascii="Calibri" w:cs="Calibri" w:eastAsia="Calibri" w:hAnsi="Calibri"/>
                <w:sz w:val="18"/>
                <w:szCs w:val="18"/>
                <w:color w:val="auto"/>
              </w:rPr>
              <w:t>II</w:t>
            </w:r>
          </w:p>
        </w:tc>
        <w:tc>
          <w:tcPr>
            <w:tcW w:w="1700" w:type="dxa"/>
            <w:vAlign w:val="bottom"/>
            <w:gridSpan w:val="2"/>
          </w:tcPr>
          <w:p>
            <w:pPr>
              <w:jc w:val="center"/>
              <w:ind w:left="50"/>
              <w:spacing w:after="0"/>
              <w:rPr>
                <w:sz w:val="20"/>
                <w:szCs w:val="20"/>
                <w:color w:val="auto"/>
              </w:rPr>
            </w:pPr>
            <w:r>
              <w:rPr>
                <w:rFonts w:ascii="Calibri" w:cs="Calibri" w:eastAsia="Calibri" w:hAnsi="Calibri"/>
                <w:sz w:val="18"/>
                <w:szCs w:val="18"/>
                <w:color w:val="auto"/>
                <w:w w:val="98"/>
              </w:rPr>
              <w:t>2026</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6"/>
              </w:rPr>
              <w:t>Margot L. Carter</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Michael R. Nicolais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Mary P. Ricciardello</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Richard R. Stewart</w:t>
            </w:r>
          </w:p>
        </w:tc>
      </w:tr>
      <w:tr>
        <w:trPr>
          <w:trHeight w:val="486"/>
        </w:trPr>
        <w:tc>
          <w:tcPr>
            <w:tcW w:w="1140" w:type="dxa"/>
            <w:vAlign w:val="bottom"/>
          </w:tcPr>
          <w:p>
            <w:pPr>
              <w:jc w:val="center"/>
              <w:spacing w:after="0"/>
              <w:rPr>
                <w:sz w:val="20"/>
                <w:szCs w:val="20"/>
                <w:color w:val="auto"/>
              </w:rPr>
            </w:pPr>
            <w:r>
              <w:rPr>
                <w:rFonts w:ascii="Calibri" w:cs="Calibri" w:eastAsia="Calibri" w:hAnsi="Calibri"/>
                <w:sz w:val="18"/>
                <w:szCs w:val="18"/>
                <w:color w:val="auto"/>
              </w:rPr>
              <w:t>III</w:t>
            </w:r>
          </w:p>
        </w:tc>
        <w:tc>
          <w:tcPr>
            <w:tcW w:w="1700" w:type="dxa"/>
            <w:vAlign w:val="bottom"/>
            <w:gridSpan w:val="2"/>
          </w:tcPr>
          <w:p>
            <w:pPr>
              <w:jc w:val="center"/>
              <w:ind w:left="50"/>
              <w:spacing w:after="0"/>
              <w:rPr>
                <w:sz w:val="20"/>
                <w:szCs w:val="20"/>
                <w:color w:val="auto"/>
              </w:rPr>
            </w:pPr>
            <w:r>
              <w:rPr>
                <w:rFonts w:ascii="Calibri" w:cs="Calibri" w:eastAsia="Calibri" w:hAnsi="Calibri"/>
                <w:sz w:val="18"/>
                <w:szCs w:val="18"/>
                <w:color w:val="auto"/>
                <w:w w:val="98"/>
              </w:rPr>
              <w:t>2027</w:t>
            </w:r>
          </w:p>
        </w:tc>
        <w:tc>
          <w:tcPr>
            <w:tcW w:w="1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Calibri" w:cs="Calibri" w:eastAsia="Calibri" w:hAnsi="Calibri"/>
                <w:sz w:val="18"/>
                <w:szCs w:val="18"/>
                <w:color w:val="auto"/>
              </w:rPr>
              <w:t>Rick Beckwit</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Mauro Gregorio</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Michael R. Haack</w:t>
            </w:r>
          </w:p>
        </w:tc>
      </w:tr>
    </w:tbl>
    <w:p>
      <w:pPr>
        <w:spacing w:after="0" w:line="32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1948180</wp:posOffset>
            </wp:positionH>
            <wp:positionV relativeFrom="page">
              <wp:posOffset>637540</wp:posOffset>
            </wp:positionV>
            <wp:extent cx="3617595" cy="4491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7595"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Director Independence</w:t>
      </w:r>
    </w:p>
    <w:p>
      <w:pPr>
        <w:spacing w:after="0" w:line="109"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NYSE corporate governance rules require that our Board of Directors be comprised of a majority of independent directors. Our Board of Directors has determined, upon the recommendaton of our Corporate Governance, Nominatng and Sustainability Commitee (“Governance Commitee”), that all members of our Board of Directors, other than Mr. Haack, are “independent” within the meaning of the specifc provisions of the Securites Exchange Act of 1934, as amended (“Exchange Act”) and the corporate governance rules of the NYSE.</w:t>
      </w:r>
    </w:p>
    <w:p>
      <w:pPr>
        <w:spacing w:after="0" w:line="21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In determining that nine of our ten directors are independent, our Board of Directors did not identfy any material relatonship that would potentally cause Mses. Carter and Ricciardello and Messrs. Beckwit, Damiris, Gregorio, Ellen, Nicolais, Powers and Stewart not to be independent for purposes of the Exchange Act or the corporate governance rules of the NYSE. Our Board of Directors considered the fact that Mr. Powers served as Chief Executve Ofcer of the Company untl July 1, 2019 and thereafer entered into an Advisory Agreement with the Company which expired in March 31, 2020— but determined that over three years have passed since the expiraton of the Advisory Agreement, and Mr. Powers does not have other tes with the company that the Board of Directors considers to afect his independence.</w:t>
      </w:r>
    </w:p>
    <w:p>
      <w:pPr>
        <w:ind w:left="4220"/>
        <w:spacing w:after="0"/>
        <w:rPr>
          <w:sz w:val="20"/>
          <w:szCs w:val="20"/>
          <w:color w:val="auto"/>
        </w:rPr>
      </w:pPr>
      <w:r>
        <w:rPr>
          <w:rFonts w:ascii="Calibri" w:cs="Calibri" w:eastAsia="Calibri" w:hAnsi="Calibri"/>
          <w:sz w:val="18"/>
          <w:szCs w:val="18"/>
          <w:color w:val="auto"/>
        </w:rPr>
        <w:t>________________________________</w:t>
      </w:r>
    </w:p>
    <w:p>
      <w:pPr>
        <w:spacing w:after="0" w:line="313"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right="220" w:firstLine="749"/>
        <w:spacing w:after="0" w:line="235" w:lineRule="auto"/>
        <w:rPr>
          <w:sz w:val="20"/>
          <w:szCs w:val="20"/>
          <w:color w:val="auto"/>
        </w:rPr>
      </w:pPr>
      <w:r>
        <w:rPr>
          <w:rFonts w:ascii="Calibri" w:cs="Calibri" w:eastAsia="Calibri" w:hAnsi="Calibri"/>
          <w:sz w:val="18"/>
          <w:szCs w:val="18"/>
          <w:color w:val="auto"/>
        </w:rPr>
        <w:t>Our Board includes leaders with a diverse set of skills across several felds that are material to our business. The matrix below illustrates some of the key skills, qualifcatons and demographics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152400</wp:posOffset>
            </wp:positionV>
            <wp:extent cx="5040630" cy="3737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4063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Nominees</w:t>
      </w:r>
    </w:p>
    <w:p>
      <w:pPr>
        <w:spacing w:after="0" w:line="109" w:lineRule="exact"/>
        <w:rPr>
          <w:sz w:val="20"/>
          <w:szCs w:val="20"/>
          <w:color w:val="auto"/>
        </w:rPr>
      </w:pPr>
    </w:p>
    <w:p>
      <w:pPr>
        <w:ind w:right="480" w:firstLine="749"/>
        <w:spacing w:after="0" w:line="235" w:lineRule="auto"/>
        <w:rPr>
          <w:sz w:val="20"/>
          <w:szCs w:val="20"/>
          <w:color w:val="auto"/>
        </w:rPr>
      </w:pPr>
      <w:r>
        <w:rPr>
          <w:rFonts w:ascii="Calibri" w:cs="Calibri" w:eastAsia="Calibri" w:hAnsi="Calibri"/>
          <w:sz w:val="18"/>
          <w:szCs w:val="18"/>
          <w:color w:val="auto"/>
        </w:rPr>
        <w:t>Each of the nominees listed below is currently a member of our Board of Directors. Each of these nominees has been recommended for nominaton by our Governance Commitee afer considering the criteria described below under the heading “Corporate Governance, Nominatng and Sustainability Commitee.” We have no reason to believe that any of the listed nominees will become unavailable for electon, but if for any reason that should be the case, proxies may be voted for substtute nominees.</w:t>
      </w:r>
    </w:p>
    <w:p>
      <w:pPr>
        <w:spacing w:after="0" w:line="21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Because this is an uncontested electon of directors, a majority of votes cast by the holders of our Common Stock present in person or represented by proxy at the meetng (number of shares voted “for” a director nominee must exceed the number of votes cast “against” the director nominee) will be required to elect the nominees for director in accordance with our Bylaws. (A plurality votng standard would apply in a contested electon.) Under our Corporate Governance Guidelines, the Governance Commitee will not nominate any director candidate untl such director candidate has submited in writng his or her resignaton as a director, which resignaton would become efectve if the director candidate fails to receive the required majority vote in an uncontested electon and the Board accepts such resignaton. If a director candidate fails to receive the required majority vote, a special commitee of independent directors will consider the resignaton and make a recommendaton to the Board as to whether to accept or reject such resignaton. The Board will then publicly disclose its decision regarding the resignaton and the ratonale behind the decision.</w:t>
      </w:r>
    </w:p>
    <w:p>
      <w:pPr>
        <w:spacing w:after="0" w:line="223"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Our Corporate Governance Guidelines generally require directors to retre at the frst annual meetng that occurs afer the director’s 75th birthday unless the Board (other than the afected director) waives the requirement upon the recommendaton of the Governance Commitee.</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b w:val="1"/>
          <w:bCs w:val="1"/>
          <w:color w:val="auto"/>
        </w:rPr>
        <w:t>Our Board of Directors recommends that holders of Common Stock vote FOR the electon of the three nominees listed below to serve as Class III directors for a three-year term ending at our 2027 annual meetng of stockholders:</w:t>
      </w:r>
    </w:p>
    <w:p>
      <w:pPr>
        <w:spacing w:after="0" w:line="213"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Rick Beckwit</w:t>
      </w:r>
    </w:p>
    <w:p>
      <w:pPr>
        <w:ind w:left="380"/>
        <w:spacing w:after="0" w:line="235" w:lineRule="auto"/>
        <w:rPr>
          <w:sz w:val="20"/>
          <w:szCs w:val="20"/>
          <w:color w:val="auto"/>
        </w:rPr>
      </w:pPr>
      <w:r>
        <w:rPr>
          <w:rFonts w:ascii="Calibri" w:cs="Calibri" w:eastAsia="Calibri" w:hAnsi="Calibri"/>
          <w:sz w:val="18"/>
          <w:szCs w:val="18"/>
          <w:color w:val="auto"/>
        </w:rPr>
        <w:t>Mauro Gregorio</w:t>
      </w:r>
    </w:p>
    <w:p>
      <w:pPr>
        <w:ind w:left="380"/>
        <w:spacing w:after="0" w:line="236" w:lineRule="auto"/>
        <w:rPr>
          <w:sz w:val="20"/>
          <w:szCs w:val="20"/>
          <w:color w:val="auto"/>
        </w:rPr>
      </w:pPr>
      <w:r>
        <w:rPr>
          <w:rFonts w:ascii="Calibri" w:cs="Calibri" w:eastAsia="Calibri" w:hAnsi="Calibri"/>
          <w:sz w:val="18"/>
          <w:szCs w:val="18"/>
          <w:color w:val="auto"/>
        </w:rPr>
        <w:t>Michael R. Haack</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Director Qualifcatons and Biographies</w:t>
      </w:r>
    </w:p>
    <w:p>
      <w:pPr>
        <w:spacing w:after="0" w:line="109" w:lineRule="exact"/>
        <w:rPr>
          <w:sz w:val="20"/>
          <w:szCs w:val="20"/>
          <w:color w:val="auto"/>
        </w:rPr>
      </w:pPr>
    </w:p>
    <w:p>
      <w:pPr>
        <w:ind w:right="240" w:firstLine="749"/>
        <w:spacing w:after="0" w:line="235" w:lineRule="auto"/>
        <w:rPr>
          <w:sz w:val="20"/>
          <w:szCs w:val="20"/>
          <w:color w:val="auto"/>
        </w:rPr>
      </w:pPr>
      <w:r>
        <w:rPr>
          <w:rFonts w:ascii="Calibri" w:cs="Calibri" w:eastAsia="Calibri" w:hAnsi="Calibri"/>
          <w:sz w:val="18"/>
          <w:szCs w:val="18"/>
          <w:color w:val="auto"/>
        </w:rPr>
        <w:t>Set forth below is informaton about the nominees standing for electon at our 2024 annual meetng, as well as our contnuing directors whose terms of ofce do not expire at such annual meetng. The biographical informaton appearing below regarding the nominees for director and contnuing directors has been furnished to us by the respectve nominees and directors. Also included below is a brief descripton of how each individual’s experience qualifes him or her to serve as a director of the Company.</w:t>
      </w:r>
    </w:p>
    <w:p>
      <w:pPr>
        <w:spacing w:after="0" w:line="31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3" w:name="page14"/>
    <w:bookmarkEnd w:id="13"/>
    <w:p>
      <w:pPr>
        <w:jc w:val="center"/>
        <w:ind w:right="120"/>
        <w:spacing w:after="0"/>
        <w:rPr>
          <w:sz w:val="20"/>
          <w:szCs w:val="20"/>
          <w:color w:val="auto"/>
        </w:rPr>
      </w:pPr>
      <w:r>
        <w:rPr>
          <w:rFonts w:ascii="Calibri" w:cs="Calibri" w:eastAsia="Calibri" w:hAnsi="Calibri"/>
          <w:sz w:val="22"/>
          <w:szCs w:val="22"/>
          <w:b w:val="1"/>
          <w:bCs w:val="1"/>
          <w:color w:val="auto"/>
        </w:rPr>
        <w:t>Nominees Whose Terms Expire at our 2024 Annual Meetng</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auto"/>
        </w:rPr>
        <w:t>(Class III Directors)</w:t>
      </w:r>
    </w:p>
    <w:p>
      <w:pPr>
        <w:spacing w:after="0" w:line="229" w:lineRule="exact"/>
        <w:rPr>
          <w:sz w:val="20"/>
          <w:szCs w:val="20"/>
          <w:color w:val="auto"/>
        </w:rPr>
      </w:pPr>
    </w:p>
    <w:p>
      <w:pPr>
        <w:jc w:val="center"/>
        <w:ind w:right="140"/>
        <w:spacing w:after="0"/>
        <w:rPr>
          <w:sz w:val="20"/>
          <w:szCs w:val="20"/>
          <w:color w:val="auto"/>
        </w:rPr>
      </w:pPr>
      <w:r>
        <w:rPr>
          <w:rFonts w:ascii="Calibri" w:cs="Calibri" w:eastAsia="Calibri" w:hAnsi="Calibri"/>
          <w:sz w:val="25"/>
          <w:szCs w:val="25"/>
          <w:b w:val="1"/>
          <w:bCs w:val="1"/>
          <w:color w:val="4472C4"/>
        </w:rPr>
        <w:t>Rick Beckwit</w:t>
      </w:r>
    </w:p>
    <w:p>
      <w:pPr>
        <w:spacing w:after="0" w:line="5" w:lineRule="exact"/>
        <w:rPr>
          <w:sz w:val="20"/>
          <w:szCs w:val="20"/>
          <w:color w:val="auto"/>
        </w:rPr>
      </w:pPr>
    </w:p>
    <w:p>
      <w:pPr>
        <w:jc w:val="center"/>
        <w:ind w:right="160"/>
        <w:spacing w:after="0"/>
        <w:rPr>
          <w:sz w:val="20"/>
          <w:szCs w:val="20"/>
          <w:color w:val="auto"/>
        </w:rPr>
      </w:pPr>
      <w:r>
        <w:rPr>
          <w:rFonts w:ascii="Calibri" w:cs="Calibri" w:eastAsia="Calibri" w:hAnsi="Calibri"/>
          <w:sz w:val="18"/>
          <w:szCs w:val="18"/>
          <w:b w:val="1"/>
          <w:bCs w:val="1"/>
          <w:color w:val="auto"/>
        </w:rPr>
        <w:t>Retred Co-Chief Executve Ofcer and Co-President,</w:t>
      </w:r>
    </w:p>
    <w:p>
      <w:pPr>
        <w:jc w:val="center"/>
        <w:ind w:right="120"/>
        <w:spacing w:after="0" w:line="235" w:lineRule="auto"/>
        <w:rPr>
          <w:sz w:val="20"/>
          <w:szCs w:val="20"/>
          <w:color w:val="auto"/>
        </w:rPr>
      </w:pPr>
      <w:r>
        <w:rPr>
          <w:rFonts w:ascii="Calibri" w:cs="Calibri" w:eastAsia="Calibri" w:hAnsi="Calibri"/>
          <w:sz w:val="18"/>
          <w:szCs w:val="18"/>
          <w:b w:val="1"/>
          <w:bCs w:val="1"/>
          <w:color w:val="auto"/>
        </w:rPr>
        <w:t>Lennar Corporaton</w:t>
      </w:r>
    </w:p>
    <w:p>
      <w:pPr>
        <w:spacing w:after="0" w:line="105" w:lineRule="exact"/>
        <w:rPr>
          <w:sz w:val="20"/>
          <w:szCs w:val="20"/>
          <w:color w:val="auto"/>
        </w:rPr>
      </w:pPr>
    </w:p>
    <w:p>
      <w:pPr>
        <w:jc w:val="center"/>
        <w:ind w:right="120"/>
        <w:spacing w:after="0"/>
        <w:rPr>
          <w:sz w:val="20"/>
          <w:szCs w:val="20"/>
          <w:color w:val="auto"/>
        </w:rPr>
      </w:pPr>
      <w:r>
        <w:rPr>
          <w:rFonts w:ascii="Calibri" w:cs="Calibri" w:eastAsia="Calibri" w:hAnsi="Calibri"/>
          <w:sz w:val="18"/>
          <w:szCs w:val="18"/>
          <w:color w:val="auto"/>
        </w:rPr>
        <w:t>Independent Director since 2014</w:t>
      </w:r>
    </w:p>
    <w:p>
      <w:pPr>
        <w:jc w:val="center"/>
        <w:ind w:right="120"/>
        <w:spacing w:after="0" w:line="235" w:lineRule="auto"/>
        <w:rPr>
          <w:sz w:val="20"/>
          <w:szCs w:val="20"/>
          <w:color w:val="auto"/>
        </w:rPr>
      </w:pPr>
      <w:r>
        <w:rPr>
          <w:rFonts w:ascii="Calibri" w:cs="Calibri" w:eastAsia="Calibri" w:hAnsi="Calibri"/>
          <w:sz w:val="18"/>
          <w:szCs w:val="18"/>
          <w:color w:val="auto"/>
        </w:rPr>
        <w:t>Age: 65</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Corporate Governance, Nominatng and Sustainability (Chair); Former Member of the Audit Commitee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Co-Chief Executve Ofcer and Co-President, Lennar Corporaton (2020-2023)</w:t>
      </w:r>
    </w:p>
    <w:p>
      <w:pPr>
        <w:ind w:left="740"/>
        <w:spacing w:after="0" w:line="236" w:lineRule="auto"/>
        <w:rPr>
          <w:sz w:val="20"/>
          <w:szCs w:val="20"/>
          <w:color w:val="auto"/>
        </w:rPr>
      </w:pPr>
      <w:r>
        <w:rPr>
          <w:rFonts w:ascii="Calibri" w:cs="Calibri" w:eastAsia="Calibri" w:hAnsi="Calibri"/>
          <w:sz w:val="18"/>
          <w:szCs w:val="18"/>
          <w:color w:val="auto"/>
        </w:rPr>
        <w:t>Chief Executve Ofcer, Lennar Corporaton (2018-2020)</w:t>
      </w:r>
    </w:p>
    <w:p>
      <w:pPr>
        <w:ind w:left="740"/>
        <w:spacing w:after="0" w:line="236" w:lineRule="auto"/>
        <w:rPr>
          <w:sz w:val="20"/>
          <w:szCs w:val="20"/>
          <w:color w:val="auto"/>
        </w:rPr>
      </w:pPr>
      <w:r>
        <w:rPr>
          <w:rFonts w:ascii="Calibri" w:cs="Calibri" w:eastAsia="Calibri" w:hAnsi="Calibri"/>
          <w:sz w:val="18"/>
          <w:szCs w:val="18"/>
          <w:color w:val="auto"/>
        </w:rPr>
        <w:t>President, Lennar Corporaton (2011-2018)</w:t>
      </w:r>
    </w:p>
    <w:p>
      <w:pPr>
        <w:ind w:left="740"/>
        <w:spacing w:after="0" w:line="236" w:lineRule="auto"/>
        <w:rPr>
          <w:sz w:val="20"/>
          <w:szCs w:val="20"/>
          <w:color w:val="auto"/>
        </w:rPr>
      </w:pPr>
      <w:r>
        <w:rPr>
          <w:rFonts w:ascii="Calibri" w:cs="Calibri" w:eastAsia="Calibri" w:hAnsi="Calibri"/>
          <w:sz w:val="18"/>
          <w:szCs w:val="18"/>
          <w:color w:val="auto"/>
        </w:rPr>
        <w:t>Executve Vice President, Lennar Corporaton (2006-2011)</w:t>
      </w:r>
    </w:p>
    <w:p>
      <w:pPr>
        <w:ind w:left="740"/>
        <w:spacing w:after="0" w:line="236" w:lineRule="auto"/>
        <w:rPr>
          <w:sz w:val="20"/>
          <w:szCs w:val="20"/>
          <w:color w:val="auto"/>
        </w:rPr>
      </w:pPr>
      <w:r>
        <w:rPr>
          <w:rFonts w:ascii="Calibri" w:cs="Calibri" w:eastAsia="Calibri" w:hAnsi="Calibri"/>
          <w:sz w:val="18"/>
          <w:szCs w:val="18"/>
          <w:color w:val="auto"/>
        </w:rPr>
        <w:t>Owner and Principal, EVP Capital, L.P., a venture capital and real estate advisory company (2000-2003)</w:t>
      </w:r>
    </w:p>
    <w:p>
      <w:pPr>
        <w:ind w:left="740"/>
        <w:spacing w:after="0" w:line="236" w:lineRule="auto"/>
        <w:rPr>
          <w:sz w:val="20"/>
          <w:szCs w:val="20"/>
          <w:color w:val="auto"/>
        </w:rPr>
      </w:pPr>
      <w:r>
        <w:rPr>
          <w:rFonts w:ascii="Calibri" w:cs="Calibri" w:eastAsia="Calibri" w:hAnsi="Calibri"/>
          <w:sz w:val="18"/>
          <w:szCs w:val="18"/>
          <w:color w:val="auto"/>
        </w:rPr>
        <w:t>Executve ofcer roles, including President, D.R. Horton (1993-2000)</w:t>
      </w:r>
    </w:p>
    <w:p>
      <w:pPr>
        <w:ind w:left="740"/>
        <w:spacing w:after="0" w:line="236" w:lineRule="auto"/>
        <w:rPr>
          <w:sz w:val="20"/>
          <w:szCs w:val="20"/>
          <w:color w:val="auto"/>
        </w:rPr>
      </w:pPr>
      <w:r>
        <w:rPr>
          <w:rFonts w:ascii="Calibri" w:cs="Calibri" w:eastAsia="Calibri" w:hAnsi="Calibri"/>
          <w:sz w:val="18"/>
          <w:szCs w:val="18"/>
          <w:color w:val="auto"/>
        </w:rPr>
        <w:t>Mergers and Acquisitons and Corporate Finance Departments, Lehman Brothers (1986-1993)</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right="520" w:hanging="475"/>
        <w:spacing w:after="0" w:line="235" w:lineRule="auto"/>
        <w:tabs>
          <w:tab w:leader="none" w:pos="12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knowledge of the homebuilding and real estate industries gained through executve roles leading, managing, operatng and growing the two largest homebuilding companies in the United States</w:t>
      </w:r>
    </w:p>
    <w:p>
      <w:pPr>
        <w:spacing w:after="0" w:line="123" w:lineRule="exact"/>
        <w:rPr>
          <w:rFonts w:ascii="Times New Roman" w:cs="Times New Roman" w:eastAsia="Times New Roman" w:hAnsi="Times New Roman"/>
          <w:sz w:val="18"/>
          <w:szCs w:val="18"/>
          <w:color w:val="auto"/>
        </w:rPr>
      </w:pPr>
    </w:p>
    <w:p>
      <w:pPr>
        <w:ind w:left="1220" w:right="340" w:hanging="475"/>
        <w:spacing w:after="0" w:line="235" w:lineRule="auto"/>
        <w:tabs>
          <w:tab w:leader="none" w:pos="12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executve, leadership and operatonal experience, including as the Chief Executve Ofcer and as a director, providing broad insight into the dynamics of a corporate board</w:t>
      </w:r>
    </w:p>
    <w:p>
      <w:pPr>
        <w:spacing w:after="0" w:line="123" w:lineRule="exact"/>
        <w:rPr>
          <w:rFonts w:ascii="Times New Roman" w:cs="Times New Roman" w:eastAsia="Times New Roman" w:hAnsi="Times New Roman"/>
          <w:sz w:val="18"/>
          <w:szCs w:val="18"/>
          <w:color w:val="auto"/>
        </w:rPr>
      </w:pPr>
    </w:p>
    <w:p>
      <w:pPr>
        <w:ind w:left="1220" w:hanging="475"/>
        <w:spacing w:after="0" w:line="235" w:lineRule="auto"/>
        <w:tabs>
          <w:tab w:leader="none" w:pos="12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Strategic planning, risk oversight, human capital, executve development, succession planning and compensaton maters, and environmental, social, regulatory and governance issues</w:t>
      </w:r>
    </w:p>
    <w:p>
      <w:pPr>
        <w:spacing w:after="0" w:line="123" w:lineRule="exact"/>
        <w:rPr>
          <w:rFonts w:ascii="Times New Roman" w:cs="Times New Roman" w:eastAsia="Times New Roman" w:hAnsi="Times New Roman"/>
          <w:sz w:val="18"/>
          <w:szCs w:val="18"/>
          <w:color w:val="auto"/>
        </w:rPr>
      </w:pPr>
    </w:p>
    <w:p>
      <w:pPr>
        <w:ind w:left="1220" w:right="320" w:hanging="475"/>
        <w:spacing w:after="0" w:line="235" w:lineRule="auto"/>
        <w:tabs>
          <w:tab w:leader="none" w:pos="12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M&amp;A, corporate fnance and business development experience gained through numerous acquisitons undertaken by Lennar and D.R. Horton and through his experience as an investment banker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Ferguson Enterprises Inc. (NYSE: FERG, pending) (2024-present)</w:t>
      </w:r>
    </w:p>
    <w:p>
      <w:pPr>
        <w:ind w:left="740"/>
        <w:spacing w:after="0" w:line="236" w:lineRule="auto"/>
        <w:rPr>
          <w:sz w:val="20"/>
          <w:szCs w:val="20"/>
          <w:color w:val="auto"/>
        </w:rPr>
      </w:pPr>
      <w:r>
        <w:rPr>
          <w:rFonts w:ascii="Calibri" w:cs="Calibri" w:eastAsia="Calibri" w:hAnsi="Calibri"/>
          <w:sz w:val="18"/>
          <w:szCs w:val="18"/>
          <w:color w:val="auto"/>
        </w:rPr>
        <w:t>Lennar Corporaton (NYSE: LEN) – Director (2018-2023)</w:t>
      </w:r>
    </w:p>
    <w:p>
      <w:pPr>
        <w:ind w:left="740"/>
        <w:spacing w:after="0" w:line="236" w:lineRule="auto"/>
        <w:rPr>
          <w:sz w:val="20"/>
          <w:szCs w:val="20"/>
          <w:color w:val="auto"/>
        </w:rPr>
      </w:pPr>
      <w:r>
        <w:rPr>
          <w:rFonts w:ascii="Calibri" w:cs="Calibri" w:eastAsia="Calibri" w:hAnsi="Calibri"/>
          <w:sz w:val="18"/>
          <w:szCs w:val="18"/>
          <w:color w:val="auto"/>
        </w:rPr>
        <w:t>Five Point Holdings (NYSE: FPH) – Director (2016-2020)</w:t>
      </w:r>
    </w:p>
    <w:p>
      <w:pPr>
        <w:ind w:left="740"/>
        <w:spacing w:after="0" w:line="236" w:lineRule="auto"/>
        <w:rPr>
          <w:sz w:val="20"/>
          <w:szCs w:val="20"/>
          <w:color w:val="auto"/>
        </w:rPr>
      </w:pPr>
      <w:r>
        <w:rPr>
          <w:rFonts w:ascii="Calibri" w:cs="Calibri" w:eastAsia="Calibri" w:hAnsi="Calibri"/>
          <w:sz w:val="18"/>
          <w:szCs w:val="18"/>
          <w:color w:val="auto"/>
        </w:rPr>
        <w:t>D.R. Horton (NYSE: DHI) – Director (1993-2003)</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B.A., Psychology, Claremont McKenna College</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40"/>
        <w:spacing w:after="0"/>
        <w:rPr>
          <w:sz w:val="20"/>
          <w:szCs w:val="20"/>
          <w:color w:val="auto"/>
        </w:rPr>
      </w:pPr>
      <w:r>
        <w:rPr>
          <w:rFonts w:ascii="Calibri" w:cs="Calibri" w:eastAsia="Calibri" w:hAnsi="Calibri"/>
          <w:sz w:val="20"/>
          <w:szCs w:val="20"/>
          <w:color w:val="auto"/>
        </w:rPr>
        <w:t>Eagle Materials Inc. - 2024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80" w:top="1302" w:right="959" w:bottom="1440" w:gutter="0" w:footer="0" w:header="0"/>
        </w:sectPr>
      </w:pPr>
    </w:p>
    <w:bookmarkStart w:id="14" w:name="page15"/>
    <w:bookmarkEnd w:id="14"/>
    <w:p>
      <w:pPr>
        <w:jc w:val="center"/>
        <w:ind w:right="120"/>
        <w:spacing w:after="0"/>
        <w:rPr>
          <w:sz w:val="20"/>
          <w:szCs w:val="20"/>
          <w:color w:val="auto"/>
        </w:rPr>
      </w:pPr>
      <w:r>
        <w:rPr>
          <w:rFonts w:ascii="Calibri" w:cs="Calibri" w:eastAsia="Calibri" w:hAnsi="Calibri"/>
          <w:sz w:val="25"/>
          <w:szCs w:val="25"/>
          <w:b w:val="1"/>
          <w:bCs w:val="1"/>
          <w:color w:val="4472C4"/>
        </w:rPr>
        <w:t>Mauro Gregorio</w:t>
      </w:r>
    </w:p>
    <w:p>
      <w:pPr>
        <w:spacing w:after="0" w:line="5" w:lineRule="exact"/>
        <w:rPr>
          <w:sz w:val="20"/>
          <w:szCs w:val="20"/>
          <w:color w:val="auto"/>
        </w:rPr>
      </w:pPr>
    </w:p>
    <w:p>
      <w:pPr>
        <w:jc w:val="center"/>
        <w:ind w:right="140"/>
        <w:spacing w:after="0"/>
        <w:rPr>
          <w:sz w:val="20"/>
          <w:szCs w:val="20"/>
          <w:color w:val="auto"/>
        </w:rPr>
      </w:pPr>
      <w:r>
        <w:rPr>
          <w:rFonts w:ascii="Calibri" w:cs="Calibri" w:eastAsia="Calibri" w:hAnsi="Calibri"/>
          <w:sz w:val="18"/>
          <w:szCs w:val="18"/>
          <w:b w:val="1"/>
          <w:bCs w:val="1"/>
          <w:color w:val="auto"/>
        </w:rPr>
        <w:t>President - Performance Materials and Coatngs,</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Dow Inc.</w:t>
      </w:r>
    </w:p>
    <w:p>
      <w:pPr>
        <w:spacing w:after="0" w:line="105"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Independent Director since 2021</w:t>
      </w:r>
    </w:p>
    <w:p>
      <w:pPr>
        <w:jc w:val="center"/>
        <w:ind w:right="100"/>
        <w:spacing w:after="0" w:line="235" w:lineRule="auto"/>
        <w:rPr>
          <w:sz w:val="20"/>
          <w:szCs w:val="20"/>
          <w:color w:val="auto"/>
        </w:rPr>
      </w:pPr>
      <w:r>
        <w:rPr>
          <w:rFonts w:ascii="Calibri" w:cs="Calibri" w:eastAsia="Calibri" w:hAnsi="Calibri"/>
          <w:sz w:val="18"/>
          <w:szCs w:val="18"/>
          <w:color w:val="auto"/>
        </w:rPr>
        <w:t>Age: 61</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Audit; Corporate Governance, Nominatng and Sustainability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President – Performance Materials and Coatngs, Dow Inc. (2020-present)</w:t>
      </w:r>
    </w:p>
    <w:p>
      <w:pPr>
        <w:ind w:left="740"/>
        <w:spacing w:after="0" w:line="236" w:lineRule="auto"/>
        <w:rPr>
          <w:sz w:val="20"/>
          <w:szCs w:val="20"/>
          <w:color w:val="auto"/>
        </w:rPr>
      </w:pPr>
      <w:r>
        <w:rPr>
          <w:rFonts w:ascii="Calibri" w:cs="Calibri" w:eastAsia="Calibri" w:hAnsi="Calibri"/>
          <w:sz w:val="18"/>
          <w:szCs w:val="18"/>
          <w:color w:val="auto"/>
        </w:rPr>
        <w:t>Executve Oversight for Latn America, Dow Inc. (2019-present)</w:t>
      </w:r>
    </w:p>
    <w:p>
      <w:pPr>
        <w:ind w:left="740"/>
        <w:spacing w:after="0" w:line="236" w:lineRule="auto"/>
        <w:rPr>
          <w:sz w:val="20"/>
          <w:szCs w:val="20"/>
          <w:color w:val="auto"/>
        </w:rPr>
      </w:pPr>
      <w:r>
        <w:rPr>
          <w:rFonts w:ascii="Calibri" w:cs="Calibri" w:eastAsia="Calibri" w:hAnsi="Calibri"/>
          <w:sz w:val="18"/>
          <w:szCs w:val="18"/>
          <w:color w:val="auto"/>
        </w:rPr>
        <w:t>CEO – Dow Silicone Corporaton f/k/a Dow Corning (2016-present)</w:t>
      </w:r>
    </w:p>
    <w:p>
      <w:pPr>
        <w:ind w:left="740"/>
        <w:spacing w:after="0" w:line="236" w:lineRule="auto"/>
        <w:rPr>
          <w:sz w:val="20"/>
          <w:szCs w:val="20"/>
          <w:color w:val="auto"/>
        </w:rPr>
      </w:pPr>
      <w:r>
        <w:rPr>
          <w:rFonts w:ascii="Calibri" w:cs="Calibri" w:eastAsia="Calibri" w:hAnsi="Calibri"/>
          <w:sz w:val="18"/>
          <w:szCs w:val="18"/>
          <w:color w:val="auto"/>
        </w:rPr>
        <w:t>President – Dow Consumer Solutons, Dow Inc. (2016-2020)</w:t>
      </w:r>
    </w:p>
    <w:p>
      <w:pPr>
        <w:ind w:left="740"/>
        <w:spacing w:after="0" w:line="236" w:lineRule="auto"/>
        <w:rPr>
          <w:sz w:val="20"/>
          <w:szCs w:val="20"/>
          <w:color w:val="auto"/>
        </w:rPr>
      </w:pPr>
      <w:r>
        <w:rPr>
          <w:rFonts w:ascii="Calibri" w:cs="Calibri" w:eastAsia="Calibri" w:hAnsi="Calibri"/>
          <w:sz w:val="18"/>
          <w:szCs w:val="18"/>
          <w:color w:val="auto"/>
        </w:rPr>
        <w:t>President – Feedstocks and Energy Business, Dow Inc. (2012-2016)</w:t>
      </w:r>
    </w:p>
    <w:p>
      <w:pPr>
        <w:ind w:left="740"/>
        <w:spacing w:after="0" w:line="236" w:lineRule="auto"/>
        <w:rPr>
          <w:sz w:val="20"/>
          <w:szCs w:val="20"/>
          <w:color w:val="auto"/>
        </w:rPr>
      </w:pPr>
      <w:r>
        <w:rPr>
          <w:rFonts w:ascii="Calibri" w:cs="Calibri" w:eastAsia="Calibri" w:hAnsi="Calibri"/>
          <w:sz w:val="18"/>
          <w:szCs w:val="18"/>
          <w:color w:val="auto"/>
        </w:rPr>
        <w:t>Commercial Vice President – EMEA and North America, Dow Inc. (2009-2012)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hanging="475"/>
        <w:spacing w:after="0" w:line="235" w:lineRule="auto"/>
        <w:tabs>
          <w:tab w:leader="none" w:pos="12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Executve leadership experience as an ofcer at a Fortune 100 Company (Dow) leading mult-billion-dollar global business divisions</w:t>
      </w:r>
    </w:p>
    <w:p>
      <w:pPr>
        <w:spacing w:after="0" w:line="123" w:lineRule="exact"/>
        <w:rPr>
          <w:rFonts w:ascii="Times New Roman" w:cs="Times New Roman" w:eastAsia="Times New Roman" w:hAnsi="Times New Roman"/>
          <w:sz w:val="18"/>
          <w:szCs w:val="18"/>
          <w:color w:val="auto"/>
        </w:rPr>
      </w:pPr>
    </w:p>
    <w:p>
      <w:pPr>
        <w:ind w:left="1220" w:right="280" w:hanging="475"/>
        <w:spacing w:after="0" w:line="235" w:lineRule="auto"/>
        <w:tabs>
          <w:tab w:leader="none" w:pos="12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executve business management experience acquired through several leadership assignments that included supply chain, commercial, innovaton and large M&amp;A transactons</w:t>
      </w:r>
    </w:p>
    <w:p>
      <w:pPr>
        <w:spacing w:after="0" w:line="123" w:lineRule="exact"/>
        <w:rPr>
          <w:rFonts w:ascii="Times New Roman" w:cs="Times New Roman" w:eastAsia="Times New Roman" w:hAnsi="Times New Roman"/>
          <w:sz w:val="18"/>
          <w:szCs w:val="18"/>
          <w:color w:val="auto"/>
        </w:rPr>
      </w:pPr>
    </w:p>
    <w:p>
      <w:pPr>
        <w:ind w:left="1220" w:right="260" w:hanging="475"/>
        <w:spacing w:after="0" w:line="235" w:lineRule="auto"/>
        <w:tabs>
          <w:tab w:leader="none" w:pos="12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global business leadership experience, including through internatonal assignments in Europe and Latn America and JV board service in Asia and the Middle East</w:t>
      </w:r>
    </w:p>
    <w:p>
      <w:pPr>
        <w:spacing w:after="0" w:line="123" w:lineRule="exact"/>
        <w:rPr>
          <w:rFonts w:ascii="Times New Roman" w:cs="Times New Roman" w:eastAsia="Times New Roman" w:hAnsi="Times New Roman"/>
          <w:sz w:val="18"/>
          <w:szCs w:val="18"/>
          <w:color w:val="auto"/>
        </w:rPr>
      </w:pPr>
    </w:p>
    <w:p>
      <w:pPr>
        <w:ind w:left="1220" w:right="480" w:hanging="475"/>
        <w:spacing w:after="0" w:line="235" w:lineRule="auto"/>
        <w:tabs>
          <w:tab w:leader="none" w:pos="12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Breadth of business management experience from industrial commodity to specialty-oriented businesses, building inclusive growth-oriented teams</w:t>
      </w:r>
    </w:p>
    <w:p>
      <w:pPr>
        <w:spacing w:after="0" w:line="118" w:lineRule="exact"/>
        <w:rPr>
          <w:rFonts w:ascii="Times New Roman" w:cs="Times New Roman" w:eastAsia="Times New Roman" w:hAnsi="Times New Roman"/>
          <w:sz w:val="18"/>
          <w:szCs w:val="18"/>
          <w:color w:val="auto"/>
        </w:rPr>
      </w:pPr>
    </w:p>
    <w:p>
      <w:pPr>
        <w:ind w:left="1220" w:hanging="475"/>
        <w:spacing w:after="0"/>
        <w:tabs>
          <w:tab w:leader="none" w:pos="12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Implementaton of leading-edge sustainability projects addressing greenhouse gas emissions and energy transiton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Chairman USA Delegaton of USA-Brazil CEO Forum (2019-present)</w:t>
      </w:r>
    </w:p>
    <w:p>
      <w:pPr>
        <w:ind w:left="740"/>
        <w:spacing w:after="0" w:line="236" w:lineRule="auto"/>
        <w:rPr>
          <w:sz w:val="20"/>
          <w:szCs w:val="20"/>
          <w:color w:val="auto"/>
        </w:rPr>
      </w:pPr>
      <w:r>
        <w:rPr>
          <w:rFonts w:ascii="Calibri" w:cs="Calibri" w:eastAsia="Calibri" w:hAnsi="Calibri"/>
          <w:sz w:val="18"/>
          <w:szCs w:val="18"/>
          <w:color w:val="auto"/>
        </w:rPr>
        <w:t>Mid-Michigan Health, Foundaton Board (2020-present)</w:t>
      </w:r>
    </w:p>
    <w:p>
      <w:pPr>
        <w:ind w:left="740"/>
        <w:spacing w:after="0" w:line="236" w:lineRule="auto"/>
        <w:rPr>
          <w:sz w:val="20"/>
          <w:szCs w:val="20"/>
          <w:color w:val="auto"/>
        </w:rPr>
      </w:pPr>
      <w:r>
        <w:rPr>
          <w:rFonts w:ascii="Calibri" w:cs="Calibri" w:eastAsia="Calibri" w:hAnsi="Calibri"/>
          <w:sz w:val="18"/>
          <w:szCs w:val="18"/>
          <w:color w:val="auto"/>
        </w:rPr>
        <w:t>United Way (Great Lakes, MI) (2016-2022)</w:t>
      </w:r>
    </w:p>
    <w:p>
      <w:pPr>
        <w:ind w:left="740"/>
        <w:spacing w:after="0" w:line="236" w:lineRule="auto"/>
        <w:rPr>
          <w:sz w:val="20"/>
          <w:szCs w:val="20"/>
          <w:color w:val="auto"/>
        </w:rPr>
      </w:pPr>
      <w:r>
        <w:rPr>
          <w:rFonts w:ascii="Calibri" w:cs="Calibri" w:eastAsia="Calibri" w:hAnsi="Calibri"/>
          <w:sz w:val="18"/>
          <w:szCs w:val="18"/>
          <w:color w:val="auto"/>
        </w:rPr>
        <w:t>Northwood University (2017-2020)</w:t>
      </w:r>
    </w:p>
    <w:p>
      <w:pPr>
        <w:ind w:left="740"/>
        <w:spacing w:after="0" w:line="236" w:lineRule="auto"/>
        <w:rPr>
          <w:sz w:val="20"/>
          <w:szCs w:val="20"/>
          <w:color w:val="auto"/>
        </w:rPr>
      </w:pPr>
      <w:r>
        <w:rPr>
          <w:rFonts w:ascii="Calibri" w:cs="Calibri" w:eastAsia="Calibri" w:hAnsi="Calibri"/>
          <w:sz w:val="18"/>
          <w:szCs w:val="18"/>
          <w:color w:val="auto"/>
        </w:rPr>
        <w:t>Several Dow JVs (Korea, Japan, Kuwait, Brazil, USA)</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B.S., Chemical Engineering, Escola de Engenharia Maua, Brazil</w:t>
      </w:r>
    </w:p>
    <w:p>
      <w:pPr>
        <w:ind w:left="740"/>
        <w:spacing w:after="0" w:line="236" w:lineRule="auto"/>
        <w:rPr>
          <w:sz w:val="20"/>
          <w:szCs w:val="20"/>
          <w:color w:val="auto"/>
        </w:rPr>
      </w:pPr>
      <w:r>
        <w:rPr>
          <w:rFonts w:ascii="Calibri" w:cs="Calibri" w:eastAsia="Calibri" w:hAnsi="Calibri"/>
          <w:sz w:val="18"/>
          <w:szCs w:val="18"/>
          <w:color w:val="auto"/>
        </w:rPr>
        <w:t>M.B.A., Northwood University</w:t>
      </w:r>
    </w:p>
    <w:p>
      <w:pPr>
        <w:spacing w:after="0" w:line="2" w:lineRule="exact"/>
        <w:rPr>
          <w:sz w:val="20"/>
          <w:szCs w:val="20"/>
          <w:color w:val="auto"/>
        </w:rPr>
      </w:pPr>
    </w:p>
    <w:p>
      <w:pPr>
        <w:ind w:left="740" w:right="880"/>
        <w:spacing w:after="0" w:line="249" w:lineRule="auto"/>
        <w:rPr>
          <w:sz w:val="20"/>
          <w:szCs w:val="20"/>
          <w:color w:val="auto"/>
        </w:rPr>
      </w:pPr>
      <w:r>
        <w:rPr>
          <w:rFonts w:ascii="Calibri" w:cs="Calibri" w:eastAsia="Calibri" w:hAnsi="Calibri"/>
          <w:sz w:val="17"/>
          <w:szCs w:val="17"/>
          <w:color w:val="auto"/>
        </w:rPr>
        <w:t>LCDA (Latno Corporate Directors Associaton) BoardReady Insttute (BRI) program in board governance excellence No. 1 Executve on the Yahoo Finance Empower Top 100 Ethnic Minority Senior Business Leader Role Models (2020)</w:t>
      </w:r>
    </w:p>
    <w:p>
      <w:pPr>
        <w:ind w:left="640"/>
        <w:spacing w:after="0" w:line="236" w:lineRule="auto"/>
        <w:rPr>
          <w:sz w:val="20"/>
          <w:szCs w:val="20"/>
          <w:color w:val="auto"/>
        </w:rPr>
      </w:pPr>
      <w:r>
        <w:rPr>
          <w:rFonts w:ascii="Calibri" w:cs="Calibri" w:eastAsia="Calibri" w:hAnsi="Calibri"/>
          <w:sz w:val="18"/>
          <w:szCs w:val="18"/>
          <w:color w:val="auto"/>
        </w:rPr>
        <w:t>– Top 10 Awardee in 2021-2023</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20"/>
        <w:spacing w:after="0"/>
        <w:rPr>
          <w:sz w:val="20"/>
          <w:szCs w:val="20"/>
          <w:color w:val="auto"/>
        </w:rPr>
      </w:pPr>
      <w:r>
        <w:rPr>
          <w:rFonts w:ascii="Calibri" w:cs="Calibri" w:eastAsia="Calibri" w:hAnsi="Calibri"/>
          <w:sz w:val="20"/>
          <w:szCs w:val="20"/>
          <w:color w:val="auto"/>
        </w:rPr>
        <w:t>Eagle Materials Inc. - 2024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80" w:top="976" w:right="979" w:bottom="1440" w:gutter="0" w:footer="0" w:header="0"/>
        </w:sectPr>
      </w:pPr>
    </w:p>
    <w:bookmarkStart w:id="15" w:name="page16"/>
    <w:bookmarkEnd w:id="15"/>
    <w:p>
      <w:pPr>
        <w:jc w:val="center"/>
        <w:ind w:right="60"/>
        <w:spacing w:after="0"/>
        <w:rPr>
          <w:sz w:val="20"/>
          <w:szCs w:val="20"/>
          <w:color w:val="auto"/>
        </w:rPr>
      </w:pPr>
      <w:r>
        <w:rPr>
          <w:rFonts w:ascii="Calibri" w:cs="Calibri" w:eastAsia="Calibri" w:hAnsi="Calibri"/>
          <w:sz w:val="25"/>
          <w:szCs w:val="25"/>
          <w:b w:val="1"/>
          <w:bCs w:val="1"/>
          <w:color w:val="4472C4"/>
        </w:rPr>
        <w:t>Michael R. Haack</w:t>
      </w:r>
    </w:p>
    <w:p>
      <w:pPr>
        <w:spacing w:after="0" w:line="5"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b w:val="1"/>
          <w:bCs w:val="1"/>
          <w:color w:val="auto"/>
        </w:rPr>
        <w:t>President and Chief Executve Ofcer,</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Eagle Materials Inc.</w:t>
      </w:r>
    </w:p>
    <w:p>
      <w:pPr>
        <w:spacing w:after="0" w:line="105"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Director since 2019</w:t>
      </w:r>
    </w:p>
    <w:p>
      <w:pPr>
        <w:jc w:val="center"/>
        <w:ind w:right="40"/>
        <w:spacing w:after="0" w:line="235" w:lineRule="auto"/>
        <w:rPr>
          <w:sz w:val="20"/>
          <w:szCs w:val="20"/>
          <w:color w:val="auto"/>
        </w:rPr>
      </w:pPr>
      <w:r>
        <w:rPr>
          <w:rFonts w:ascii="Calibri" w:cs="Calibri" w:eastAsia="Calibri" w:hAnsi="Calibri"/>
          <w:sz w:val="18"/>
          <w:szCs w:val="18"/>
          <w:color w:val="auto"/>
        </w:rPr>
        <w:t>Age: 51</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Executve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President and Chief Executve Ofcer, Eagle Materials Inc. (2019-present)</w:t>
      </w:r>
    </w:p>
    <w:p>
      <w:pPr>
        <w:ind w:left="740"/>
        <w:spacing w:after="0" w:line="236" w:lineRule="auto"/>
        <w:rPr>
          <w:sz w:val="20"/>
          <w:szCs w:val="20"/>
          <w:color w:val="auto"/>
        </w:rPr>
      </w:pPr>
      <w:r>
        <w:rPr>
          <w:rFonts w:ascii="Calibri" w:cs="Calibri" w:eastAsia="Calibri" w:hAnsi="Calibri"/>
          <w:sz w:val="18"/>
          <w:szCs w:val="18"/>
          <w:color w:val="auto"/>
        </w:rPr>
        <w:t>President and Chief Operatng Ofcer, Eagle Materials Inc. (2018-2019)</w:t>
      </w:r>
    </w:p>
    <w:p>
      <w:pPr>
        <w:ind w:left="740"/>
        <w:spacing w:after="0" w:line="236" w:lineRule="auto"/>
        <w:rPr>
          <w:sz w:val="20"/>
          <w:szCs w:val="20"/>
          <w:color w:val="auto"/>
        </w:rPr>
      </w:pPr>
      <w:r>
        <w:rPr>
          <w:rFonts w:ascii="Calibri" w:cs="Calibri" w:eastAsia="Calibri" w:hAnsi="Calibri"/>
          <w:sz w:val="18"/>
          <w:szCs w:val="18"/>
          <w:color w:val="auto"/>
        </w:rPr>
        <w:t>Executve Vice President and Chief Operatng Ofcer, Eagle Materials Inc. (2014-2018)</w:t>
      </w:r>
    </w:p>
    <w:p>
      <w:pPr>
        <w:ind w:left="740"/>
        <w:spacing w:after="0" w:line="236" w:lineRule="auto"/>
        <w:rPr>
          <w:sz w:val="20"/>
          <w:szCs w:val="20"/>
          <w:color w:val="auto"/>
        </w:rPr>
      </w:pPr>
      <w:r>
        <w:rPr>
          <w:rFonts w:ascii="Calibri" w:cs="Calibri" w:eastAsia="Calibri" w:hAnsi="Calibri"/>
          <w:sz w:val="18"/>
          <w:szCs w:val="18"/>
          <w:color w:val="auto"/>
        </w:rPr>
        <w:t>Global Operatons Manager, Sperry Drilling, Halliburton Energy Services (2014)</w:t>
      </w:r>
    </w:p>
    <w:p>
      <w:pPr>
        <w:ind w:left="740"/>
        <w:spacing w:after="0" w:line="236" w:lineRule="auto"/>
        <w:rPr>
          <w:sz w:val="20"/>
          <w:szCs w:val="20"/>
          <w:color w:val="auto"/>
        </w:rPr>
      </w:pPr>
      <w:r>
        <w:rPr>
          <w:rFonts w:ascii="Calibri" w:cs="Calibri" w:eastAsia="Calibri" w:hAnsi="Calibri"/>
          <w:sz w:val="18"/>
          <w:szCs w:val="18"/>
          <w:color w:val="auto"/>
        </w:rPr>
        <w:t>Principal Global Strategic Business Manager, Sperry Drilling, Halliburton Energy Services (2013-2014)</w:t>
      </w:r>
    </w:p>
    <w:p>
      <w:pPr>
        <w:ind w:left="740"/>
        <w:spacing w:after="0" w:line="236" w:lineRule="auto"/>
        <w:rPr>
          <w:sz w:val="20"/>
          <w:szCs w:val="20"/>
          <w:color w:val="auto"/>
        </w:rPr>
      </w:pPr>
      <w:r>
        <w:rPr>
          <w:rFonts w:ascii="Calibri" w:cs="Calibri" w:eastAsia="Calibri" w:hAnsi="Calibri"/>
          <w:sz w:val="18"/>
          <w:szCs w:val="18"/>
          <w:color w:val="auto"/>
        </w:rPr>
        <w:t>Senior Northern Region Manager, Sperry Drilling, Halliburton Energy Services (2010-2013)</w:t>
      </w:r>
    </w:p>
    <w:p>
      <w:pPr>
        <w:ind w:left="740"/>
        <w:spacing w:after="0" w:line="236" w:lineRule="auto"/>
        <w:rPr>
          <w:sz w:val="20"/>
          <w:szCs w:val="20"/>
          <w:color w:val="auto"/>
        </w:rPr>
      </w:pPr>
      <w:r>
        <w:rPr>
          <w:rFonts w:ascii="Calibri" w:cs="Calibri" w:eastAsia="Calibri" w:hAnsi="Calibri"/>
          <w:sz w:val="18"/>
          <w:szCs w:val="18"/>
          <w:color w:val="auto"/>
        </w:rPr>
        <w:t>Senior Country Manager (Norway), Sperry Drilling, Halliburton Energy Services (2008-2010)</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18" w:lineRule="exact"/>
        <w:rPr>
          <w:sz w:val="20"/>
          <w:szCs w:val="20"/>
          <w:color w:val="auto"/>
        </w:rPr>
      </w:pPr>
    </w:p>
    <w:p>
      <w:pPr>
        <w:ind w:left="1220" w:hanging="475"/>
        <w:spacing w:after="0"/>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knowledge of the Company’s operatons</w:t>
      </w:r>
    </w:p>
    <w:p>
      <w:pPr>
        <w:spacing w:after="0" w:line="122" w:lineRule="exact"/>
        <w:rPr>
          <w:rFonts w:ascii="Times New Roman" w:cs="Times New Roman" w:eastAsia="Times New Roman" w:hAnsi="Times New Roman"/>
          <w:sz w:val="18"/>
          <w:szCs w:val="18"/>
          <w:color w:val="auto"/>
        </w:rPr>
      </w:pPr>
    </w:p>
    <w:p>
      <w:pPr>
        <w:ind w:left="1220" w:right="60" w:hanging="475"/>
        <w:spacing w:after="0" w:line="235" w:lineRule="auto"/>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Executve, operatonal, supply chain and strategic planning experience gained in manufacturing and heavy industry over the past 20 years</w:t>
      </w:r>
    </w:p>
    <w:p>
      <w:pPr>
        <w:spacing w:after="0" w:line="118" w:lineRule="exact"/>
        <w:rPr>
          <w:rFonts w:ascii="Times New Roman" w:cs="Times New Roman" w:eastAsia="Times New Roman" w:hAnsi="Times New Roman"/>
          <w:sz w:val="18"/>
          <w:szCs w:val="18"/>
          <w:color w:val="auto"/>
        </w:rPr>
      </w:pPr>
    </w:p>
    <w:p>
      <w:pPr>
        <w:ind w:left="1220" w:hanging="475"/>
        <w:spacing w:after="0"/>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Mergers and acquisitons experience, including divesttures and integraton of acquired businesses</w:t>
      </w:r>
    </w:p>
    <w:p>
      <w:pPr>
        <w:spacing w:after="0" w:line="117" w:lineRule="exact"/>
        <w:rPr>
          <w:rFonts w:ascii="Times New Roman" w:cs="Times New Roman" w:eastAsia="Times New Roman" w:hAnsi="Times New Roman"/>
          <w:sz w:val="18"/>
          <w:szCs w:val="18"/>
          <w:color w:val="auto"/>
        </w:rPr>
      </w:pPr>
    </w:p>
    <w:p>
      <w:pPr>
        <w:ind w:left="1220" w:hanging="475"/>
        <w:spacing w:after="0"/>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engineering and environmental experience gained in heavy industry</w:t>
      </w:r>
    </w:p>
    <w:p>
      <w:pPr>
        <w:spacing w:after="0" w:line="122" w:lineRule="exact"/>
        <w:rPr>
          <w:rFonts w:ascii="Times New Roman" w:cs="Times New Roman" w:eastAsia="Times New Roman" w:hAnsi="Times New Roman"/>
          <w:sz w:val="18"/>
          <w:szCs w:val="18"/>
          <w:color w:val="auto"/>
        </w:rPr>
      </w:pPr>
    </w:p>
    <w:p>
      <w:pPr>
        <w:ind w:left="1220" w:hanging="475"/>
        <w:spacing w:after="0" w:line="235" w:lineRule="auto"/>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internatonal experience living and managing operatons in foreign countries and managing remote operatons globally for Halliburton, bringing a global view to decision-making and strategy</w:t>
      </w:r>
    </w:p>
    <w:p>
      <w:pPr>
        <w:spacing w:after="0" w:line="123" w:lineRule="exact"/>
        <w:rPr>
          <w:rFonts w:ascii="Times New Roman" w:cs="Times New Roman" w:eastAsia="Times New Roman" w:hAnsi="Times New Roman"/>
          <w:sz w:val="18"/>
          <w:szCs w:val="18"/>
          <w:color w:val="auto"/>
        </w:rPr>
      </w:pPr>
    </w:p>
    <w:p>
      <w:pPr>
        <w:ind w:left="1220" w:right="180" w:hanging="475"/>
        <w:spacing w:after="0" w:line="235" w:lineRule="auto"/>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experience managing large operatons – $3.6 billion in revenue, 8,000+ personnel with extensive network of facilites globally</w:t>
      </w:r>
    </w:p>
    <w:p>
      <w:pPr>
        <w:spacing w:after="0" w:line="123" w:lineRule="exact"/>
        <w:rPr>
          <w:rFonts w:ascii="Times New Roman" w:cs="Times New Roman" w:eastAsia="Times New Roman" w:hAnsi="Times New Roman"/>
          <w:sz w:val="18"/>
          <w:szCs w:val="18"/>
          <w:color w:val="auto"/>
        </w:rPr>
      </w:pPr>
    </w:p>
    <w:p>
      <w:pPr>
        <w:ind w:left="1220" w:right="140" w:hanging="475"/>
        <w:spacing w:after="0" w:line="235" w:lineRule="auto"/>
        <w:tabs>
          <w:tab w:leader="none" w:pos="12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commitment and experience with establishing safety cultures, processes and procedures to enable operatons to run more safely with reduced impact on the environment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Member of the Texas A&amp;M University Industrial Engineering Advisory Council (2002-present)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B.S., Industrial Engineering, Purdue University</w:t>
      </w:r>
    </w:p>
    <w:p>
      <w:pPr>
        <w:ind w:left="740"/>
        <w:spacing w:after="0" w:line="236" w:lineRule="auto"/>
        <w:rPr>
          <w:sz w:val="20"/>
          <w:szCs w:val="20"/>
          <w:color w:val="auto"/>
        </w:rPr>
      </w:pPr>
      <w:r>
        <w:rPr>
          <w:rFonts w:ascii="Calibri" w:cs="Calibri" w:eastAsia="Calibri" w:hAnsi="Calibri"/>
          <w:sz w:val="18"/>
          <w:szCs w:val="18"/>
          <w:color w:val="auto"/>
        </w:rPr>
        <w:t>M.S., Industrial Engineering, Texas A&amp;M University</w:t>
      </w:r>
    </w:p>
    <w:p>
      <w:pPr>
        <w:ind w:left="740"/>
        <w:spacing w:after="0" w:line="236" w:lineRule="auto"/>
        <w:rPr>
          <w:sz w:val="20"/>
          <w:szCs w:val="20"/>
          <w:color w:val="auto"/>
        </w:rPr>
      </w:pPr>
      <w:r>
        <w:rPr>
          <w:rFonts w:ascii="Calibri" w:cs="Calibri" w:eastAsia="Calibri" w:hAnsi="Calibri"/>
          <w:sz w:val="18"/>
          <w:szCs w:val="18"/>
          <w:color w:val="auto"/>
        </w:rPr>
        <w:t>M.B.A., Rice University</w:t>
      </w:r>
    </w:p>
    <w:p>
      <w:pPr>
        <w:spacing w:after="0" w:line="314"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auto"/>
        </w:rPr>
        <w:t>Eagle Materials Inc. - 2024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1080" w:top="976" w:right="1039" w:bottom="1440" w:gutter="0" w:footer="0" w:header="0"/>
        </w:sectPr>
      </w:pPr>
    </w:p>
    <w:bookmarkStart w:id="16" w:name="page17"/>
    <w:bookmarkEnd w:id="16"/>
    <w:p>
      <w:pPr>
        <w:ind w:left="4080" w:right="1640" w:hanging="2152"/>
        <w:spacing w:after="0" w:line="235" w:lineRule="auto"/>
        <w:rPr>
          <w:sz w:val="20"/>
          <w:szCs w:val="20"/>
          <w:color w:val="auto"/>
        </w:rPr>
      </w:pPr>
      <w:r>
        <w:rPr>
          <w:rFonts w:ascii="Calibri" w:cs="Calibri" w:eastAsia="Calibri" w:hAnsi="Calibri"/>
          <w:sz w:val="22"/>
          <w:szCs w:val="22"/>
          <w:b w:val="1"/>
          <w:bCs w:val="1"/>
          <w:color w:val="auto"/>
        </w:rPr>
        <w:t>Contnuing Directors Whose Terms Expire at our 2025 Annual Meetng (Class I Directors)</w:t>
      </w:r>
    </w:p>
    <w:p>
      <w:pPr>
        <w:spacing w:after="0" w:line="231" w:lineRule="exact"/>
        <w:rPr>
          <w:sz w:val="20"/>
          <w:szCs w:val="20"/>
          <w:color w:val="auto"/>
        </w:rPr>
      </w:pPr>
    </w:p>
    <w:p>
      <w:pPr>
        <w:jc w:val="center"/>
        <w:ind w:right="120"/>
        <w:spacing w:after="0"/>
        <w:rPr>
          <w:sz w:val="20"/>
          <w:szCs w:val="20"/>
          <w:color w:val="auto"/>
        </w:rPr>
      </w:pPr>
      <w:r>
        <w:rPr>
          <w:rFonts w:ascii="Calibri" w:cs="Calibri" w:eastAsia="Calibri" w:hAnsi="Calibri"/>
          <w:sz w:val="25"/>
          <w:szCs w:val="25"/>
          <w:b w:val="1"/>
          <w:bCs w:val="1"/>
          <w:color w:val="4472C4"/>
        </w:rPr>
        <w:t>George J. Damiris</w:t>
      </w:r>
    </w:p>
    <w:p>
      <w:pPr>
        <w:spacing w:after="0" w:line="5" w:lineRule="exact"/>
        <w:rPr>
          <w:sz w:val="20"/>
          <w:szCs w:val="20"/>
          <w:color w:val="auto"/>
        </w:rPr>
      </w:pPr>
    </w:p>
    <w:p>
      <w:pPr>
        <w:jc w:val="center"/>
        <w:ind w:right="140"/>
        <w:spacing w:after="0"/>
        <w:rPr>
          <w:sz w:val="20"/>
          <w:szCs w:val="20"/>
          <w:color w:val="auto"/>
        </w:rPr>
      </w:pPr>
      <w:r>
        <w:rPr>
          <w:rFonts w:ascii="Calibri" w:cs="Calibri" w:eastAsia="Calibri" w:hAnsi="Calibri"/>
          <w:sz w:val="18"/>
          <w:szCs w:val="18"/>
          <w:b w:val="1"/>
          <w:bCs w:val="1"/>
          <w:color w:val="auto"/>
        </w:rPr>
        <w:t>Retred President and Chief Executve Ofcer,</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HollyFronter Corporaton</w:t>
      </w:r>
    </w:p>
    <w:p>
      <w:pPr>
        <w:jc w:val="center"/>
        <w:ind w:right="100"/>
        <w:spacing w:after="0" w:line="236" w:lineRule="auto"/>
        <w:rPr>
          <w:sz w:val="20"/>
          <w:szCs w:val="20"/>
          <w:color w:val="auto"/>
        </w:rPr>
      </w:pPr>
      <w:r>
        <w:rPr>
          <w:rFonts w:ascii="Calibri" w:cs="Calibri" w:eastAsia="Calibri" w:hAnsi="Calibri"/>
          <w:sz w:val="18"/>
          <w:szCs w:val="18"/>
          <w:b w:val="1"/>
          <w:bCs w:val="1"/>
          <w:color w:val="auto"/>
        </w:rPr>
        <w:t>Holly Energy Partners, L.P.</w:t>
      </w:r>
    </w:p>
    <w:p>
      <w:pPr>
        <w:spacing w:after="0" w:line="105"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Independent Director since 2016</w:t>
      </w:r>
    </w:p>
    <w:p>
      <w:pPr>
        <w:jc w:val="center"/>
        <w:ind w:right="100"/>
        <w:spacing w:after="0" w:line="235" w:lineRule="auto"/>
        <w:rPr>
          <w:sz w:val="20"/>
          <w:szCs w:val="20"/>
          <w:color w:val="auto"/>
        </w:rPr>
      </w:pPr>
      <w:r>
        <w:rPr>
          <w:rFonts w:ascii="Calibri" w:cs="Calibri" w:eastAsia="Calibri" w:hAnsi="Calibri"/>
          <w:sz w:val="18"/>
          <w:szCs w:val="18"/>
          <w:color w:val="auto"/>
        </w:rPr>
        <w:t>Age: 64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Compensaton (Chair)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President and Chief Executve Ofcer, HollyFronter Corporaton and Holly Energy Partners, L.P. (2016-2019)</w:t>
      </w:r>
    </w:p>
    <w:p>
      <w:pPr>
        <w:ind w:left="740"/>
        <w:spacing w:after="0" w:line="236" w:lineRule="auto"/>
        <w:rPr>
          <w:sz w:val="20"/>
          <w:szCs w:val="20"/>
          <w:color w:val="auto"/>
        </w:rPr>
      </w:pPr>
      <w:r>
        <w:rPr>
          <w:rFonts w:ascii="Calibri" w:cs="Calibri" w:eastAsia="Calibri" w:hAnsi="Calibri"/>
          <w:sz w:val="18"/>
          <w:szCs w:val="18"/>
          <w:color w:val="auto"/>
        </w:rPr>
        <w:t>Executve Vice President and Chief Operatng Ofcer, HollyFronter Corporaton (2014-2016)</w:t>
      </w:r>
    </w:p>
    <w:p>
      <w:pPr>
        <w:ind w:left="740"/>
        <w:spacing w:after="0" w:line="236" w:lineRule="auto"/>
        <w:rPr>
          <w:sz w:val="20"/>
          <w:szCs w:val="20"/>
          <w:color w:val="auto"/>
        </w:rPr>
      </w:pPr>
      <w:r>
        <w:rPr>
          <w:rFonts w:ascii="Calibri" w:cs="Calibri" w:eastAsia="Calibri" w:hAnsi="Calibri"/>
          <w:sz w:val="18"/>
          <w:szCs w:val="18"/>
          <w:color w:val="auto"/>
        </w:rPr>
        <w:t>Senior Vice President, Supply and Marketng, HollyFronter Corporaton (2008-2014)</w:t>
      </w:r>
    </w:p>
    <w:p>
      <w:pPr>
        <w:ind w:left="740"/>
        <w:spacing w:after="0" w:line="236" w:lineRule="auto"/>
        <w:rPr>
          <w:sz w:val="20"/>
          <w:szCs w:val="20"/>
          <w:color w:val="auto"/>
        </w:rPr>
      </w:pPr>
      <w:r>
        <w:rPr>
          <w:rFonts w:ascii="Calibri" w:cs="Calibri" w:eastAsia="Calibri" w:hAnsi="Calibri"/>
          <w:sz w:val="18"/>
          <w:szCs w:val="18"/>
          <w:color w:val="auto"/>
        </w:rPr>
        <w:t>Vice President, Corporate Development, HollyFronter Corporaton (2007-2008)</w:t>
      </w:r>
    </w:p>
    <w:p>
      <w:pPr>
        <w:ind w:left="740"/>
        <w:spacing w:after="0" w:line="236" w:lineRule="auto"/>
        <w:rPr>
          <w:sz w:val="20"/>
          <w:szCs w:val="20"/>
          <w:color w:val="auto"/>
        </w:rPr>
      </w:pPr>
      <w:r>
        <w:rPr>
          <w:rFonts w:ascii="Calibri" w:cs="Calibri" w:eastAsia="Calibri" w:hAnsi="Calibri"/>
          <w:sz w:val="18"/>
          <w:szCs w:val="18"/>
          <w:color w:val="auto"/>
        </w:rPr>
        <w:t>President, INVISTA Intermediates, Koch Industries, Inc. (2004-2007)</w:t>
      </w:r>
    </w:p>
    <w:p>
      <w:pPr>
        <w:ind w:left="740"/>
        <w:spacing w:after="0" w:line="236" w:lineRule="auto"/>
        <w:rPr>
          <w:sz w:val="20"/>
          <w:szCs w:val="20"/>
          <w:color w:val="auto"/>
        </w:rPr>
      </w:pPr>
      <w:r>
        <w:rPr>
          <w:rFonts w:ascii="Calibri" w:cs="Calibri" w:eastAsia="Calibri" w:hAnsi="Calibri"/>
          <w:sz w:val="18"/>
          <w:szCs w:val="18"/>
          <w:color w:val="auto"/>
        </w:rPr>
        <w:t>Managing Director, Koch Capital Markets, Koch Industries, Inc. (2001-2004)</w:t>
      </w:r>
    </w:p>
    <w:p>
      <w:pPr>
        <w:ind w:left="740"/>
        <w:spacing w:after="0" w:line="236" w:lineRule="auto"/>
        <w:rPr>
          <w:sz w:val="20"/>
          <w:szCs w:val="20"/>
          <w:color w:val="auto"/>
        </w:rPr>
      </w:pPr>
      <w:r>
        <w:rPr>
          <w:rFonts w:ascii="Calibri" w:cs="Calibri" w:eastAsia="Calibri" w:hAnsi="Calibri"/>
          <w:sz w:val="18"/>
          <w:szCs w:val="18"/>
          <w:color w:val="auto"/>
        </w:rPr>
        <w:t>Vice President, Koch Refning Company, Koch Industries, Inc. (1997-2001)</w:t>
      </w:r>
    </w:p>
    <w:p>
      <w:pPr>
        <w:ind w:left="740"/>
        <w:spacing w:after="0" w:line="236" w:lineRule="auto"/>
        <w:rPr>
          <w:sz w:val="20"/>
          <w:szCs w:val="20"/>
          <w:color w:val="auto"/>
        </w:rPr>
      </w:pPr>
      <w:r>
        <w:rPr>
          <w:rFonts w:ascii="Calibri" w:cs="Calibri" w:eastAsia="Calibri" w:hAnsi="Calibri"/>
          <w:sz w:val="18"/>
          <w:szCs w:val="18"/>
          <w:color w:val="auto"/>
        </w:rPr>
        <w:t>Vice President, Koch Chemical, Koch Industries, Inc. (1994-1997)</w:t>
      </w:r>
    </w:p>
    <w:p>
      <w:pPr>
        <w:ind w:left="740"/>
        <w:spacing w:after="0" w:line="236" w:lineRule="auto"/>
        <w:rPr>
          <w:sz w:val="20"/>
          <w:szCs w:val="20"/>
          <w:color w:val="auto"/>
        </w:rPr>
      </w:pPr>
      <w:r>
        <w:rPr>
          <w:rFonts w:ascii="Calibri" w:cs="Calibri" w:eastAsia="Calibri" w:hAnsi="Calibri"/>
          <w:sz w:val="18"/>
          <w:szCs w:val="18"/>
          <w:color w:val="auto"/>
        </w:rPr>
        <w:t>President, Koch Gas Services, Koch Industries, Inc. (1991-1994)</w:t>
      </w:r>
    </w:p>
    <w:p>
      <w:pPr>
        <w:ind w:left="740"/>
        <w:spacing w:after="0" w:line="236" w:lineRule="auto"/>
        <w:rPr>
          <w:sz w:val="20"/>
          <w:szCs w:val="20"/>
          <w:color w:val="auto"/>
        </w:rPr>
      </w:pPr>
      <w:r>
        <w:rPr>
          <w:rFonts w:ascii="Calibri" w:cs="Calibri" w:eastAsia="Calibri" w:hAnsi="Calibri"/>
          <w:sz w:val="18"/>
          <w:szCs w:val="18"/>
          <w:color w:val="auto"/>
        </w:rPr>
        <w:t>Manager – Commercial Development, Koch Petroleum Group, Koch Industries, Inc. (1989-1991)</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right="320" w:hanging="475"/>
        <w:spacing w:after="0" w:line="235" w:lineRule="auto"/>
        <w:tabs>
          <w:tab w:leader="none" w:pos="12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business leadership experience, including commercial and operatonal oversight of a regulated heavy industrial business</w:t>
      </w:r>
    </w:p>
    <w:p>
      <w:pPr>
        <w:spacing w:after="0" w:line="123" w:lineRule="exact"/>
        <w:rPr>
          <w:rFonts w:ascii="Times New Roman" w:cs="Times New Roman" w:eastAsia="Times New Roman" w:hAnsi="Times New Roman"/>
          <w:sz w:val="18"/>
          <w:szCs w:val="18"/>
          <w:color w:val="auto"/>
        </w:rPr>
      </w:pPr>
    </w:p>
    <w:p>
      <w:pPr>
        <w:ind w:left="1220" w:hanging="475"/>
        <w:spacing w:after="0" w:line="235" w:lineRule="auto"/>
        <w:tabs>
          <w:tab w:leader="none" w:pos="12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public company leadership experience, including strategic planning, capital allocaton, compensaton programs, succession planning, governance, investor and other stakeholder relatons</w:t>
      </w:r>
    </w:p>
    <w:p>
      <w:pPr>
        <w:spacing w:after="0" w:line="123" w:lineRule="exact"/>
        <w:rPr>
          <w:rFonts w:ascii="Times New Roman" w:cs="Times New Roman" w:eastAsia="Times New Roman" w:hAnsi="Times New Roman"/>
          <w:sz w:val="18"/>
          <w:szCs w:val="18"/>
          <w:color w:val="auto"/>
        </w:rPr>
      </w:pPr>
    </w:p>
    <w:p>
      <w:pPr>
        <w:ind w:left="1220" w:right="20" w:hanging="475"/>
        <w:spacing w:after="0" w:line="235" w:lineRule="auto"/>
        <w:tabs>
          <w:tab w:leader="none" w:pos="12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Proven business development experience identfying, evaluatng, executng and integratng various mergers, acquisitons, divesttures and capital projects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MRC Global Inc. (NYSE: MRC) (2021-present)</w:t>
      </w:r>
    </w:p>
    <w:p>
      <w:pPr>
        <w:ind w:left="740"/>
        <w:spacing w:after="0" w:line="236" w:lineRule="auto"/>
        <w:rPr>
          <w:sz w:val="20"/>
          <w:szCs w:val="20"/>
          <w:color w:val="auto"/>
        </w:rPr>
      </w:pPr>
      <w:r>
        <w:rPr>
          <w:rFonts w:ascii="Calibri" w:cs="Calibri" w:eastAsia="Calibri" w:hAnsi="Calibri"/>
          <w:sz w:val="18"/>
          <w:szCs w:val="18"/>
          <w:color w:val="auto"/>
        </w:rPr>
        <w:t>HollyFronter Corporaton (NYSE: HFC) (2015-2019)</w:t>
      </w:r>
    </w:p>
    <w:p>
      <w:pPr>
        <w:ind w:left="740"/>
        <w:spacing w:after="0" w:line="236" w:lineRule="auto"/>
        <w:rPr>
          <w:sz w:val="20"/>
          <w:szCs w:val="20"/>
          <w:color w:val="auto"/>
        </w:rPr>
      </w:pPr>
      <w:r>
        <w:rPr>
          <w:rFonts w:ascii="Calibri" w:cs="Calibri" w:eastAsia="Calibri" w:hAnsi="Calibri"/>
          <w:sz w:val="18"/>
          <w:szCs w:val="18"/>
          <w:color w:val="auto"/>
        </w:rPr>
        <w:t>Holly Energy Partners, L.P. (NYSE: HEP) (2016-2019)</w:t>
      </w:r>
    </w:p>
    <w:p>
      <w:pPr>
        <w:ind w:left="740"/>
        <w:spacing w:after="0" w:line="236" w:lineRule="auto"/>
        <w:rPr>
          <w:sz w:val="20"/>
          <w:szCs w:val="20"/>
          <w:color w:val="auto"/>
        </w:rPr>
      </w:pPr>
      <w:r>
        <w:rPr>
          <w:rFonts w:ascii="Calibri" w:cs="Calibri" w:eastAsia="Calibri" w:hAnsi="Calibri"/>
          <w:sz w:val="18"/>
          <w:szCs w:val="18"/>
          <w:color w:val="auto"/>
        </w:rPr>
        <w:t>Petroleum Service Corporaton (2021-2024)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B.S., Chemical Engineering, Case Western Reserve University</w:t>
      </w:r>
    </w:p>
    <w:p>
      <w:pPr>
        <w:ind w:left="740"/>
        <w:spacing w:after="0" w:line="236" w:lineRule="auto"/>
        <w:rPr>
          <w:sz w:val="20"/>
          <w:szCs w:val="20"/>
          <w:color w:val="auto"/>
        </w:rPr>
      </w:pPr>
      <w:r>
        <w:rPr>
          <w:rFonts w:ascii="Calibri" w:cs="Calibri" w:eastAsia="Calibri" w:hAnsi="Calibri"/>
          <w:sz w:val="18"/>
          <w:szCs w:val="18"/>
          <w:color w:val="auto"/>
        </w:rPr>
        <w:t>M.B.A., Case Western Reserve University</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20"/>
        <w:spacing w:after="0"/>
        <w:rPr>
          <w:sz w:val="20"/>
          <w:szCs w:val="20"/>
          <w:color w:val="auto"/>
        </w:rPr>
      </w:pPr>
      <w:r>
        <w:rPr>
          <w:rFonts w:ascii="Calibri" w:cs="Calibri" w:eastAsia="Calibri" w:hAnsi="Calibri"/>
          <w:sz w:val="20"/>
          <w:szCs w:val="20"/>
          <w:color w:val="auto"/>
        </w:rPr>
        <w:t>Eagle Materials Inc. - 2024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80" w:top="989" w:right="979" w:bottom="1440" w:gutter="0" w:footer="0" w:header="0"/>
        </w:sectPr>
      </w:pPr>
    </w:p>
    <w:bookmarkStart w:id="17" w:name="page18"/>
    <w:bookmarkEnd w:id="17"/>
    <w:p>
      <w:pPr>
        <w:jc w:val="center"/>
        <w:ind w:right="120"/>
        <w:spacing w:after="0"/>
        <w:rPr>
          <w:sz w:val="20"/>
          <w:szCs w:val="20"/>
          <w:color w:val="auto"/>
        </w:rPr>
      </w:pPr>
      <w:r>
        <w:rPr>
          <w:rFonts w:ascii="Calibri" w:cs="Calibri" w:eastAsia="Calibri" w:hAnsi="Calibri"/>
          <w:sz w:val="25"/>
          <w:szCs w:val="25"/>
          <w:b w:val="1"/>
          <w:bCs w:val="1"/>
          <w:color w:val="4472C4"/>
        </w:rPr>
        <w:t>Martn M. Ellen</w:t>
      </w:r>
    </w:p>
    <w:p>
      <w:pPr>
        <w:spacing w:after="0" w:line="5" w:lineRule="exact"/>
        <w:rPr>
          <w:sz w:val="20"/>
          <w:szCs w:val="20"/>
          <w:color w:val="auto"/>
        </w:rPr>
      </w:pPr>
    </w:p>
    <w:p>
      <w:pPr>
        <w:jc w:val="center"/>
        <w:ind w:right="140"/>
        <w:spacing w:after="0"/>
        <w:rPr>
          <w:sz w:val="20"/>
          <w:szCs w:val="20"/>
          <w:color w:val="auto"/>
        </w:rPr>
      </w:pPr>
      <w:r>
        <w:rPr>
          <w:rFonts w:ascii="Calibri" w:cs="Calibri" w:eastAsia="Calibri" w:hAnsi="Calibri"/>
          <w:sz w:val="18"/>
          <w:szCs w:val="18"/>
          <w:b w:val="1"/>
          <w:bCs w:val="1"/>
          <w:color w:val="auto"/>
        </w:rPr>
        <w:t>Retred Chief Financial Ofcer and Executve Vice President,</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Dr Pepper Snapple Group, Inc.</w:t>
      </w:r>
    </w:p>
    <w:p>
      <w:pPr>
        <w:spacing w:after="0" w:line="105"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Independent Director since 2013</w:t>
      </w:r>
    </w:p>
    <w:p>
      <w:pPr>
        <w:jc w:val="center"/>
        <w:ind w:right="100"/>
        <w:spacing w:after="0" w:line="235" w:lineRule="auto"/>
        <w:rPr>
          <w:sz w:val="20"/>
          <w:szCs w:val="20"/>
          <w:color w:val="auto"/>
        </w:rPr>
      </w:pPr>
      <w:r>
        <w:rPr>
          <w:rFonts w:ascii="Calibri" w:cs="Calibri" w:eastAsia="Calibri" w:hAnsi="Calibri"/>
          <w:sz w:val="18"/>
          <w:szCs w:val="18"/>
          <w:color w:val="auto"/>
        </w:rPr>
        <w:t>Age: 70</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Audit (Chair)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Chief Financial Ofcer and Executve Vice President, Dr Pepper Snapple Group, Inc. (NYSE: DPS) (2010-2018)</w:t>
      </w:r>
    </w:p>
    <w:p>
      <w:pPr>
        <w:ind w:left="740"/>
        <w:spacing w:after="0" w:line="236" w:lineRule="auto"/>
        <w:rPr>
          <w:sz w:val="20"/>
          <w:szCs w:val="20"/>
          <w:color w:val="auto"/>
        </w:rPr>
      </w:pPr>
      <w:r>
        <w:rPr>
          <w:rFonts w:ascii="Calibri" w:cs="Calibri" w:eastAsia="Calibri" w:hAnsi="Calibri"/>
          <w:sz w:val="18"/>
          <w:szCs w:val="18"/>
          <w:color w:val="auto"/>
        </w:rPr>
        <w:t>Chief Financial Ofcer and Senior Vice President – Finance, Snap-on Inc. (NYSE: SNAP) (2002-2010)</w:t>
      </w:r>
    </w:p>
    <w:p>
      <w:pPr>
        <w:ind w:left="740"/>
        <w:spacing w:after="0" w:line="236" w:lineRule="auto"/>
        <w:rPr>
          <w:sz w:val="20"/>
          <w:szCs w:val="20"/>
          <w:color w:val="auto"/>
        </w:rPr>
      </w:pPr>
      <w:r>
        <w:rPr>
          <w:rFonts w:ascii="Calibri" w:cs="Calibri" w:eastAsia="Calibri" w:hAnsi="Calibri"/>
          <w:sz w:val="18"/>
          <w:szCs w:val="18"/>
          <w:color w:val="auto"/>
        </w:rPr>
        <w:t>Vice President and Chief Financial Ofcer, Cabot Microelectronics Corporaton (NTSE: CBT) (2001-2002)</w:t>
      </w:r>
    </w:p>
    <w:p>
      <w:pPr>
        <w:ind w:left="740"/>
        <w:spacing w:after="0" w:line="236" w:lineRule="auto"/>
        <w:rPr>
          <w:sz w:val="20"/>
          <w:szCs w:val="20"/>
          <w:color w:val="auto"/>
        </w:rPr>
      </w:pPr>
      <w:r>
        <w:rPr>
          <w:rFonts w:ascii="Calibri" w:cs="Calibri" w:eastAsia="Calibri" w:hAnsi="Calibri"/>
          <w:sz w:val="18"/>
          <w:szCs w:val="18"/>
          <w:color w:val="auto"/>
        </w:rPr>
        <w:t>Senior Vice President and Chief Financial Ofcer, Whitman Corporaton (NYSE: PAS) (1998-2001)</w:t>
      </w:r>
    </w:p>
    <w:p>
      <w:pPr>
        <w:ind w:left="740"/>
        <w:spacing w:after="0" w:line="236" w:lineRule="auto"/>
        <w:rPr>
          <w:sz w:val="20"/>
          <w:szCs w:val="20"/>
          <w:color w:val="auto"/>
        </w:rPr>
      </w:pPr>
      <w:r>
        <w:rPr>
          <w:rFonts w:ascii="Calibri" w:cs="Calibri" w:eastAsia="Calibri" w:hAnsi="Calibri"/>
          <w:sz w:val="18"/>
          <w:szCs w:val="18"/>
          <w:color w:val="auto"/>
        </w:rPr>
        <w:t>Chief Financial Ofcer of two Caremark divisions (Home Healthcare and Physician Practce Management) (1992-1998)</w:t>
      </w:r>
    </w:p>
    <w:p>
      <w:pPr>
        <w:ind w:left="740"/>
        <w:spacing w:after="0" w:line="236" w:lineRule="auto"/>
        <w:rPr>
          <w:sz w:val="20"/>
          <w:szCs w:val="20"/>
          <w:color w:val="auto"/>
        </w:rPr>
      </w:pPr>
      <w:r>
        <w:rPr>
          <w:rFonts w:ascii="Calibri" w:cs="Calibri" w:eastAsia="Calibri" w:hAnsi="Calibri"/>
          <w:sz w:val="18"/>
          <w:szCs w:val="18"/>
          <w:color w:val="auto"/>
        </w:rPr>
        <w:t>Chief Financial Ofcer, Sun Electric Corp. (1988-1992)</w:t>
      </w:r>
    </w:p>
    <w:p>
      <w:pPr>
        <w:ind w:left="740"/>
        <w:spacing w:after="0" w:line="236" w:lineRule="auto"/>
        <w:rPr>
          <w:sz w:val="20"/>
          <w:szCs w:val="20"/>
          <w:color w:val="auto"/>
        </w:rPr>
      </w:pPr>
      <w:r>
        <w:rPr>
          <w:rFonts w:ascii="Calibri" w:cs="Calibri" w:eastAsia="Calibri" w:hAnsi="Calibri"/>
          <w:sz w:val="18"/>
          <w:szCs w:val="18"/>
          <w:color w:val="auto"/>
        </w:rPr>
        <w:t>Chief Financial Ofcer, D&amp;K Financial Corp. (1984-1988)</w:t>
      </w:r>
    </w:p>
    <w:p>
      <w:pPr>
        <w:ind w:left="740"/>
        <w:spacing w:after="0" w:line="236" w:lineRule="auto"/>
        <w:rPr>
          <w:sz w:val="20"/>
          <w:szCs w:val="20"/>
          <w:color w:val="auto"/>
        </w:rPr>
      </w:pPr>
      <w:r>
        <w:rPr>
          <w:rFonts w:ascii="Calibri" w:cs="Calibri" w:eastAsia="Calibri" w:hAnsi="Calibri"/>
          <w:sz w:val="18"/>
          <w:szCs w:val="18"/>
          <w:color w:val="auto"/>
        </w:rPr>
        <w:t>Senior Audit Manager, Price Waterhouse (1975-1984)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40" w:hanging="495"/>
        <w:spacing w:after="0" w:line="235" w:lineRule="auto"/>
        <w:tabs>
          <w:tab w:leader="none" w:pos="124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Rigorous accountng, tax, treasury, audit, informaton technology and business development experience and knowledge gained from over 30 years serving as chief fnancial ofcer with public and private companies and prior experience with a major public accountng frm</w:t>
      </w:r>
    </w:p>
    <w:p>
      <w:pPr>
        <w:spacing w:after="0" w:line="124" w:lineRule="exact"/>
        <w:rPr>
          <w:rFonts w:ascii="Times New Roman" w:cs="Times New Roman" w:eastAsia="Times New Roman" w:hAnsi="Times New Roman"/>
          <w:sz w:val="18"/>
          <w:szCs w:val="18"/>
          <w:color w:val="auto"/>
        </w:rPr>
      </w:pPr>
    </w:p>
    <w:p>
      <w:pPr>
        <w:ind w:left="1240" w:right="20" w:hanging="495"/>
        <w:spacing w:after="0" w:line="235" w:lineRule="auto"/>
        <w:tabs>
          <w:tab w:leader="none" w:pos="124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 Chief Financial Ofcer, extensive executve, leadership and operatonal experience in strategic planning, risk oversight, executve compensaton, lean and six sigma process improvement methodologies and environmental, social and governance issues</w:t>
      </w:r>
    </w:p>
    <w:p>
      <w:pPr>
        <w:spacing w:after="0" w:line="124" w:lineRule="exact"/>
        <w:rPr>
          <w:rFonts w:ascii="Times New Roman" w:cs="Times New Roman" w:eastAsia="Times New Roman" w:hAnsi="Times New Roman"/>
          <w:sz w:val="18"/>
          <w:szCs w:val="18"/>
          <w:color w:val="auto"/>
        </w:rPr>
      </w:pPr>
    </w:p>
    <w:p>
      <w:pPr>
        <w:ind w:left="1240" w:right="200" w:hanging="495"/>
        <w:spacing w:after="0" w:line="235" w:lineRule="auto"/>
        <w:tabs>
          <w:tab w:leader="none" w:pos="124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Very extensive M&amp;A and business development experience gained through principal involvement in over $40 billion of acquisitons and divesttures internatonally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Boys and Girls Clubs of Greater Dallas, Chair of Finance Commitee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B.S., Accountng, University of Illinois Urbana-Champaign</w:t>
      </w:r>
    </w:p>
    <w:p>
      <w:pPr>
        <w:spacing w:after="0" w:line="2" w:lineRule="exact"/>
        <w:rPr>
          <w:sz w:val="20"/>
          <w:szCs w:val="20"/>
          <w:color w:val="auto"/>
        </w:rPr>
      </w:pPr>
    </w:p>
    <w:p>
      <w:pPr>
        <w:ind w:left="740" w:right="3880"/>
        <w:spacing w:after="0" w:line="235" w:lineRule="auto"/>
        <w:rPr>
          <w:sz w:val="20"/>
          <w:szCs w:val="20"/>
          <w:color w:val="auto"/>
        </w:rPr>
      </w:pPr>
      <w:r>
        <w:rPr>
          <w:rFonts w:ascii="Calibri" w:cs="Calibri" w:eastAsia="Calibri" w:hAnsi="Calibri"/>
          <w:sz w:val="18"/>
          <w:szCs w:val="18"/>
          <w:color w:val="auto"/>
        </w:rPr>
        <w:t>M.B.A., J.L. Kellogg Graduate School of Business, Northwestern University Certfed Public Accountant</w:t>
      </w:r>
    </w:p>
    <w:p>
      <w:pPr>
        <w:ind w:left="740"/>
        <w:spacing w:after="0" w:line="236" w:lineRule="auto"/>
        <w:rPr>
          <w:sz w:val="20"/>
          <w:szCs w:val="20"/>
          <w:color w:val="auto"/>
        </w:rPr>
      </w:pPr>
      <w:r>
        <w:rPr>
          <w:rFonts w:ascii="Calibri" w:cs="Calibri" w:eastAsia="Calibri" w:hAnsi="Calibri"/>
          <w:sz w:val="18"/>
          <w:szCs w:val="18"/>
          <w:color w:val="auto"/>
        </w:rPr>
        <w:t>Instructor, Business Leadership Center, Southern Methodist University, Cox School of Business</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20"/>
        <w:spacing w:after="0"/>
        <w:rPr>
          <w:sz w:val="20"/>
          <w:szCs w:val="20"/>
          <w:color w:val="auto"/>
        </w:rPr>
      </w:pPr>
      <w:r>
        <w:rPr>
          <w:rFonts w:ascii="Calibri" w:cs="Calibri" w:eastAsia="Calibri" w:hAnsi="Calibri"/>
          <w:sz w:val="20"/>
          <w:szCs w:val="20"/>
          <w:color w:val="auto"/>
        </w:rPr>
        <w:t>Eagle Materials Inc. - 2024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80" w:top="976" w:right="979" w:bottom="1440" w:gutter="0" w:footer="0" w:header="0"/>
        </w:sectPr>
      </w:pPr>
    </w:p>
    <w:bookmarkStart w:id="18" w:name="page19"/>
    <w:bookmarkEnd w:id="18"/>
    <w:p>
      <w:pPr>
        <w:jc w:val="center"/>
        <w:ind w:right="100"/>
        <w:spacing w:after="0"/>
        <w:rPr>
          <w:sz w:val="20"/>
          <w:szCs w:val="20"/>
          <w:color w:val="auto"/>
        </w:rPr>
      </w:pPr>
      <w:r>
        <w:rPr>
          <w:rFonts w:ascii="Calibri" w:cs="Calibri" w:eastAsia="Calibri" w:hAnsi="Calibri"/>
          <w:sz w:val="25"/>
          <w:szCs w:val="25"/>
          <w:b w:val="1"/>
          <w:bCs w:val="1"/>
          <w:color w:val="4472C4"/>
        </w:rPr>
        <w:t>David B. Powers</w:t>
      </w:r>
    </w:p>
    <w:p>
      <w:pPr>
        <w:spacing w:after="0" w:line="5" w:lineRule="exact"/>
        <w:rPr>
          <w:sz w:val="20"/>
          <w:szCs w:val="20"/>
          <w:color w:val="auto"/>
        </w:rPr>
      </w:pPr>
    </w:p>
    <w:p>
      <w:pPr>
        <w:jc w:val="center"/>
        <w:ind w:right="120"/>
        <w:spacing w:after="0"/>
        <w:rPr>
          <w:sz w:val="20"/>
          <w:szCs w:val="20"/>
          <w:color w:val="auto"/>
        </w:rPr>
      </w:pPr>
      <w:r>
        <w:rPr>
          <w:rFonts w:ascii="Calibri" w:cs="Calibri" w:eastAsia="Calibri" w:hAnsi="Calibri"/>
          <w:sz w:val="18"/>
          <w:szCs w:val="18"/>
          <w:b w:val="1"/>
          <w:bCs w:val="1"/>
          <w:color w:val="auto"/>
        </w:rPr>
        <w:t>Retred President and Chief Executve Ofcer,</w:t>
      </w:r>
    </w:p>
    <w:p>
      <w:pPr>
        <w:jc w:val="center"/>
        <w:ind w:right="80"/>
        <w:spacing w:after="0" w:line="235" w:lineRule="auto"/>
        <w:rPr>
          <w:sz w:val="20"/>
          <w:szCs w:val="20"/>
          <w:color w:val="auto"/>
        </w:rPr>
      </w:pPr>
      <w:r>
        <w:rPr>
          <w:rFonts w:ascii="Calibri" w:cs="Calibri" w:eastAsia="Calibri" w:hAnsi="Calibri"/>
          <w:sz w:val="18"/>
          <w:szCs w:val="18"/>
          <w:b w:val="1"/>
          <w:bCs w:val="1"/>
          <w:color w:val="auto"/>
        </w:rPr>
        <w:t>Eagle Materials Inc.</w:t>
      </w:r>
    </w:p>
    <w:p>
      <w:pPr>
        <w:spacing w:after="0" w:line="105"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color w:val="auto"/>
        </w:rPr>
        <w:t>Director since 2016 (Independent since 2023)</w:t>
      </w:r>
    </w:p>
    <w:p>
      <w:pPr>
        <w:jc w:val="center"/>
        <w:ind w:right="80"/>
        <w:spacing w:after="0" w:line="235" w:lineRule="auto"/>
        <w:rPr>
          <w:sz w:val="20"/>
          <w:szCs w:val="20"/>
          <w:color w:val="auto"/>
        </w:rPr>
      </w:pPr>
      <w:r>
        <w:rPr>
          <w:rFonts w:ascii="Calibri" w:cs="Calibri" w:eastAsia="Calibri" w:hAnsi="Calibri"/>
          <w:sz w:val="18"/>
          <w:szCs w:val="18"/>
          <w:color w:val="auto"/>
        </w:rPr>
        <w:t>Age: 74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President and Chief Executve Ofcer, Eagle Materials Inc. (2016-2019)</w:t>
      </w:r>
    </w:p>
    <w:p>
      <w:pPr>
        <w:ind w:left="740"/>
        <w:spacing w:after="0" w:line="236" w:lineRule="auto"/>
        <w:rPr>
          <w:sz w:val="20"/>
          <w:szCs w:val="20"/>
          <w:color w:val="auto"/>
        </w:rPr>
      </w:pPr>
      <w:r>
        <w:rPr>
          <w:rFonts w:ascii="Calibri" w:cs="Calibri" w:eastAsia="Calibri" w:hAnsi="Calibri"/>
          <w:sz w:val="18"/>
          <w:szCs w:val="18"/>
          <w:color w:val="auto"/>
        </w:rPr>
        <w:t>President, American Gypsum Company LLC (2005-2016)</w:t>
      </w:r>
    </w:p>
    <w:p>
      <w:pPr>
        <w:ind w:left="740"/>
        <w:spacing w:after="0" w:line="236" w:lineRule="auto"/>
        <w:rPr>
          <w:sz w:val="20"/>
          <w:szCs w:val="20"/>
          <w:color w:val="auto"/>
        </w:rPr>
      </w:pPr>
      <w:r>
        <w:rPr>
          <w:rFonts w:ascii="Calibri" w:cs="Calibri" w:eastAsia="Calibri" w:hAnsi="Calibri"/>
          <w:sz w:val="18"/>
          <w:szCs w:val="18"/>
          <w:color w:val="auto"/>
        </w:rPr>
        <w:t>Executve Vice President – Marketng, Sales and Distributon, American Gypsum Company LLC (2002-2005)</w:t>
      </w:r>
    </w:p>
    <w:p>
      <w:pPr>
        <w:ind w:left="740"/>
        <w:spacing w:after="0" w:line="236" w:lineRule="auto"/>
        <w:rPr>
          <w:sz w:val="20"/>
          <w:szCs w:val="20"/>
          <w:color w:val="auto"/>
        </w:rPr>
      </w:pPr>
      <w:r>
        <w:rPr>
          <w:rFonts w:ascii="Calibri" w:cs="Calibri" w:eastAsia="Calibri" w:hAnsi="Calibri"/>
          <w:sz w:val="18"/>
          <w:szCs w:val="18"/>
          <w:color w:val="auto"/>
        </w:rPr>
        <w:t>Prior Experience:</w:t>
      </w:r>
    </w:p>
    <w:p>
      <w:pPr>
        <w:ind w:left="1220"/>
        <w:spacing w:after="0" w:line="236" w:lineRule="auto"/>
        <w:rPr>
          <w:sz w:val="20"/>
          <w:szCs w:val="20"/>
          <w:color w:val="auto"/>
        </w:rPr>
      </w:pPr>
      <w:r>
        <w:rPr>
          <w:rFonts w:ascii="Calibri" w:cs="Calibri" w:eastAsia="Calibri" w:hAnsi="Calibri"/>
          <w:sz w:val="18"/>
          <w:szCs w:val="18"/>
          <w:color w:val="auto"/>
        </w:rPr>
        <w:t>Operatons Director, L&amp;W Supply Corp.</w:t>
      </w:r>
    </w:p>
    <w:p>
      <w:pPr>
        <w:ind w:left="1220"/>
        <w:spacing w:after="0" w:line="236" w:lineRule="auto"/>
        <w:rPr>
          <w:sz w:val="20"/>
          <w:szCs w:val="20"/>
          <w:color w:val="auto"/>
        </w:rPr>
      </w:pPr>
      <w:r>
        <w:rPr>
          <w:rFonts w:ascii="Calibri" w:cs="Calibri" w:eastAsia="Calibri" w:hAnsi="Calibri"/>
          <w:sz w:val="18"/>
          <w:szCs w:val="18"/>
          <w:color w:val="auto"/>
        </w:rPr>
        <w:t>Vice President of Sales and Marketng, USG Interiors</w:t>
      </w:r>
    </w:p>
    <w:p>
      <w:pPr>
        <w:ind w:left="1220"/>
        <w:spacing w:after="0" w:line="236" w:lineRule="auto"/>
        <w:rPr>
          <w:sz w:val="20"/>
          <w:szCs w:val="20"/>
          <w:color w:val="auto"/>
        </w:rPr>
      </w:pPr>
      <w:r>
        <w:rPr>
          <w:rFonts w:ascii="Calibri" w:cs="Calibri" w:eastAsia="Calibri" w:hAnsi="Calibri"/>
          <w:sz w:val="18"/>
          <w:szCs w:val="18"/>
          <w:color w:val="auto"/>
        </w:rPr>
        <w:t>Vice President – Customer Services, USG Corp.</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hanging="475"/>
        <w:spacing w:after="0" w:line="235" w:lineRule="auto"/>
        <w:tabs>
          <w:tab w:leader="none" w:pos="12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executve leadership, commercial, operatonal, fnancial and strategic planning experience gained over 35 years in the gypsum wallboard industry, through service as an executve ofcer and director and through partcipaton in the industry trade group, the Gypsum Associaton</w:t>
      </w:r>
    </w:p>
    <w:p>
      <w:pPr>
        <w:spacing w:after="0" w:line="119" w:lineRule="exact"/>
        <w:rPr>
          <w:rFonts w:ascii="Times New Roman" w:cs="Times New Roman" w:eastAsia="Times New Roman" w:hAnsi="Times New Roman"/>
          <w:sz w:val="18"/>
          <w:szCs w:val="18"/>
          <w:color w:val="auto"/>
        </w:rPr>
      </w:pPr>
    </w:p>
    <w:p>
      <w:pPr>
        <w:ind w:left="1220" w:hanging="475"/>
        <w:spacing w:after="0"/>
        <w:tabs>
          <w:tab w:leader="none" w:pos="12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knowledge of the Company and its business, sales organizaton, operatons and executve compensaton program</w:t>
      </w:r>
    </w:p>
    <w:p>
      <w:pPr>
        <w:spacing w:after="0" w:line="122" w:lineRule="exact"/>
        <w:rPr>
          <w:rFonts w:ascii="Times New Roman" w:cs="Times New Roman" w:eastAsia="Times New Roman" w:hAnsi="Times New Roman"/>
          <w:sz w:val="18"/>
          <w:szCs w:val="18"/>
          <w:color w:val="auto"/>
        </w:rPr>
      </w:pPr>
    </w:p>
    <w:p>
      <w:pPr>
        <w:ind w:left="1220" w:right="100" w:hanging="475"/>
        <w:spacing w:after="0" w:line="235" w:lineRule="auto"/>
        <w:tabs>
          <w:tab w:leader="none" w:pos="122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Experience with mergers and acquisitons, including principal involvement in the acquisiton and integraton of acquired businesses, and debt fnancings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B.B.A., California State University – Fullerton</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Eagle Materials Inc. - 2024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80" w:top="976" w:right="999" w:bottom="1440" w:gutter="0" w:footer="0" w:header="0"/>
        </w:sectPr>
      </w:pPr>
    </w:p>
    <w:bookmarkStart w:id="19" w:name="page20"/>
    <w:bookmarkEnd w:id="19"/>
    <w:p>
      <w:pPr>
        <w:jc w:val="center"/>
        <w:ind w:right="60"/>
        <w:spacing w:after="0"/>
        <w:rPr>
          <w:sz w:val="20"/>
          <w:szCs w:val="20"/>
          <w:color w:val="auto"/>
        </w:rPr>
      </w:pPr>
      <w:r>
        <w:rPr>
          <w:rFonts w:ascii="Calibri" w:cs="Calibri" w:eastAsia="Calibri" w:hAnsi="Calibri"/>
          <w:sz w:val="22"/>
          <w:szCs w:val="22"/>
          <w:b w:val="1"/>
          <w:bCs w:val="1"/>
          <w:color w:val="auto"/>
        </w:rPr>
        <w:t>Contnuing Directors Whose Terms Expire at our 2026 Annual Meetng</w:t>
      </w:r>
    </w:p>
    <w:p>
      <w:pPr>
        <w:spacing w:after="0" w:line="1" w:lineRule="exact"/>
        <w:rPr>
          <w:sz w:val="20"/>
          <w:szCs w:val="20"/>
          <w:color w:val="auto"/>
        </w:rPr>
      </w:pPr>
    </w:p>
    <w:p>
      <w:pPr>
        <w:jc w:val="center"/>
        <w:ind w:right="60"/>
        <w:spacing w:after="0"/>
        <w:rPr>
          <w:sz w:val="20"/>
          <w:szCs w:val="20"/>
          <w:color w:val="auto"/>
        </w:rPr>
      </w:pPr>
      <w:r>
        <w:rPr>
          <w:rFonts w:ascii="Calibri" w:cs="Calibri" w:eastAsia="Calibri" w:hAnsi="Calibri"/>
          <w:sz w:val="22"/>
          <w:szCs w:val="22"/>
          <w:b w:val="1"/>
          <w:bCs w:val="1"/>
          <w:color w:val="auto"/>
        </w:rPr>
        <w:t>(Class II Directors)</w:t>
      </w:r>
    </w:p>
    <w:p>
      <w:pPr>
        <w:spacing w:after="0" w:line="229" w:lineRule="exact"/>
        <w:rPr>
          <w:sz w:val="20"/>
          <w:szCs w:val="20"/>
          <w:color w:val="auto"/>
        </w:rPr>
      </w:pPr>
    </w:p>
    <w:p>
      <w:pPr>
        <w:jc w:val="center"/>
        <w:ind w:right="80"/>
        <w:spacing w:after="0"/>
        <w:rPr>
          <w:sz w:val="20"/>
          <w:szCs w:val="20"/>
          <w:color w:val="auto"/>
        </w:rPr>
      </w:pPr>
      <w:r>
        <w:rPr>
          <w:rFonts w:ascii="Calibri" w:cs="Calibri" w:eastAsia="Calibri" w:hAnsi="Calibri"/>
          <w:sz w:val="25"/>
          <w:szCs w:val="25"/>
          <w:b w:val="1"/>
          <w:bCs w:val="1"/>
          <w:color w:val="4472C4"/>
        </w:rPr>
        <w:t>Margot L. Carter</w:t>
      </w:r>
    </w:p>
    <w:p>
      <w:pPr>
        <w:spacing w:after="0" w:line="5" w:lineRule="exact"/>
        <w:rPr>
          <w:sz w:val="20"/>
          <w:szCs w:val="20"/>
          <w:color w:val="auto"/>
        </w:rPr>
      </w:pPr>
    </w:p>
    <w:p>
      <w:pPr>
        <w:ind w:left="4000"/>
        <w:spacing w:after="0"/>
        <w:rPr>
          <w:sz w:val="20"/>
          <w:szCs w:val="20"/>
          <w:color w:val="auto"/>
        </w:rPr>
      </w:pPr>
      <w:r>
        <w:rPr>
          <w:rFonts w:ascii="Calibri" w:cs="Calibri" w:eastAsia="Calibri" w:hAnsi="Calibri"/>
          <w:sz w:val="18"/>
          <w:szCs w:val="18"/>
          <w:b w:val="1"/>
          <w:bCs w:val="1"/>
          <w:color w:val="auto"/>
        </w:rPr>
        <w:t>President and Founder,</w:t>
      </w:r>
    </w:p>
    <w:p>
      <w:pPr>
        <w:ind w:left="3800"/>
        <w:spacing w:after="0" w:line="235" w:lineRule="auto"/>
        <w:rPr>
          <w:sz w:val="20"/>
          <w:szCs w:val="20"/>
          <w:color w:val="auto"/>
        </w:rPr>
      </w:pPr>
      <w:r>
        <w:rPr>
          <w:rFonts w:ascii="Calibri" w:cs="Calibri" w:eastAsia="Calibri" w:hAnsi="Calibri"/>
          <w:sz w:val="18"/>
          <w:szCs w:val="18"/>
          <w:b w:val="1"/>
          <w:bCs w:val="1"/>
          <w:color w:val="auto"/>
        </w:rPr>
        <w:t>Living Mountain Capital L.L.C.</w:t>
      </w:r>
    </w:p>
    <w:p>
      <w:pPr>
        <w:spacing w:after="0" w:line="105"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color w:val="auto"/>
        </w:rPr>
        <w:t>Independent Director since 2017</w:t>
      </w:r>
    </w:p>
    <w:p>
      <w:pPr>
        <w:jc w:val="center"/>
        <w:ind w:right="60"/>
        <w:spacing w:after="0" w:line="235" w:lineRule="auto"/>
        <w:rPr>
          <w:sz w:val="20"/>
          <w:szCs w:val="20"/>
          <w:color w:val="auto"/>
        </w:rPr>
      </w:pPr>
      <w:r>
        <w:rPr>
          <w:rFonts w:ascii="Calibri" w:cs="Calibri" w:eastAsia="Calibri" w:hAnsi="Calibri"/>
          <w:sz w:val="18"/>
          <w:szCs w:val="18"/>
          <w:color w:val="auto"/>
        </w:rPr>
        <w:t>Age: 56</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Compensaton; Corporate Governance, Nominatng and Sustainability; Former Member of the Audit Commitee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spacing w:after="0" w:line="1" w:lineRule="exact"/>
        <w:rPr>
          <w:sz w:val="20"/>
          <w:szCs w:val="20"/>
          <w:color w:val="auto"/>
        </w:rPr>
      </w:pPr>
    </w:p>
    <w:p>
      <w:pPr>
        <w:ind w:left="1500" w:right="240" w:hanging="748"/>
        <w:spacing w:after="0" w:line="249" w:lineRule="auto"/>
        <w:rPr>
          <w:sz w:val="20"/>
          <w:szCs w:val="20"/>
          <w:color w:val="auto"/>
        </w:rPr>
      </w:pPr>
      <w:r>
        <w:rPr>
          <w:rFonts w:ascii="Calibri" w:cs="Calibri" w:eastAsia="Calibri" w:hAnsi="Calibri"/>
          <w:sz w:val="17"/>
          <w:szCs w:val="17"/>
          <w:color w:val="auto"/>
        </w:rPr>
        <w:t>President, Living Mountain Capital L.L.C., a business advisory consultng frm she founded in 1998. She advises and invests in companies, including Cien.ai, a cloud-based digital AI sales intelligence business, which she co-founded in 2016</w:t>
      </w:r>
    </w:p>
    <w:p>
      <w:pPr>
        <w:spacing w:after="0" w:line="1" w:lineRule="exact"/>
        <w:rPr>
          <w:sz w:val="20"/>
          <w:szCs w:val="20"/>
          <w:color w:val="auto"/>
        </w:rPr>
      </w:pPr>
    </w:p>
    <w:p>
      <w:pPr>
        <w:ind w:left="1500" w:right="400" w:hanging="748"/>
        <w:spacing w:after="0" w:line="235" w:lineRule="auto"/>
        <w:rPr>
          <w:sz w:val="20"/>
          <w:szCs w:val="20"/>
          <w:color w:val="auto"/>
        </w:rPr>
      </w:pPr>
      <w:r>
        <w:rPr>
          <w:rFonts w:ascii="Calibri" w:cs="Calibri" w:eastAsia="Calibri" w:hAnsi="Calibri"/>
          <w:sz w:val="18"/>
          <w:szCs w:val="18"/>
          <w:color w:val="auto"/>
        </w:rPr>
        <w:t>Executve Vice President, Chief Legal Ofcer and Secretary, RealPage, Inc. (Nasdaq: RP), a leading global sofware and data analytcs company for the real estate industry (2010-2015)</w:t>
      </w:r>
    </w:p>
    <w:p>
      <w:pPr>
        <w:ind w:left="740"/>
        <w:spacing w:after="0" w:line="236" w:lineRule="auto"/>
        <w:rPr>
          <w:sz w:val="20"/>
          <w:szCs w:val="20"/>
          <w:color w:val="auto"/>
        </w:rPr>
      </w:pPr>
      <w:r>
        <w:rPr>
          <w:rFonts w:ascii="Calibri" w:cs="Calibri" w:eastAsia="Calibri" w:hAnsi="Calibri"/>
          <w:sz w:val="18"/>
          <w:szCs w:val="18"/>
          <w:color w:val="auto"/>
        </w:rPr>
        <w:t>Executve Vice President and General Counsel, The Princeton Review, Inc. (Nasdaq: TPR) (2004-2007)</w:t>
      </w:r>
    </w:p>
    <w:p>
      <w:pPr>
        <w:spacing w:after="0" w:line="2"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Executve Vice President, General Counsel and Executve Managing Director, Soundview Technology Group, Inc. (Nasdaq: SNDV)</w:t>
      </w:r>
    </w:p>
    <w:p>
      <w:pPr>
        <w:spacing w:after="0" w:line="4" w:lineRule="exact"/>
        <w:rPr>
          <w:sz w:val="20"/>
          <w:szCs w:val="20"/>
          <w:color w:val="auto"/>
        </w:rPr>
      </w:pPr>
    </w:p>
    <w:p>
      <w:pPr>
        <w:ind w:left="1500"/>
        <w:spacing w:after="0"/>
        <w:rPr>
          <w:sz w:val="20"/>
          <w:szCs w:val="20"/>
          <w:color w:val="auto"/>
        </w:rPr>
      </w:pPr>
      <w:r>
        <w:rPr>
          <w:rFonts w:ascii="Calibri" w:cs="Calibri" w:eastAsia="Calibri" w:hAnsi="Calibri"/>
          <w:sz w:val="18"/>
          <w:szCs w:val="18"/>
          <w:color w:val="auto"/>
        </w:rPr>
        <w:t>(2003-2004)</w:t>
      </w:r>
    </w:p>
    <w:p>
      <w:pPr>
        <w:ind w:left="740"/>
        <w:spacing w:after="0" w:line="235" w:lineRule="auto"/>
        <w:rPr>
          <w:sz w:val="20"/>
          <w:szCs w:val="20"/>
          <w:color w:val="auto"/>
        </w:rPr>
      </w:pPr>
      <w:r>
        <w:rPr>
          <w:rFonts w:ascii="Calibri" w:cs="Calibri" w:eastAsia="Calibri" w:hAnsi="Calibri"/>
          <w:sz w:val="18"/>
          <w:szCs w:val="18"/>
          <w:color w:val="auto"/>
        </w:rPr>
        <w:t>Assistant General Counsel, Cantor Fitzgerald and eSpeed, Inc. (Nasdaq: ESPD) (2001-2003)</w:t>
      </w:r>
    </w:p>
    <w:p>
      <w:pPr>
        <w:ind w:left="740"/>
        <w:spacing w:after="0" w:line="236" w:lineRule="auto"/>
        <w:rPr>
          <w:sz w:val="20"/>
          <w:szCs w:val="20"/>
          <w:color w:val="auto"/>
        </w:rPr>
      </w:pPr>
      <w:r>
        <w:rPr>
          <w:rFonts w:ascii="Calibri" w:cs="Calibri" w:eastAsia="Calibri" w:hAnsi="Calibri"/>
          <w:sz w:val="18"/>
          <w:szCs w:val="18"/>
          <w:color w:val="auto"/>
        </w:rPr>
        <w:t>Executve Vice President, General Counsel and Secretary, SourceHOV (Nasdaq: FYII) (1996-2000)</w:t>
      </w:r>
    </w:p>
    <w:p>
      <w:pPr>
        <w:ind w:left="740"/>
        <w:spacing w:after="0" w:line="236" w:lineRule="auto"/>
        <w:rPr>
          <w:sz w:val="20"/>
          <w:szCs w:val="20"/>
          <w:color w:val="auto"/>
        </w:rPr>
      </w:pPr>
      <w:r>
        <w:rPr>
          <w:rFonts w:ascii="Calibri" w:cs="Calibri" w:eastAsia="Calibri" w:hAnsi="Calibri"/>
          <w:sz w:val="18"/>
          <w:szCs w:val="18"/>
          <w:color w:val="auto"/>
        </w:rPr>
        <w:t>Corporate Finance Atorney, Morgan Lewis &amp; Bockius (1991-1996)</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right="40" w:hanging="475"/>
        <w:spacing w:after="0" w:line="235" w:lineRule="auto"/>
        <w:tabs>
          <w:tab w:leader="none" w:pos="12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Proven executve and leadership experience, including as a C-suite executve and director of public companies, providing broad insight into the dynamics of a corporate board, strategic planning, risk oversight and human capital, executve compensaton and environmental, social and governance issues</w:t>
      </w:r>
    </w:p>
    <w:p>
      <w:pPr>
        <w:spacing w:after="0" w:line="124" w:lineRule="exact"/>
        <w:rPr>
          <w:rFonts w:ascii="Times New Roman" w:cs="Times New Roman" w:eastAsia="Times New Roman" w:hAnsi="Times New Roman"/>
          <w:sz w:val="18"/>
          <w:szCs w:val="18"/>
          <w:color w:val="auto"/>
        </w:rPr>
      </w:pPr>
    </w:p>
    <w:p>
      <w:pPr>
        <w:jc w:val="both"/>
        <w:ind w:left="1220" w:hanging="475"/>
        <w:spacing w:after="0" w:line="235" w:lineRule="auto"/>
        <w:tabs>
          <w:tab w:leader="none" w:pos="12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M&amp;A and business development experience gained through multple acquisitons throughout her career, including while at RealPage (which she took public) and through the sale of businesses (The Princeton Review’s sale to Bain Capital Ventures and Soundview Technology Group’s sale to The Charles Schwab Corporaton)</w:t>
      </w:r>
    </w:p>
    <w:p>
      <w:pPr>
        <w:spacing w:after="0" w:line="124" w:lineRule="exact"/>
        <w:rPr>
          <w:rFonts w:ascii="Times New Roman" w:cs="Times New Roman" w:eastAsia="Times New Roman" w:hAnsi="Times New Roman"/>
          <w:sz w:val="18"/>
          <w:szCs w:val="18"/>
          <w:color w:val="auto"/>
        </w:rPr>
      </w:pPr>
    </w:p>
    <w:p>
      <w:pPr>
        <w:ind w:left="1220" w:right="320" w:hanging="475"/>
        <w:spacing w:after="0" w:line="235" w:lineRule="auto"/>
        <w:tabs>
          <w:tab w:leader="none" w:pos="12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Industry knowledge gained through service as presiding independent director of Installed Building Products and as a director of Interior Logic Group through its sale to Blackstone</w:t>
      </w:r>
    </w:p>
    <w:p>
      <w:pPr>
        <w:spacing w:after="0" w:line="118" w:lineRule="exact"/>
        <w:rPr>
          <w:rFonts w:ascii="Times New Roman" w:cs="Times New Roman" w:eastAsia="Times New Roman" w:hAnsi="Times New Roman"/>
          <w:sz w:val="18"/>
          <w:szCs w:val="18"/>
          <w:color w:val="auto"/>
        </w:rPr>
      </w:pPr>
    </w:p>
    <w:p>
      <w:pPr>
        <w:ind w:left="1220" w:hanging="475"/>
        <w:spacing w:after="0"/>
        <w:tabs>
          <w:tab w:leader="none" w:pos="122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Rigorous fnancial discipline as a former member of our Audit Commitee and as a member of IBP’s audit commitee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Tyler Technologies, Inc. (NYSE: TYL) (2024-present)</w:t>
      </w:r>
    </w:p>
    <w:p>
      <w:pPr>
        <w:spacing w:after="0" w:line="2" w:lineRule="exact"/>
        <w:rPr>
          <w:sz w:val="20"/>
          <w:szCs w:val="20"/>
          <w:color w:val="auto"/>
        </w:rPr>
      </w:pPr>
    </w:p>
    <w:p>
      <w:pPr>
        <w:ind w:left="1500" w:right="80" w:hanging="748"/>
        <w:spacing w:after="0" w:line="235" w:lineRule="auto"/>
        <w:rPr>
          <w:sz w:val="20"/>
          <w:szCs w:val="20"/>
          <w:color w:val="auto"/>
        </w:rPr>
      </w:pPr>
      <w:r>
        <w:rPr>
          <w:rFonts w:ascii="Calibri" w:cs="Calibri" w:eastAsia="Calibri" w:hAnsi="Calibri"/>
          <w:sz w:val="18"/>
          <w:szCs w:val="18"/>
          <w:color w:val="auto"/>
        </w:rPr>
        <w:t>Installed Building Products, Inc. (NYSE: IBP) – Presiding Independent Director, Chair of Nominatng and Governance Commitee and member of the Audit Commitee (2014-present)</w:t>
      </w:r>
    </w:p>
    <w:p>
      <w:pPr>
        <w:ind w:left="740"/>
        <w:spacing w:after="0" w:line="236" w:lineRule="auto"/>
        <w:rPr>
          <w:sz w:val="20"/>
          <w:szCs w:val="20"/>
          <w:color w:val="auto"/>
        </w:rPr>
      </w:pPr>
      <w:r>
        <w:rPr>
          <w:rFonts w:ascii="Calibri" w:cs="Calibri" w:eastAsia="Calibri" w:hAnsi="Calibri"/>
          <w:sz w:val="18"/>
          <w:szCs w:val="18"/>
          <w:color w:val="auto"/>
        </w:rPr>
        <w:t>North Texas Chapter of Natonal Associaton of Corporate Directors, Chair Emeritus; Chair (2022-2023)</w:t>
      </w:r>
    </w:p>
    <w:p>
      <w:pPr>
        <w:ind w:left="740"/>
        <w:spacing w:after="0" w:line="236" w:lineRule="auto"/>
        <w:rPr>
          <w:sz w:val="20"/>
          <w:szCs w:val="20"/>
          <w:color w:val="auto"/>
        </w:rPr>
      </w:pPr>
      <w:r>
        <w:rPr>
          <w:rFonts w:ascii="Calibri" w:cs="Calibri" w:eastAsia="Calibri" w:hAnsi="Calibri"/>
          <w:sz w:val="18"/>
          <w:szCs w:val="18"/>
          <w:color w:val="auto"/>
        </w:rPr>
        <w:t>Interior Logic Group Holdings, Inc. (2017-2021)</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B.A., Economics and History, Binghamton University</w:t>
      </w:r>
    </w:p>
    <w:p>
      <w:pPr>
        <w:ind w:left="740"/>
        <w:spacing w:after="0" w:line="236" w:lineRule="auto"/>
        <w:rPr>
          <w:sz w:val="20"/>
          <w:szCs w:val="20"/>
          <w:color w:val="auto"/>
        </w:rPr>
      </w:pPr>
      <w:r>
        <w:rPr>
          <w:rFonts w:ascii="Calibri" w:cs="Calibri" w:eastAsia="Calibri" w:hAnsi="Calibri"/>
          <w:sz w:val="18"/>
          <w:szCs w:val="18"/>
          <w:color w:val="auto"/>
        </w:rPr>
        <w:t>J.D., Fordham University School of Law</w:t>
      </w:r>
    </w:p>
    <w:p>
      <w:pPr>
        <w:ind w:left="740"/>
        <w:spacing w:after="0" w:line="236" w:lineRule="auto"/>
        <w:rPr>
          <w:sz w:val="20"/>
          <w:szCs w:val="20"/>
          <w:color w:val="auto"/>
        </w:rPr>
      </w:pPr>
      <w:r>
        <w:rPr>
          <w:rFonts w:ascii="Calibri" w:cs="Calibri" w:eastAsia="Calibri" w:hAnsi="Calibri"/>
          <w:sz w:val="18"/>
          <w:szCs w:val="18"/>
          <w:color w:val="auto"/>
        </w:rPr>
        <w:t>NACD Directorship Certfed (NACD.DC)</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Eagle Materials Inc. - 2024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080" w:top="978" w:right="1019" w:bottom="1440" w:gutter="0" w:footer="0" w:header="0"/>
        </w:sectPr>
      </w:pPr>
    </w:p>
    <w:bookmarkStart w:id="20" w:name="page21"/>
    <w:bookmarkEnd w:id="20"/>
    <w:p>
      <w:pPr>
        <w:jc w:val="center"/>
        <w:ind w:right="-39"/>
        <w:spacing w:after="0"/>
        <w:rPr>
          <w:sz w:val="20"/>
          <w:szCs w:val="20"/>
          <w:color w:val="auto"/>
        </w:rPr>
      </w:pPr>
      <w:r>
        <w:rPr>
          <w:rFonts w:ascii="Calibri" w:cs="Calibri" w:eastAsia="Calibri" w:hAnsi="Calibri"/>
          <w:sz w:val="25"/>
          <w:szCs w:val="25"/>
          <w:b w:val="1"/>
          <w:bCs w:val="1"/>
          <w:color w:val="4472C4"/>
        </w:rPr>
        <w:t>Michael R. Nicolais</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Managing Partner,</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Roble Drive Investment Company</w:t>
      </w:r>
    </w:p>
    <w:p>
      <w:pPr>
        <w:spacing w:after="0" w:line="105" w:lineRule="exact"/>
        <w:rPr>
          <w:sz w:val="20"/>
          <w:szCs w:val="20"/>
          <w:color w:val="auto"/>
        </w:rPr>
      </w:pPr>
    </w:p>
    <w:p>
      <w:pPr>
        <w:ind w:left="3700"/>
        <w:spacing w:after="0"/>
        <w:rPr>
          <w:sz w:val="20"/>
          <w:szCs w:val="20"/>
          <w:color w:val="auto"/>
        </w:rPr>
      </w:pPr>
      <w:r>
        <w:rPr>
          <w:rFonts w:ascii="Calibri" w:cs="Calibri" w:eastAsia="Calibri" w:hAnsi="Calibri"/>
          <w:sz w:val="18"/>
          <w:szCs w:val="18"/>
          <w:color w:val="auto"/>
        </w:rPr>
        <w:t>Independent Director since 2001</w:t>
      </w:r>
    </w:p>
    <w:p>
      <w:pPr>
        <w:spacing w:after="0" w:line="104" w:lineRule="exact"/>
        <w:rPr>
          <w:sz w:val="20"/>
          <w:szCs w:val="20"/>
          <w:color w:val="auto"/>
        </w:rPr>
      </w:pPr>
    </w:p>
    <w:p>
      <w:pPr>
        <w:ind w:left="3660"/>
        <w:spacing w:after="0"/>
        <w:rPr>
          <w:sz w:val="20"/>
          <w:szCs w:val="20"/>
          <w:color w:val="auto"/>
        </w:rPr>
      </w:pPr>
      <w:r>
        <w:rPr>
          <w:rFonts w:ascii="Calibri" w:cs="Calibri" w:eastAsia="Calibri" w:hAnsi="Calibri"/>
          <w:sz w:val="18"/>
          <w:szCs w:val="18"/>
          <w:color w:val="auto"/>
        </w:rPr>
        <w:t>Chairman of the Board since 2019</w:t>
      </w:r>
    </w:p>
    <w:p>
      <w:pPr>
        <w:jc w:val="center"/>
        <w:ind w:right="-39"/>
        <w:spacing w:after="0" w:line="235" w:lineRule="auto"/>
        <w:rPr>
          <w:sz w:val="20"/>
          <w:szCs w:val="20"/>
          <w:color w:val="auto"/>
        </w:rPr>
      </w:pPr>
      <w:r>
        <w:rPr>
          <w:rFonts w:ascii="Calibri" w:cs="Calibri" w:eastAsia="Calibri" w:hAnsi="Calibri"/>
          <w:sz w:val="18"/>
          <w:szCs w:val="18"/>
          <w:color w:val="auto"/>
        </w:rPr>
        <w:t>Age: 66</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Executve; Compensaton; Former Chairman of the Corporate Governance and Nominatng Commitee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Managing Director, Roble Drive Investment Company, a private investment frm he founded in 2020 (2020-present)</w:t>
      </w:r>
    </w:p>
    <w:p>
      <w:pPr>
        <w:ind w:left="740"/>
        <w:spacing w:after="0" w:line="236" w:lineRule="auto"/>
        <w:rPr>
          <w:sz w:val="20"/>
          <w:szCs w:val="20"/>
          <w:color w:val="auto"/>
        </w:rPr>
      </w:pPr>
      <w:r>
        <w:rPr>
          <w:rFonts w:ascii="Calibri" w:cs="Calibri" w:eastAsia="Calibri" w:hAnsi="Calibri"/>
          <w:sz w:val="18"/>
          <w:szCs w:val="18"/>
          <w:color w:val="auto"/>
        </w:rPr>
        <w:t>Vice Chairman and Chief Executve Ofcer, Highlander Partners L.P. (2017-2019)</w:t>
      </w:r>
    </w:p>
    <w:p>
      <w:pPr>
        <w:ind w:left="740"/>
        <w:spacing w:after="0" w:line="236" w:lineRule="auto"/>
        <w:rPr>
          <w:sz w:val="20"/>
          <w:szCs w:val="20"/>
          <w:color w:val="auto"/>
        </w:rPr>
      </w:pPr>
      <w:r>
        <w:rPr>
          <w:rFonts w:ascii="Calibri" w:cs="Calibri" w:eastAsia="Calibri" w:hAnsi="Calibri"/>
          <w:sz w:val="18"/>
          <w:szCs w:val="18"/>
          <w:color w:val="auto"/>
        </w:rPr>
        <w:t>President, Highlander Partners, L.P. (2004-2016)</w:t>
      </w:r>
    </w:p>
    <w:p>
      <w:pPr>
        <w:ind w:left="740"/>
        <w:spacing w:after="0" w:line="236" w:lineRule="auto"/>
        <w:rPr>
          <w:sz w:val="20"/>
          <w:szCs w:val="20"/>
          <w:color w:val="auto"/>
        </w:rPr>
      </w:pPr>
      <w:r>
        <w:rPr>
          <w:rFonts w:ascii="Calibri" w:cs="Calibri" w:eastAsia="Calibri" w:hAnsi="Calibri"/>
          <w:sz w:val="18"/>
          <w:szCs w:val="18"/>
          <w:color w:val="auto"/>
        </w:rPr>
        <w:t>Managing Director, Stephens, Inc. (2002-2004)</w:t>
      </w:r>
    </w:p>
    <w:p>
      <w:pPr>
        <w:ind w:left="740"/>
        <w:spacing w:after="0" w:line="236" w:lineRule="auto"/>
        <w:rPr>
          <w:sz w:val="20"/>
          <w:szCs w:val="20"/>
          <w:color w:val="auto"/>
        </w:rPr>
      </w:pPr>
      <w:r>
        <w:rPr>
          <w:rFonts w:ascii="Calibri" w:cs="Calibri" w:eastAsia="Calibri" w:hAnsi="Calibri"/>
          <w:sz w:val="18"/>
          <w:szCs w:val="18"/>
          <w:color w:val="auto"/>
        </w:rPr>
        <w:t>Partner, Olivhan Investments, L.P. (2001-2002)</w:t>
      </w:r>
    </w:p>
    <w:p>
      <w:pPr>
        <w:ind w:left="740"/>
        <w:spacing w:after="0" w:line="236" w:lineRule="auto"/>
        <w:rPr>
          <w:sz w:val="20"/>
          <w:szCs w:val="20"/>
          <w:color w:val="auto"/>
        </w:rPr>
      </w:pPr>
      <w:r>
        <w:rPr>
          <w:rFonts w:ascii="Calibri" w:cs="Calibri" w:eastAsia="Calibri" w:hAnsi="Calibri"/>
          <w:sz w:val="18"/>
          <w:szCs w:val="18"/>
          <w:color w:val="auto"/>
        </w:rPr>
        <w:t>Managing Director, Investment Banking Division, Donaldson, Lufin &amp; Jenrete Securites Corporaton (1986-2000)</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right="60" w:hanging="475"/>
        <w:spacing w:after="0" w:line="235" w:lineRule="auto"/>
        <w:tabs>
          <w:tab w:leader="none" w:pos="12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knowledge of capital markets, fnancial analysis and fnancial oversight experience gained through his work as an investment banker and investment manager</w:t>
      </w:r>
    </w:p>
    <w:p>
      <w:pPr>
        <w:spacing w:after="0" w:line="123" w:lineRule="exact"/>
        <w:rPr>
          <w:rFonts w:ascii="Times New Roman" w:cs="Times New Roman" w:eastAsia="Times New Roman" w:hAnsi="Times New Roman"/>
          <w:sz w:val="18"/>
          <w:szCs w:val="18"/>
          <w:color w:val="auto"/>
        </w:rPr>
      </w:pPr>
    </w:p>
    <w:p>
      <w:pPr>
        <w:ind w:left="1220" w:hanging="475"/>
        <w:spacing w:after="0" w:line="235" w:lineRule="auto"/>
        <w:tabs>
          <w:tab w:leader="none" w:pos="12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experience as a director of portolio companies, including with respect to fnancial, operatonal and executve compensaton maters</w:t>
      </w:r>
    </w:p>
    <w:p>
      <w:pPr>
        <w:spacing w:after="0" w:line="118" w:lineRule="exact"/>
        <w:rPr>
          <w:rFonts w:ascii="Times New Roman" w:cs="Times New Roman" w:eastAsia="Times New Roman" w:hAnsi="Times New Roman"/>
          <w:sz w:val="18"/>
          <w:szCs w:val="18"/>
          <w:color w:val="auto"/>
        </w:rPr>
      </w:pPr>
    </w:p>
    <w:p>
      <w:pPr>
        <w:ind w:left="1220" w:hanging="475"/>
        <w:spacing w:after="0"/>
        <w:tabs>
          <w:tab w:leader="none" w:pos="122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Extensive mergers and acquisitons experience gained through numerous acquisitons, investments and divesttures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Hi-Tech Systems, LLC (2022-present)</w:t>
      </w:r>
    </w:p>
    <w:p>
      <w:pPr>
        <w:ind w:left="740"/>
        <w:spacing w:after="0" w:line="236" w:lineRule="auto"/>
        <w:rPr>
          <w:sz w:val="20"/>
          <w:szCs w:val="20"/>
          <w:color w:val="auto"/>
        </w:rPr>
      </w:pPr>
      <w:r>
        <w:rPr>
          <w:rFonts w:ascii="Calibri" w:cs="Calibri" w:eastAsia="Calibri" w:hAnsi="Calibri"/>
          <w:sz w:val="18"/>
          <w:szCs w:val="18"/>
          <w:color w:val="auto"/>
        </w:rPr>
        <w:t>University of Puget Sound, Trustee (2018-2020)</w:t>
      </w:r>
    </w:p>
    <w:p>
      <w:pPr>
        <w:ind w:left="740"/>
        <w:spacing w:after="0" w:line="236" w:lineRule="auto"/>
        <w:rPr>
          <w:sz w:val="20"/>
          <w:szCs w:val="20"/>
          <w:color w:val="auto"/>
        </w:rPr>
      </w:pPr>
      <w:r>
        <w:rPr>
          <w:rFonts w:ascii="Calibri" w:cs="Calibri" w:eastAsia="Calibri" w:hAnsi="Calibri"/>
          <w:sz w:val="18"/>
          <w:szCs w:val="18"/>
          <w:color w:val="auto"/>
        </w:rPr>
        <w:t>Bevoluton Corp (2016-2019)</w:t>
      </w:r>
    </w:p>
    <w:p>
      <w:pPr>
        <w:ind w:left="740"/>
        <w:spacing w:after="0" w:line="236" w:lineRule="auto"/>
        <w:rPr>
          <w:sz w:val="20"/>
          <w:szCs w:val="20"/>
          <w:color w:val="auto"/>
        </w:rPr>
      </w:pPr>
      <w:r>
        <w:rPr>
          <w:rFonts w:ascii="Calibri" w:cs="Calibri" w:eastAsia="Calibri" w:hAnsi="Calibri"/>
          <w:sz w:val="18"/>
          <w:szCs w:val="18"/>
          <w:color w:val="auto"/>
        </w:rPr>
        <w:t>Twitchell Corp. (2016-2019)</w:t>
      </w:r>
    </w:p>
    <w:p>
      <w:pPr>
        <w:ind w:left="740"/>
        <w:spacing w:after="0" w:line="236" w:lineRule="auto"/>
        <w:rPr>
          <w:sz w:val="20"/>
          <w:szCs w:val="20"/>
          <w:color w:val="auto"/>
        </w:rPr>
      </w:pPr>
      <w:r>
        <w:rPr>
          <w:rFonts w:ascii="Calibri" w:cs="Calibri" w:eastAsia="Calibri" w:hAnsi="Calibri"/>
          <w:sz w:val="18"/>
          <w:szCs w:val="18"/>
          <w:color w:val="auto"/>
        </w:rPr>
        <w:t>FDL Ltd. (2017-2019)</w:t>
      </w:r>
    </w:p>
    <w:p>
      <w:pPr>
        <w:ind w:left="740"/>
        <w:spacing w:after="0" w:line="236" w:lineRule="auto"/>
        <w:rPr>
          <w:sz w:val="20"/>
          <w:szCs w:val="20"/>
          <w:color w:val="auto"/>
        </w:rPr>
      </w:pPr>
      <w:r>
        <w:rPr>
          <w:rFonts w:ascii="Calibri" w:cs="Calibri" w:eastAsia="Calibri" w:hAnsi="Calibri"/>
          <w:sz w:val="18"/>
          <w:szCs w:val="18"/>
          <w:color w:val="auto"/>
        </w:rPr>
        <w:t>Biamp, Inc. (2017-2019)</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B.A., Economics, Wake Forest University</w:t>
      </w:r>
    </w:p>
    <w:p>
      <w:pPr>
        <w:ind w:left="740"/>
        <w:spacing w:after="0" w:line="236" w:lineRule="auto"/>
        <w:rPr>
          <w:sz w:val="20"/>
          <w:szCs w:val="20"/>
          <w:color w:val="auto"/>
        </w:rPr>
      </w:pPr>
      <w:r>
        <w:rPr>
          <w:rFonts w:ascii="Calibri" w:cs="Calibri" w:eastAsia="Calibri" w:hAnsi="Calibri"/>
          <w:sz w:val="18"/>
          <w:szCs w:val="18"/>
          <w:color w:val="auto"/>
        </w:rPr>
        <w:t>M.B.A., The Wharton School, University of Pennsylvania</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080" w:top="976" w:right="1119" w:bottom="1440" w:gutter="0" w:footer="0" w:header="0"/>
        </w:sectPr>
      </w:pPr>
    </w:p>
    <w:bookmarkStart w:id="21" w:name="page22"/>
    <w:bookmarkEnd w:id="21"/>
    <w:p>
      <w:pPr>
        <w:jc w:val="center"/>
        <w:ind w:right="100"/>
        <w:spacing w:after="0"/>
        <w:rPr>
          <w:sz w:val="20"/>
          <w:szCs w:val="20"/>
          <w:color w:val="auto"/>
        </w:rPr>
      </w:pPr>
      <w:r>
        <w:rPr>
          <w:rFonts w:ascii="Calibri" w:cs="Calibri" w:eastAsia="Calibri" w:hAnsi="Calibri"/>
          <w:sz w:val="25"/>
          <w:szCs w:val="25"/>
          <w:b w:val="1"/>
          <w:bCs w:val="1"/>
          <w:color w:val="4472C4"/>
        </w:rPr>
        <w:t>Mary P. Ricciardello</w:t>
      </w:r>
    </w:p>
    <w:p>
      <w:pPr>
        <w:spacing w:after="0" w:line="5" w:lineRule="exact"/>
        <w:rPr>
          <w:sz w:val="20"/>
          <w:szCs w:val="20"/>
          <w:color w:val="auto"/>
        </w:rPr>
      </w:pPr>
    </w:p>
    <w:p>
      <w:pPr>
        <w:jc w:val="center"/>
        <w:ind w:right="120"/>
        <w:spacing w:after="0"/>
        <w:rPr>
          <w:sz w:val="20"/>
          <w:szCs w:val="20"/>
          <w:color w:val="auto"/>
        </w:rPr>
      </w:pPr>
      <w:r>
        <w:rPr>
          <w:rFonts w:ascii="Calibri" w:cs="Calibri" w:eastAsia="Calibri" w:hAnsi="Calibri"/>
          <w:sz w:val="18"/>
          <w:szCs w:val="18"/>
          <w:b w:val="1"/>
          <w:bCs w:val="1"/>
          <w:color w:val="auto"/>
        </w:rPr>
        <w:t>Retred Senior Vice President and Chief Accountng Ofcer,</w:t>
      </w:r>
    </w:p>
    <w:p>
      <w:pPr>
        <w:jc w:val="center"/>
        <w:ind w:right="80"/>
        <w:spacing w:after="0" w:line="235" w:lineRule="auto"/>
        <w:rPr>
          <w:sz w:val="20"/>
          <w:szCs w:val="20"/>
          <w:color w:val="auto"/>
        </w:rPr>
      </w:pPr>
      <w:r>
        <w:rPr>
          <w:rFonts w:ascii="Calibri" w:cs="Calibri" w:eastAsia="Calibri" w:hAnsi="Calibri"/>
          <w:sz w:val="18"/>
          <w:szCs w:val="18"/>
          <w:b w:val="1"/>
          <w:bCs w:val="1"/>
          <w:color w:val="auto"/>
        </w:rPr>
        <w:t>Reliant Energy Inc.</w:t>
      </w:r>
    </w:p>
    <w:p>
      <w:pPr>
        <w:spacing w:after="0" w:line="105"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color w:val="auto"/>
        </w:rPr>
        <w:t>Independent Director since 2020</w:t>
      </w:r>
    </w:p>
    <w:p>
      <w:pPr>
        <w:jc w:val="center"/>
        <w:ind w:right="80"/>
        <w:spacing w:after="0" w:line="235" w:lineRule="auto"/>
        <w:rPr>
          <w:sz w:val="20"/>
          <w:szCs w:val="20"/>
          <w:color w:val="auto"/>
        </w:rPr>
      </w:pPr>
      <w:r>
        <w:rPr>
          <w:rFonts w:ascii="Calibri" w:cs="Calibri" w:eastAsia="Calibri" w:hAnsi="Calibri"/>
          <w:sz w:val="18"/>
          <w:szCs w:val="18"/>
          <w:color w:val="auto"/>
        </w:rPr>
        <w:t>Age: 68</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Audit; Corporate Governance, Nominatng and Sustainability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ind w:left="740"/>
        <w:spacing w:after="0" w:line="235" w:lineRule="auto"/>
        <w:rPr>
          <w:sz w:val="20"/>
          <w:szCs w:val="20"/>
          <w:color w:val="auto"/>
        </w:rPr>
      </w:pPr>
      <w:r>
        <w:rPr>
          <w:rFonts w:ascii="Calibri" w:cs="Calibri" w:eastAsia="Calibri" w:hAnsi="Calibri"/>
          <w:sz w:val="18"/>
          <w:szCs w:val="18"/>
          <w:color w:val="auto"/>
        </w:rPr>
        <w:t>Senior Vice President and Chief Accountng Ofcer, Reliant Energy Inc. (1999-2002)</w:t>
      </w:r>
    </w:p>
    <w:p>
      <w:pPr>
        <w:ind w:left="740"/>
        <w:spacing w:after="0" w:line="236" w:lineRule="auto"/>
        <w:rPr>
          <w:sz w:val="20"/>
          <w:szCs w:val="20"/>
          <w:color w:val="auto"/>
        </w:rPr>
      </w:pPr>
      <w:r>
        <w:rPr>
          <w:rFonts w:ascii="Calibri" w:cs="Calibri" w:eastAsia="Calibri" w:hAnsi="Calibri"/>
          <w:sz w:val="18"/>
          <w:szCs w:val="18"/>
          <w:color w:val="auto"/>
        </w:rPr>
        <w:t>Vice President and Comptroller, Reliant Energy Inc. (1996-1999)</w:t>
      </w:r>
    </w:p>
    <w:p>
      <w:pPr>
        <w:ind w:left="740"/>
        <w:spacing w:after="0" w:line="236" w:lineRule="auto"/>
        <w:rPr>
          <w:sz w:val="20"/>
          <w:szCs w:val="20"/>
          <w:color w:val="auto"/>
        </w:rPr>
      </w:pPr>
      <w:r>
        <w:rPr>
          <w:rFonts w:ascii="Calibri" w:cs="Calibri" w:eastAsia="Calibri" w:hAnsi="Calibri"/>
          <w:sz w:val="18"/>
          <w:szCs w:val="18"/>
          <w:color w:val="auto"/>
        </w:rPr>
        <w:t>Comptroller, Reliant Energy Inc. (1993-1996)</w:t>
      </w:r>
    </w:p>
    <w:p>
      <w:pPr>
        <w:ind w:left="740"/>
        <w:spacing w:after="0" w:line="236" w:lineRule="auto"/>
        <w:rPr>
          <w:sz w:val="20"/>
          <w:szCs w:val="20"/>
          <w:color w:val="auto"/>
        </w:rPr>
      </w:pPr>
      <w:r>
        <w:rPr>
          <w:rFonts w:ascii="Calibri" w:cs="Calibri" w:eastAsia="Calibri" w:hAnsi="Calibri"/>
          <w:sz w:val="18"/>
          <w:szCs w:val="18"/>
          <w:color w:val="auto"/>
        </w:rPr>
        <w:t>Assistant Treasurer and Assistant Corporate Secretary, Houston Lightng &amp; Power Company (1991-1993)</w:t>
      </w:r>
    </w:p>
    <w:p>
      <w:pPr>
        <w:ind w:left="740"/>
        <w:spacing w:after="0" w:line="236" w:lineRule="auto"/>
        <w:rPr>
          <w:sz w:val="20"/>
          <w:szCs w:val="20"/>
          <w:color w:val="auto"/>
        </w:rPr>
      </w:pPr>
      <w:r>
        <w:rPr>
          <w:rFonts w:ascii="Calibri" w:cs="Calibri" w:eastAsia="Calibri" w:hAnsi="Calibri"/>
          <w:sz w:val="18"/>
          <w:szCs w:val="18"/>
          <w:color w:val="auto"/>
        </w:rPr>
        <w:t>Manager, Financial Services, Houston Lightng &amp; Power Company (1986-1990)</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23" w:lineRule="exact"/>
        <w:rPr>
          <w:sz w:val="20"/>
          <w:szCs w:val="20"/>
          <w:color w:val="auto"/>
        </w:rPr>
      </w:pPr>
    </w:p>
    <w:p>
      <w:pPr>
        <w:ind w:left="1220" w:hanging="475"/>
        <w:spacing w:after="0" w:line="235" w:lineRule="auto"/>
        <w:tabs>
          <w:tab w:leader="none" w:pos="12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Rigorous accountng, corporate fnance, tax and fnancial experience gained as an executve ofcer and board member of public and private enttes</w:t>
      </w:r>
    </w:p>
    <w:p>
      <w:pPr>
        <w:spacing w:after="0" w:line="123" w:lineRule="exact"/>
        <w:rPr>
          <w:rFonts w:ascii="Times New Roman" w:cs="Times New Roman" w:eastAsia="Times New Roman" w:hAnsi="Times New Roman"/>
          <w:sz w:val="18"/>
          <w:szCs w:val="18"/>
          <w:color w:val="auto"/>
        </w:rPr>
      </w:pPr>
    </w:p>
    <w:p>
      <w:pPr>
        <w:jc w:val="both"/>
        <w:ind w:left="1220" w:right="100" w:hanging="475"/>
        <w:spacing w:after="0" w:line="258" w:lineRule="auto"/>
        <w:tabs>
          <w:tab w:leader="none" w:pos="1220" w:val="left"/>
        </w:tabs>
        <w:numPr>
          <w:ilvl w:val="0"/>
          <w:numId w:val="20"/>
        </w:numPr>
        <w:rPr>
          <w:rFonts w:ascii="Times New Roman" w:cs="Times New Roman" w:eastAsia="Times New Roman" w:hAnsi="Times New Roman"/>
          <w:sz w:val="17"/>
          <w:szCs w:val="17"/>
          <w:color w:val="auto"/>
        </w:rPr>
      </w:pPr>
      <w:r>
        <w:rPr>
          <w:rFonts w:ascii="Calibri" w:cs="Calibri" w:eastAsia="Calibri" w:hAnsi="Calibri"/>
          <w:sz w:val="17"/>
          <w:szCs w:val="17"/>
          <w:color w:val="auto"/>
        </w:rPr>
        <w:t>Deep experience and knowledge acquired as an executve ofcer and board member, including with respect to strategic planning, corporate governance, strategic transactons, executve compensaton, and environmental and social maters</w:t>
      </w:r>
    </w:p>
    <w:p>
      <w:pPr>
        <w:spacing w:after="0" w:line="107" w:lineRule="exact"/>
        <w:rPr>
          <w:rFonts w:ascii="Times New Roman" w:cs="Times New Roman" w:eastAsia="Times New Roman" w:hAnsi="Times New Roman"/>
          <w:sz w:val="17"/>
          <w:szCs w:val="17"/>
          <w:color w:val="auto"/>
        </w:rPr>
      </w:pPr>
    </w:p>
    <w:p>
      <w:pPr>
        <w:ind w:left="1220" w:right="840" w:hanging="475"/>
        <w:spacing w:after="0" w:line="235" w:lineRule="auto"/>
        <w:tabs>
          <w:tab w:leader="none" w:pos="122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M&amp;A and business development experience gained through large acquisitons and divesttures (domestc and internatonal)</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ProPetro Holding Corp. (NYSE: PUMP) (2023-present)</w:t>
      </w:r>
    </w:p>
    <w:p>
      <w:pPr>
        <w:ind w:left="740"/>
        <w:spacing w:after="0" w:line="236" w:lineRule="auto"/>
        <w:rPr>
          <w:sz w:val="20"/>
          <w:szCs w:val="20"/>
          <w:color w:val="auto"/>
        </w:rPr>
      </w:pPr>
      <w:r>
        <w:rPr>
          <w:rFonts w:ascii="Calibri" w:cs="Calibri" w:eastAsia="Calibri" w:hAnsi="Calibri"/>
          <w:sz w:val="18"/>
          <w:szCs w:val="18"/>
          <w:color w:val="auto"/>
        </w:rPr>
        <w:t>Devon Energy (NYSE: DVN) (2008-2021)</w:t>
      </w:r>
    </w:p>
    <w:p>
      <w:pPr>
        <w:ind w:left="740"/>
        <w:spacing w:after="0" w:line="236" w:lineRule="auto"/>
        <w:rPr>
          <w:sz w:val="20"/>
          <w:szCs w:val="20"/>
          <w:color w:val="auto"/>
        </w:rPr>
      </w:pPr>
      <w:r>
        <w:rPr>
          <w:rFonts w:ascii="Calibri" w:cs="Calibri" w:eastAsia="Calibri" w:hAnsi="Calibri"/>
          <w:sz w:val="18"/>
          <w:szCs w:val="18"/>
          <w:color w:val="auto"/>
        </w:rPr>
        <w:t>Noble Corporaton (NYSE: NE) (2003-2020)</w:t>
      </w:r>
    </w:p>
    <w:p>
      <w:pPr>
        <w:ind w:left="740"/>
        <w:spacing w:after="0" w:line="236" w:lineRule="auto"/>
        <w:rPr>
          <w:sz w:val="20"/>
          <w:szCs w:val="20"/>
          <w:color w:val="auto"/>
        </w:rPr>
      </w:pPr>
      <w:r>
        <w:rPr>
          <w:rFonts w:ascii="Calibri" w:cs="Calibri" w:eastAsia="Calibri" w:hAnsi="Calibri"/>
          <w:sz w:val="18"/>
          <w:szCs w:val="18"/>
          <w:color w:val="auto"/>
        </w:rPr>
        <w:t>EnLink Midstream (NYSE: ENLC) (2014-2018)</w:t>
      </w:r>
    </w:p>
    <w:p>
      <w:pPr>
        <w:ind w:left="740"/>
        <w:spacing w:after="0" w:line="236" w:lineRule="auto"/>
        <w:rPr>
          <w:sz w:val="20"/>
          <w:szCs w:val="20"/>
          <w:color w:val="auto"/>
        </w:rPr>
      </w:pPr>
      <w:r>
        <w:rPr>
          <w:rFonts w:ascii="Calibri" w:cs="Calibri" w:eastAsia="Calibri" w:hAnsi="Calibri"/>
          <w:sz w:val="18"/>
          <w:szCs w:val="18"/>
          <w:color w:val="auto"/>
        </w:rPr>
        <w:t>Midstates Petroleum (NYSE: MPO) (2010-2013)</w:t>
      </w:r>
    </w:p>
    <w:p>
      <w:pPr>
        <w:ind w:left="740"/>
        <w:spacing w:after="0" w:line="236" w:lineRule="auto"/>
        <w:rPr>
          <w:sz w:val="20"/>
          <w:szCs w:val="20"/>
          <w:color w:val="auto"/>
        </w:rPr>
      </w:pPr>
      <w:r>
        <w:rPr>
          <w:rFonts w:ascii="Calibri" w:cs="Calibri" w:eastAsia="Calibri" w:hAnsi="Calibri"/>
          <w:sz w:val="18"/>
          <w:szCs w:val="18"/>
          <w:color w:val="auto"/>
        </w:rPr>
        <w:t>U.S. Concrete (Nasdaq: RMIX) (2003-2010)</w:t>
      </w:r>
    </w:p>
    <w:p>
      <w:pPr>
        <w:ind w:left="740"/>
        <w:spacing w:after="0" w:line="236" w:lineRule="auto"/>
        <w:rPr>
          <w:sz w:val="20"/>
          <w:szCs w:val="20"/>
          <w:color w:val="auto"/>
        </w:rPr>
      </w:pPr>
      <w:r>
        <w:rPr>
          <w:rFonts w:ascii="Calibri" w:cs="Calibri" w:eastAsia="Calibri" w:hAnsi="Calibri"/>
          <w:sz w:val="18"/>
          <w:szCs w:val="18"/>
          <w:color w:val="auto"/>
        </w:rPr>
        <w:t>TriCites Chapter (Houston) of Natonal Associaton of Corporate Directors, Board Leadership Fellow</w:t>
      </w:r>
    </w:p>
    <w:p>
      <w:pPr>
        <w:spacing w:after="0" w:line="1" w:lineRule="exact"/>
        <w:rPr>
          <w:sz w:val="20"/>
          <w:szCs w:val="20"/>
          <w:color w:val="auto"/>
        </w:rPr>
      </w:pPr>
    </w:p>
    <w:p>
      <w:pPr>
        <w:ind w:left="740"/>
        <w:spacing w:after="0" w:line="249" w:lineRule="auto"/>
        <w:rPr>
          <w:sz w:val="20"/>
          <w:szCs w:val="20"/>
          <w:color w:val="auto"/>
        </w:rPr>
      </w:pPr>
      <w:r>
        <w:rPr>
          <w:rFonts w:ascii="Calibri" w:cs="Calibri" w:eastAsia="Calibri" w:hAnsi="Calibri"/>
          <w:sz w:val="17"/>
          <w:szCs w:val="17"/>
          <w:color w:val="auto"/>
        </w:rPr>
        <w:t>University of Saint Thomas (2012-2017), Executve Commitee Member, Audit and Finance Commitee Chairperson Galveston/Houston Catholic Endowment Foundaton (2003-2012), Vice President and Assistant Treasurer, Executve Commitee,</w:t>
      </w:r>
    </w:p>
    <w:p>
      <w:pPr>
        <w:ind w:left="1500"/>
        <w:spacing w:after="0" w:line="236" w:lineRule="auto"/>
        <w:rPr>
          <w:sz w:val="20"/>
          <w:szCs w:val="20"/>
          <w:color w:val="auto"/>
        </w:rPr>
      </w:pPr>
      <w:r>
        <w:rPr>
          <w:rFonts w:ascii="Calibri" w:cs="Calibri" w:eastAsia="Calibri" w:hAnsi="Calibri"/>
          <w:sz w:val="18"/>
          <w:szCs w:val="18"/>
          <w:color w:val="auto"/>
        </w:rPr>
        <w:t>Finance Commitee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B.B.A., University of South Dakota</w:t>
      </w:r>
    </w:p>
    <w:p>
      <w:pPr>
        <w:ind w:left="740"/>
        <w:spacing w:after="0" w:line="236" w:lineRule="auto"/>
        <w:rPr>
          <w:sz w:val="20"/>
          <w:szCs w:val="20"/>
          <w:color w:val="auto"/>
        </w:rPr>
      </w:pPr>
      <w:r>
        <w:rPr>
          <w:rFonts w:ascii="Calibri" w:cs="Calibri" w:eastAsia="Calibri" w:hAnsi="Calibri"/>
          <w:sz w:val="18"/>
          <w:szCs w:val="18"/>
          <w:color w:val="auto"/>
        </w:rPr>
        <w:t>M.B.A. (Finance), University of Houston</w:t>
      </w:r>
    </w:p>
    <w:p>
      <w:pPr>
        <w:ind w:left="740"/>
        <w:spacing w:after="0" w:line="236" w:lineRule="auto"/>
        <w:rPr>
          <w:sz w:val="20"/>
          <w:szCs w:val="20"/>
          <w:color w:val="auto"/>
        </w:rPr>
      </w:pPr>
      <w:r>
        <w:rPr>
          <w:rFonts w:ascii="Calibri" w:cs="Calibri" w:eastAsia="Calibri" w:hAnsi="Calibri"/>
          <w:sz w:val="18"/>
          <w:szCs w:val="18"/>
          <w:color w:val="auto"/>
        </w:rPr>
        <w:t>Licensed Certfed Public Accountant</w:t>
      </w:r>
    </w:p>
    <w:p>
      <w:pPr>
        <w:ind w:left="740"/>
        <w:spacing w:after="0" w:line="236" w:lineRule="auto"/>
        <w:rPr>
          <w:sz w:val="20"/>
          <w:szCs w:val="20"/>
          <w:color w:val="auto"/>
        </w:rPr>
      </w:pPr>
      <w:r>
        <w:rPr>
          <w:rFonts w:ascii="Calibri" w:cs="Calibri" w:eastAsia="Calibri" w:hAnsi="Calibri"/>
          <w:sz w:val="18"/>
          <w:szCs w:val="18"/>
          <w:color w:val="auto"/>
        </w:rPr>
        <w:t>CERT Certfcate in Cybersecurity, Carnegie Mellon University (2017)</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Eagle Materials Inc. - 2024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80" w:top="976" w:right="999" w:bottom="1440" w:gutter="0" w:footer="0" w:header="0"/>
        </w:sectPr>
      </w:pPr>
    </w:p>
    <w:bookmarkStart w:id="22" w:name="page23"/>
    <w:bookmarkEnd w:id="22"/>
    <w:p>
      <w:pPr>
        <w:jc w:val="center"/>
        <w:ind w:right="-199"/>
        <w:spacing w:after="0"/>
        <w:rPr>
          <w:sz w:val="20"/>
          <w:szCs w:val="20"/>
          <w:color w:val="auto"/>
        </w:rPr>
      </w:pPr>
      <w:r>
        <w:rPr>
          <w:rFonts w:ascii="Calibri" w:cs="Calibri" w:eastAsia="Calibri" w:hAnsi="Calibri"/>
          <w:sz w:val="25"/>
          <w:szCs w:val="25"/>
          <w:b w:val="1"/>
          <w:bCs w:val="1"/>
          <w:color w:val="4472C4"/>
        </w:rPr>
        <w:t>Richard R. Stewart</w:t>
      </w:r>
    </w:p>
    <w:p>
      <w:pPr>
        <w:spacing w:after="0" w:line="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Retred President and Chief Executve Ofcer,</w:t>
      </w:r>
    </w:p>
    <w:p>
      <w:pPr>
        <w:jc w:val="center"/>
        <w:ind w:right="-199"/>
        <w:spacing w:after="0" w:line="235" w:lineRule="auto"/>
        <w:rPr>
          <w:sz w:val="20"/>
          <w:szCs w:val="20"/>
          <w:color w:val="auto"/>
        </w:rPr>
      </w:pPr>
      <w:r>
        <w:rPr>
          <w:rFonts w:ascii="Calibri" w:cs="Calibri" w:eastAsia="Calibri" w:hAnsi="Calibri"/>
          <w:sz w:val="18"/>
          <w:szCs w:val="18"/>
          <w:b w:val="1"/>
          <w:bCs w:val="1"/>
          <w:color w:val="auto"/>
        </w:rPr>
        <w:t>GE Aero Energy</w:t>
      </w:r>
    </w:p>
    <w:p>
      <w:pPr>
        <w:jc w:val="center"/>
        <w:ind w:right="-199"/>
        <w:spacing w:after="0" w:line="236" w:lineRule="auto"/>
        <w:rPr>
          <w:sz w:val="20"/>
          <w:szCs w:val="20"/>
          <w:color w:val="auto"/>
        </w:rPr>
      </w:pPr>
      <w:r>
        <w:rPr>
          <w:rFonts w:ascii="Calibri" w:cs="Calibri" w:eastAsia="Calibri" w:hAnsi="Calibri"/>
          <w:sz w:val="18"/>
          <w:szCs w:val="18"/>
          <w:b w:val="1"/>
          <w:bCs w:val="1"/>
          <w:color w:val="auto"/>
        </w:rPr>
        <w:t>General Electric Company</w:t>
      </w:r>
    </w:p>
    <w:p>
      <w:pPr>
        <w:spacing w:after="0" w:line="105" w:lineRule="exact"/>
        <w:rPr>
          <w:sz w:val="20"/>
          <w:szCs w:val="20"/>
          <w:color w:val="auto"/>
        </w:rPr>
      </w:pPr>
    </w:p>
    <w:p>
      <w:pPr>
        <w:ind w:left="3700"/>
        <w:spacing w:after="0"/>
        <w:rPr>
          <w:sz w:val="20"/>
          <w:szCs w:val="20"/>
          <w:color w:val="auto"/>
        </w:rPr>
      </w:pPr>
      <w:r>
        <w:rPr>
          <w:rFonts w:ascii="Calibri" w:cs="Calibri" w:eastAsia="Calibri" w:hAnsi="Calibri"/>
          <w:sz w:val="18"/>
          <w:szCs w:val="18"/>
          <w:color w:val="auto"/>
        </w:rPr>
        <w:t>Independent Director since 2006</w:t>
      </w:r>
    </w:p>
    <w:p>
      <w:pPr>
        <w:spacing w:after="0" w:line="104" w:lineRule="exact"/>
        <w:rPr>
          <w:sz w:val="20"/>
          <w:szCs w:val="20"/>
          <w:color w:val="auto"/>
        </w:rPr>
      </w:pPr>
    </w:p>
    <w:p>
      <w:pPr>
        <w:ind w:left="3780"/>
        <w:spacing w:after="0"/>
        <w:rPr>
          <w:sz w:val="20"/>
          <w:szCs w:val="20"/>
          <w:color w:val="auto"/>
        </w:rPr>
      </w:pPr>
      <w:r>
        <w:rPr>
          <w:rFonts w:ascii="Calibri" w:cs="Calibri" w:eastAsia="Calibri" w:hAnsi="Calibri"/>
          <w:sz w:val="18"/>
          <w:szCs w:val="18"/>
          <w:color w:val="auto"/>
        </w:rPr>
        <w:t>Former Chairman of the Board</w:t>
      </w:r>
    </w:p>
    <w:p>
      <w:pPr>
        <w:jc w:val="center"/>
        <w:ind w:right="-199"/>
        <w:spacing w:after="0" w:line="235" w:lineRule="auto"/>
        <w:rPr>
          <w:sz w:val="20"/>
          <w:szCs w:val="20"/>
          <w:color w:val="auto"/>
        </w:rPr>
      </w:pPr>
      <w:r>
        <w:rPr>
          <w:rFonts w:ascii="Calibri" w:cs="Calibri" w:eastAsia="Calibri" w:hAnsi="Calibri"/>
          <w:sz w:val="18"/>
          <w:szCs w:val="18"/>
          <w:color w:val="auto"/>
        </w:rPr>
        <w:t>Age: 74</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Commitees</w:t>
      </w:r>
    </w:p>
    <w:p>
      <w:pPr>
        <w:ind w:left="740"/>
        <w:spacing w:after="0" w:line="235" w:lineRule="auto"/>
        <w:rPr>
          <w:sz w:val="20"/>
          <w:szCs w:val="20"/>
          <w:color w:val="auto"/>
        </w:rPr>
      </w:pPr>
      <w:r>
        <w:rPr>
          <w:rFonts w:ascii="Calibri" w:cs="Calibri" w:eastAsia="Calibri" w:hAnsi="Calibri"/>
          <w:sz w:val="18"/>
          <w:szCs w:val="18"/>
          <w:color w:val="auto"/>
        </w:rPr>
        <w:t>Audit; Former Chairman of the Compensaton Commitee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Experience</w:t>
      </w:r>
    </w:p>
    <w:p>
      <w:pPr>
        <w:spacing w:after="0" w:line="1" w:lineRule="exact"/>
        <w:rPr>
          <w:sz w:val="20"/>
          <w:szCs w:val="20"/>
          <w:color w:val="auto"/>
        </w:rPr>
      </w:pPr>
    </w:p>
    <w:p>
      <w:pPr>
        <w:ind w:left="1500" w:hanging="748"/>
        <w:spacing w:after="0" w:line="235" w:lineRule="auto"/>
        <w:rPr>
          <w:sz w:val="20"/>
          <w:szCs w:val="20"/>
          <w:color w:val="auto"/>
        </w:rPr>
      </w:pPr>
      <w:r>
        <w:rPr>
          <w:rFonts w:ascii="Calibri" w:cs="Calibri" w:eastAsia="Calibri" w:hAnsi="Calibri"/>
          <w:sz w:val="18"/>
          <w:szCs w:val="18"/>
          <w:color w:val="auto"/>
        </w:rPr>
        <w:t>President and Chief Executve Ofcer, GE Aero Energy, a division of GE Energy, and as an ofcer of General Electric Company (1998-2006)</w:t>
      </w:r>
    </w:p>
    <w:p>
      <w:pPr>
        <w:ind w:left="740"/>
        <w:spacing w:after="0" w:line="236" w:lineRule="auto"/>
        <w:rPr>
          <w:sz w:val="20"/>
          <w:szCs w:val="20"/>
          <w:color w:val="auto"/>
        </w:rPr>
      </w:pPr>
      <w:r>
        <w:rPr>
          <w:rFonts w:ascii="Calibri" w:cs="Calibri" w:eastAsia="Calibri" w:hAnsi="Calibri"/>
          <w:sz w:val="18"/>
          <w:szCs w:val="18"/>
          <w:color w:val="auto"/>
        </w:rPr>
        <w:t>President, Stewart &amp; Stevenson Services Gas Turbine (1986-1998)</w:t>
      </w:r>
    </w:p>
    <w:p>
      <w:pPr>
        <w:ind w:left="740"/>
        <w:spacing w:after="0" w:line="236" w:lineRule="auto"/>
        <w:rPr>
          <w:sz w:val="20"/>
          <w:szCs w:val="20"/>
          <w:color w:val="auto"/>
        </w:rPr>
      </w:pPr>
      <w:r>
        <w:rPr>
          <w:rFonts w:ascii="Calibri" w:cs="Calibri" w:eastAsia="Calibri" w:hAnsi="Calibri"/>
          <w:sz w:val="18"/>
          <w:szCs w:val="18"/>
          <w:color w:val="auto"/>
        </w:rPr>
        <w:t>Group Vice President, Stewart &amp; Stevenson Services Engineered Power (1986-1990)</w:t>
      </w:r>
    </w:p>
    <w:p>
      <w:pPr>
        <w:ind w:left="740"/>
        <w:spacing w:after="0" w:line="236" w:lineRule="auto"/>
        <w:rPr>
          <w:sz w:val="20"/>
          <w:szCs w:val="20"/>
          <w:color w:val="auto"/>
        </w:rPr>
      </w:pPr>
      <w:r>
        <w:rPr>
          <w:rFonts w:ascii="Calibri" w:cs="Calibri" w:eastAsia="Calibri" w:hAnsi="Calibri"/>
          <w:sz w:val="18"/>
          <w:szCs w:val="18"/>
          <w:color w:val="auto"/>
        </w:rPr>
        <w:t>Various roles with Stewart &amp; Stevenson Services (1972-1986)</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Qualifcatons and Expertse Provided to Our Board</w:t>
      </w:r>
    </w:p>
    <w:p>
      <w:pPr>
        <w:spacing w:after="0" w:line="118" w:lineRule="exact"/>
        <w:rPr>
          <w:sz w:val="20"/>
          <w:szCs w:val="20"/>
          <w:color w:val="auto"/>
        </w:rPr>
      </w:pPr>
    </w:p>
    <w:p>
      <w:pPr>
        <w:ind w:left="1220" w:hanging="475"/>
        <w:spacing w:after="0"/>
        <w:tabs>
          <w:tab w:leader="none" w:pos="12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Proven leadership and business experience as the former CEO of a heavy manufacturing company</w:t>
      </w:r>
    </w:p>
    <w:p>
      <w:pPr>
        <w:spacing w:after="0" w:line="122" w:lineRule="exact"/>
        <w:rPr>
          <w:rFonts w:ascii="Times New Roman" w:cs="Times New Roman" w:eastAsia="Times New Roman" w:hAnsi="Times New Roman"/>
          <w:sz w:val="18"/>
          <w:szCs w:val="18"/>
          <w:color w:val="auto"/>
        </w:rPr>
      </w:pPr>
    </w:p>
    <w:p>
      <w:pPr>
        <w:ind w:left="1220" w:right="180" w:hanging="475"/>
        <w:spacing w:after="0" w:line="235" w:lineRule="auto"/>
        <w:tabs>
          <w:tab w:leader="none" w:pos="12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global business experience, including employees in multple foreign countries, including with respect to executve compensaton maters</w:t>
      </w:r>
    </w:p>
    <w:p>
      <w:pPr>
        <w:spacing w:after="0" w:line="123" w:lineRule="exact"/>
        <w:rPr>
          <w:rFonts w:ascii="Times New Roman" w:cs="Times New Roman" w:eastAsia="Times New Roman" w:hAnsi="Times New Roman"/>
          <w:sz w:val="18"/>
          <w:szCs w:val="18"/>
          <w:color w:val="auto"/>
        </w:rPr>
      </w:pPr>
    </w:p>
    <w:p>
      <w:pPr>
        <w:ind w:left="1220" w:right="180" w:hanging="475"/>
        <w:spacing w:after="0" w:line="235" w:lineRule="auto"/>
        <w:tabs>
          <w:tab w:leader="none" w:pos="12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Deep corporate governance and fnancial experience gained from service on the boards of other public companies (including as an audit commitee chair) and as an ofcer with General Electric</w:t>
      </w:r>
    </w:p>
    <w:p>
      <w:pPr>
        <w:spacing w:after="0" w:line="123" w:lineRule="exact"/>
        <w:rPr>
          <w:rFonts w:ascii="Times New Roman" w:cs="Times New Roman" w:eastAsia="Times New Roman" w:hAnsi="Times New Roman"/>
          <w:sz w:val="18"/>
          <w:szCs w:val="18"/>
          <w:color w:val="auto"/>
        </w:rPr>
      </w:pPr>
    </w:p>
    <w:p>
      <w:pPr>
        <w:ind w:left="1220" w:right="80" w:hanging="475"/>
        <w:spacing w:after="0" w:line="235" w:lineRule="auto"/>
        <w:tabs>
          <w:tab w:leader="none" w:pos="122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Experience with corporate strategic planning and mergers and acquisitons, including divesttures and integraton of acquired businesses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Other Boards</w:t>
      </w:r>
    </w:p>
    <w:p>
      <w:pPr>
        <w:ind w:left="740"/>
        <w:spacing w:after="0" w:line="235" w:lineRule="auto"/>
        <w:rPr>
          <w:sz w:val="20"/>
          <w:szCs w:val="20"/>
          <w:color w:val="auto"/>
        </w:rPr>
      </w:pPr>
      <w:r>
        <w:rPr>
          <w:rFonts w:ascii="Calibri" w:cs="Calibri" w:eastAsia="Calibri" w:hAnsi="Calibri"/>
          <w:sz w:val="18"/>
          <w:szCs w:val="18"/>
          <w:color w:val="auto"/>
        </w:rPr>
        <w:t>Kirby Corporaton (NYSE: KEX) - Chair of Audit Commitee (2008-present)</w:t>
      </w:r>
    </w:p>
    <w:p>
      <w:pPr>
        <w:ind w:left="740"/>
        <w:spacing w:after="0" w:line="236" w:lineRule="auto"/>
        <w:rPr>
          <w:sz w:val="20"/>
          <w:szCs w:val="20"/>
          <w:color w:val="auto"/>
        </w:rPr>
      </w:pPr>
      <w:r>
        <w:rPr>
          <w:rFonts w:ascii="Calibri" w:cs="Calibri" w:eastAsia="Calibri" w:hAnsi="Calibri"/>
          <w:sz w:val="18"/>
          <w:szCs w:val="18"/>
          <w:color w:val="auto"/>
        </w:rPr>
        <w:t>Exterran Corp. (NYSE: EXTN) (2015-2018)</w:t>
      </w:r>
    </w:p>
    <w:p>
      <w:pPr>
        <w:ind w:left="740"/>
        <w:spacing w:after="0" w:line="236" w:lineRule="auto"/>
        <w:rPr>
          <w:sz w:val="20"/>
          <w:szCs w:val="20"/>
          <w:color w:val="auto"/>
        </w:rPr>
      </w:pPr>
      <w:r>
        <w:rPr>
          <w:rFonts w:ascii="Calibri" w:cs="Calibri" w:eastAsia="Calibri" w:hAnsi="Calibri"/>
          <w:sz w:val="18"/>
          <w:szCs w:val="18"/>
          <w:color w:val="auto"/>
        </w:rPr>
        <w:t>Lufin Industries, Inc. (Nasdaq: LUFK) (2009-2013)</w:t>
      </w:r>
    </w:p>
    <w:p>
      <w:pPr>
        <w:ind w:left="740"/>
        <w:spacing w:after="0" w:line="236" w:lineRule="auto"/>
        <w:rPr>
          <w:sz w:val="20"/>
          <w:szCs w:val="20"/>
          <w:color w:val="auto"/>
        </w:rPr>
      </w:pPr>
      <w:r>
        <w:rPr>
          <w:rFonts w:ascii="Calibri" w:cs="Calibri" w:eastAsia="Calibri" w:hAnsi="Calibri"/>
          <w:sz w:val="18"/>
          <w:szCs w:val="18"/>
          <w:color w:val="auto"/>
        </w:rPr>
        <w:t>Turbine Air Systems (2008-2020)</w:t>
      </w:r>
    </w:p>
    <w:p>
      <w:pPr>
        <w:ind w:left="740"/>
        <w:spacing w:after="0" w:line="236" w:lineRule="auto"/>
        <w:rPr>
          <w:sz w:val="20"/>
          <w:szCs w:val="20"/>
          <w:color w:val="auto"/>
        </w:rPr>
      </w:pPr>
      <w:r>
        <w:rPr>
          <w:rFonts w:ascii="Calibri" w:cs="Calibri" w:eastAsia="Calibri" w:hAnsi="Calibri"/>
          <w:sz w:val="18"/>
          <w:szCs w:val="18"/>
          <w:color w:val="auto"/>
        </w:rPr>
        <w:t>Plug Power Inc. (Nasdaq: PLUG) (2001-2004)</w:t>
      </w:r>
    </w:p>
    <w:p>
      <w:pPr>
        <w:ind w:left="740"/>
        <w:spacing w:after="0" w:line="236" w:lineRule="auto"/>
        <w:rPr>
          <w:sz w:val="20"/>
          <w:szCs w:val="20"/>
          <w:color w:val="auto"/>
        </w:rPr>
      </w:pPr>
      <w:r>
        <w:rPr>
          <w:rFonts w:ascii="Calibri" w:cs="Calibri" w:eastAsia="Calibri" w:hAnsi="Calibri"/>
          <w:sz w:val="18"/>
          <w:szCs w:val="18"/>
          <w:color w:val="auto"/>
        </w:rPr>
        <w:t>Stewart &amp; Stevenson Services (1994-1998)</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72C4"/>
        </w:rPr>
        <w:t>Educaton and Certfcatons</w:t>
      </w:r>
    </w:p>
    <w:p>
      <w:pPr>
        <w:ind w:left="740"/>
        <w:spacing w:after="0" w:line="235" w:lineRule="auto"/>
        <w:rPr>
          <w:sz w:val="20"/>
          <w:szCs w:val="20"/>
          <w:color w:val="auto"/>
        </w:rPr>
      </w:pPr>
      <w:r>
        <w:rPr>
          <w:rFonts w:ascii="Calibri" w:cs="Calibri" w:eastAsia="Calibri" w:hAnsi="Calibri"/>
          <w:sz w:val="18"/>
          <w:szCs w:val="18"/>
          <w:color w:val="auto"/>
        </w:rPr>
        <w:t>B.B.A., Finance, University of Texas at Austn</w:t>
      </w:r>
    </w:p>
    <w:p>
      <w:pPr>
        <w:ind w:left="740"/>
        <w:spacing w:after="0" w:line="236" w:lineRule="auto"/>
        <w:rPr>
          <w:sz w:val="20"/>
          <w:szCs w:val="20"/>
          <w:color w:val="auto"/>
        </w:rPr>
      </w:pPr>
      <w:r>
        <w:rPr>
          <w:rFonts w:ascii="Calibri" w:cs="Calibri" w:eastAsia="Calibri" w:hAnsi="Calibri"/>
          <w:sz w:val="18"/>
          <w:szCs w:val="18"/>
          <w:color w:val="auto"/>
        </w:rPr>
        <w:t>EDC, General Electric Executve Development Course</w:t>
      </w:r>
    </w:p>
    <w:p>
      <w:pPr>
        <w:spacing w:after="0" w:line="200" w:lineRule="exact"/>
        <w:rPr>
          <w:sz w:val="20"/>
          <w:szCs w:val="20"/>
          <w:color w:val="auto"/>
        </w:rPr>
      </w:pPr>
    </w:p>
    <w:p>
      <w:pPr>
        <w:spacing w:after="0" w:line="330" w:lineRule="exact"/>
        <w:rPr>
          <w:sz w:val="20"/>
          <w:szCs w:val="20"/>
          <w:color w:val="auto"/>
        </w:rPr>
      </w:pPr>
    </w:p>
    <w:p>
      <w:pPr>
        <w:ind w:left="330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color w:val="auto"/>
        </w:rPr>
        <w:t>Eagle Materials Inc. - 2024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488315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080" w:top="976" w:right="129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auto"/>
        </w:rPr>
        <w:t>Board Meetngs and Atendance Records</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During the Company’s fscal year ended March 31, 2024, our Board of Directors held four regularly scheduled meetngs and no special meetngs. During such fscal year, all of the incumbent directors atended at least 75% of the meetngs of the Board and the commitees of the Board on which they served. In accordance with our informal policy, we antcipate that all contnuing directors and nominees will atend our 2023 annual stockholders meetng. All of our then-current directors atended our 2023 annual meetng, other than Mr. Beckwit. We strongly encourage all directors to atend our stockholder meetngs. Our non-employee directors (which currently consttute all our directors, except for Mr. Haack) meet immediately afer all Board meetngs without management present. The Chairman presides at all executve sessions of the non-employee directors.</w:t>
      </w:r>
    </w:p>
    <w:p>
      <w:pPr>
        <w:spacing w:after="0" w:line="31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25"/>
          <w:szCs w:val="25"/>
          <w:b w:val="1"/>
          <w:bCs w:val="1"/>
          <w:color w:val="4472C4"/>
        </w:rPr>
        <w:t>DIRECTOR COMPENSATION</w:t>
      </w:r>
    </w:p>
    <w:p>
      <w:pPr>
        <w:spacing w:after="0" w:line="226"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Director compensaton for the 12-month period from August 2023 through July 2024 was approved by our Board of Directors in August 2023 and was unchanged from the compensaton program in efect for the preceding one-year period. The Board adopted a director compensaton structure in which directors who are not employees of the Company or any of our subsidiaries received compensaton for their services during the 12-month period from August 2023 through July 2024 by electng one of the following two compensaton package alternatves:</w:t>
      </w:r>
    </w:p>
    <w:p>
      <w:pPr>
        <w:spacing w:after="0" w:line="111" w:lineRule="exact"/>
        <w:rPr>
          <w:sz w:val="20"/>
          <w:szCs w:val="20"/>
          <w:color w:val="auto"/>
        </w:rPr>
      </w:pPr>
    </w:p>
    <w:p>
      <w:pPr>
        <w:ind w:left="1140" w:right="240" w:hanging="383"/>
        <w:spacing w:after="0" w:line="235" w:lineRule="auto"/>
        <w:tabs>
          <w:tab w:leader="none" w:pos="11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total compensaton valued at $230,000, of which $105,000 is paid in cash fees and the remainder is provided in the form of an equity grant valued at $125,000; or</w:t>
      </w:r>
    </w:p>
    <w:p>
      <w:pPr>
        <w:spacing w:after="0" w:line="104" w:lineRule="exact"/>
        <w:rPr>
          <w:rFonts w:ascii="Calibri" w:cs="Calibri" w:eastAsia="Calibri" w:hAnsi="Calibri"/>
          <w:sz w:val="18"/>
          <w:szCs w:val="18"/>
          <w:color w:val="auto"/>
        </w:rPr>
      </w:pPr>
    </w:p>
    <w:p>
      <w:pPr>
        <w:ind w:left="1140" w:hanging="383"/>
        <w:spacing w:after="0"/>
        <w:tabs>
          <w:tab w:leader="none" w:pos="11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an equity grant valued at $261,500.</w:t>
      </w:r>
    </w:p>
    <w:p>
      <w:pPr>
        <w:spacing w:after="0" w:line="217"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The value of the equity grant under either alternatve is allocated between restricted stock and optons to purchase Common Stock (based upon the recommendaton of the Compensaton Commitee, which was based in part on the stated preference of the recipient) with respect to each non-employee director.</w:t>
      </w:r>
    </w:p>
    <w:p>
      <w:pPr>
        <w:spacing w:after="0" w:line="219"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In accordance with the terms of the Eagle Materials Inc. 2023 Equity Incentve Plan (“2023 Incentve Plan”) the exercise price of stock optons is set at the closing price of the Common Stock on the NYSE on the date of grant. The number of opton shares granted is determined as of the date of the grant by using the Black-Scholes method. All optons granted to directors in August 2023 have a ten-year term but are subject to vestng requirements, with the optons becoming fully vested (exercisable) on the earliest to occur of (i) the one-year anniversary of the date of grant; (ii) the next annual meetng of the Company’s stockholders, which is at least 50 weeks afer the immediately preceding year’s annual meetng; (iii) the recipient’s retrement from the Board in accordance with the Company’s director retrement policy, or earlier under such terms and conditons as approved by the Compensaton Commitee; (iv) the recipient’s disability as determined by the Compensaton Commitee; or (v) the recipient’s death.</w:t>
      </w:r>
    </w:p>
    <w:p>
      <w:pPr>
        <w:spacing w:after="0" w:line="22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number of shares of restricted stock is determined as of the date of grant using the closing price of the Common Stock on the NYSE on the date of grant. The restricted stock granted to directors in August 2023 is subject to vestng requirements, with the shares becoming fully vested (unrestricted) on the earliest to occur of (i) the one-year anniversary of the date of grant; (ii) the next annual meetng of the Company’s stockholders, which is at least 50 weeks afer the immediately preceding year’s annual meetng; (iii) the recipient’s retrement from the Board in accordance with the Company’s director retrement policy, or earlier under such terms and conditons as approved by the Compensaton Commitee; (iv) the recipient’s disability as determined by the Compensaton Commitee; or (v) the recipient’s death. During the restricton period the director will have the right to vote the shares. In additon, upon the vestng of the underlying shares, the director will also be enttled to accrued cash dividends with respect to such shares that were paid to holders of Common Stock during the restricton period.</w:t>
      </w:r>
    </w:p>
    <w:p>
      <w:pPr>
        <w:spacing w:after="0" w:line="223"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Non-employee directors who chair commitees of the Board of Directors receive additonal annual compensaton. The chairs of the Audit Commitee, Compensaton Commitee and Governance Commitee each receive a fee of $20,000 per year. The Chairman of the Board received an additonal fee of $125,000 during the past year. Chairpersons who choose compensaton package alternatve one (part equity and part cash) receive this additonal compensaton in the form of cash. Chairpersons who choose compensaton package alternatve two (all equity) receive this additonal compensaton in the form of equity, in which case a 30% premium is added to such fees when valuing the equity to be received by such chairperson.</w:t>
      </w:r>
    </w:p>
    <w:p>
      <w:pPr>
        <w:spacing w:after="0" w:line="220"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In certain prior years, equity grants were in some cases made in the form of restricted stock units, which we refer to as “RSUs.” In the case of non-employee directors who hold unvested RSUs (which currently only includes Mr. Nicolais), these directors will receive dividend equivalent units as and when the Company pays a cash dividend on the Common Stock in accordance with the terms of the RSUs.</w:t>
      </w:r>
    </w:p>
    <w:p>
      <w:pPr>
        <w:spacing w:after="0" w:line="21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All directors are reimbursed for reasonable expenses of atending meetngs.</w:t>
      </w:r>
    </w:p>
    <w:p>
      <w:pPr>
        <w:spacing w:after="0" w:line="313"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5" w:name="page26"/>
    <w:bookmarkEnd w:id="25"/>
    <w:p>
      <w:pPr>
        <w:jc w:val="center"/>
        <w:ind w:right="-19"/>
        <w:spacing w:after="0"/>
        <w:rPr>
          <w:sz w:val="20"/>
          <w:szCs w:val="20"/>
          <w:color w:val="auto"/>
        </w:rPr>
      </w:pPr>
      <w:r>
        <w:rPr>
          <w:rFonts w:ascii="Calibri" w:cs="Calibri" w:eastAsia="Calibri" w:hAnsi="Calibri"/>
          <w:sz w:val="18"/>
          <w:szCs w:val="18"/>
          <w:b w:val="1"/>
          <w:bCs w:val="1"/>
          <w:color w:val="auto"/>
        </w:rPr>
        <w:t>Non-Employee Director Compensaton for Fiscal Year 2024</w:t>
      </w:r>
    </w:p>
    <w:p>
      <w:pPr>
        <w:spacing w:after="0" w:line="21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table below summarizes the compensaton paid by the Company to our non-employee directors for the fscal year ended March 31, 2024. Mr. Haack served as a director for the fscal year ended March 31, 2024 but did not receive any additonal compensaton for such service, and his compensaton as our Chief Executve Ofcer is included in the Fiscal 2024 Summary Compensaton Table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Calibri" w:cs="Calibri" w:eastAsia="Calibri" w:hAnsi="Calibri"/>
                <w:sz w:val="13"/>
                <w:szCs w:val="13"/>
                <w:b w:val="1"/>
                <w:bCs w:val="1"/>
                <w:color w:val="auto"/>
              </w:rPr>
              <w:t>Fees Earned</w:t>
            </w: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Calibri" w:cs="Calibri" w:eastAsia="Calibri" w:hAnsi="Calibri"/>
                <w:sz w:val="13"/>
                <w:szCs w:val="13"/>
                <w:b w:val="1"/>
                <w:bCs w:val="1"/>
                <w:color w:val="auto"/>
              </w:rPr>
              <w:t>or</w:t>
            </w:r>
          </w:p>
        </w:tc>
        <w:tc>
          <w:tcPr>
            <w:tcW w:w="2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3"/>
                <w:szCs w:val="13"/>
                <w:b w:val="1"/>
                <w:bCs w:val="1"/>
                <w:color w:val="auto"/>
              </w:rPr>
              <w:t>Stock</w:t>
            </w:r>
          </w:p>
        </w:tc>
        <w:tc>
          <w:tcPr>
            <w:tcW w:w="2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alibri" w:cs="Calibri" w:eastAsia="Calibri" w:hAnsi="Calibri"/>
                <w:sz w:val="13"/>
                <w:szCs w:val="13"/>
                <w:b w:val="1"/>
                <w:bCs w:val="1"/>
                <w:color w:val="auto"/>
              </w:rPr>
              <w:t>Opton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alibri" w:cs="Calibri" w:eastAsia="Calibri" w:hAnsi="Calibri"/>
                <w:sz w:val="13"/>
                <w:szCs w:val="13"/>
                <w:b w:val="1"/>
                <w:bCs w:val="1"/>
                <w:color w:val="auto"/>
              </w:rPr>
              <w:t>Paid in Cash</w:t>
            </w: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alibri" w:cs="Calibri" w:eastAsia="Calibri" w:hAnsi="Calibri"/>
                <w:sz w:val="13"/>
                <w:szCs w:val="13"/>
                <w:b w:val="1"/>
                <w:bCs w:val="1"/>
                <w:color w:val="auto"/>
              </w:rPr>
              <w:t>Awards</w:t>
            </w:r>
          </w:p>
        </w:tc>
        <w:tc>
          <w:tcPr>
            <w:tcW w:w="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alibri" w:cs="Calibri" w:eastAsia="Calibri" w:hAnsi="Calibri"/>
                <w:sz w:val="13"/>
                <w:szCs w:val="13"/>
                <w:b w:val="1"/>
                <w:bCs w:val="1"/>
                <w:color w:val="auto"/>
              </w:rPr>
              <w:t>Awards</w:t>
            </w:r>
          </w:p>
        </w:tc>
        <w:tc>
          <w:tcPr>
            <w:tcW w:w="240" w:type="dxa"/>
            <w:vAlign w:val="bottom"/>
          </w:tcPr>
          <w:p>
            <w:pPr>
              <w:spacing w:after="0"/>
              <w:rPr>
                <w:sz w:val="14"/>
                <w:szCs w:val="14"/>
                <w:color w:val="auto"/>
              </w:rPr>
            </w:pPr>
          </w:p>
        </w:tc>
        <w:tc>
          <w:tcPr>
            <w:tcW w:w="1700" w:type="dxa"/>
            <w:vAlign w:val="bottom"/>
            <w:gridSpan w:val="2"/>
          </w:tcPr>
          <w:p>
            <w:pPr>
              <w:ind w:left="660"/>
              <w:spacing w:after="0"/>
              <w:rPr>
                <w:sz w:val="20"/>
                <w:szCs w:val="20"/>
                <w:color w:val="auto"/>
              </w:rPr>
            </w:pPr>
            <w:r>
              <w:rPr>
                <w:rFonts w:ascii="Calibri" w:cs="Calibri" w:eastAsia="Calibri" w:hAnsi="Calibri"/>
                <w:sz w:val="13"/>
                <w:szCs w:val="13"/>
                <w:b w:val="1"/>
                <w:bCs w:val="1"/>
                <w:color w:val="auto"/>
              </w:rPr>
              <w:t>Total</w:t>
            </w:r>
          </w:p>
        </w:tc>
      </w:tr>
      <w:tr>
        <w:trPr>
          <w:trHeight w:val="180"/>
        </w:trPr>
        <w:tc>
          <w:tcPr>
            <w:tcW w:w="3960" w:type="dxa"/>
            <w:vAlign w:val="bottom"/>
            <w:gridSpan w:val="4"/>
          </w:tcPr>
          <w:p>
            <w:pPr>
              <w:ind w:left="20"/>
              <w:spacing w:after="0"/>
              <w:rPr>
                <w:sz w:val="20"/>
                <w:szCs w:val="20"/>
                <w:color w:val="auto"/>
              </w:rPr>
            </w:pPr>
            <w:r>
              <w:rPr>
                <w:rFonts w:ascii="Calibri" w:cs="Calibri" w:eastAsia="Calibri" w:hAnsi="Calibri"/>
                <w:sz w:val="13"/>
                <w:szCs w:val="13"/>
                <w:b w:val="1"/>
                <w:bCs w:val="1"/>
                <w:color w:val="auto"/>
              </w:rPr>
              <w:t>Name</w:t>
            </w:r>
          </w:p>
        </w:tc>
        <w:tc>
          <w:tcPr>
            <w:tcW w:w="1620" w:type="dxa"/>
            <w:vAlign w:val="bottom"/>
          </w:tcPr>
          <w:p>
            <w:pPr>
              <w:jc w:val="center"/>
              <w:spacing w:after="0"/>
              <w:rPr>
                <w:sz w:val="20"/>
                <w:szCs w:val="20"/>
                <w:color w:val="auto"/>
              </w:rPr>
            </w:pPr>
            <w:r>
              <w:rPr>
                <w:rFonts w:ascii="Calibri" w:cs="Calibri" w:eastAsia="Calibri" w:hAnsi="Calibri"/>
                <w:sz w:val="13"/>
                <w:szCs w:val="13"/>
                <w:b w:val="1"/>
                <w:bCs w:val="1"/>
                <w:color w:val="auto"/>
                <w:w w:val="94"/>
              </w:rPr>
              <w:t>($)</w:t>
            </w:r>
          </w:p>
        </w:tc>
        <w:tc>
          <w:tcPr>
            <w:tcW w:w="1880" w:type="dxa"/>
            <w:vAlign w:val="bottom"/>
            <w:gridSpan w:val="2"/>
          </w:tcPr>
          <w:p>
            <w:pPr>
              <w:jc w:val="center"/>
              <w:ind w:left="180"/>
              <w:spacing w:after="0" w:line="180" w:lineRule="exact"/>
              <w:rPr>
                <w:sz w:val="20"/>
                <w:szCs w:val="20"/>
                <w:color w:val="auto"/>
              </w:rPr>
            </w:pPr>
            <w:r>
              <w:rPr>
                <w:rFonts w:ascii="Calibri" w:cs="Calibri" w:eastAsia="Calibri" w:hAnsi="Calibri"/>
                <w:sz w:val="13"/>
                <w:szCs w:val="13"/>
                <w:b w:val="1"/>
                <w:bCs w:val="1"/>
                <w:color w:val="auto"/>
                <w:w w:val="91"/>
              </w:rPr>
              <w:t>($)</w:t>
            </w:r>
            <w:r>
              <w:rPr>
                <w:rFonts w:ascii="Calibri" w:cs="Calibri" w:eastAsia="Calibri" w:hAnsi="Calibri"/>
                <w:sz w:val="18"/>
                <w:szCs w:val="18"/>
                <w:b w:val="1"/>
                <w:bCs w:val="1"/>
                <w:color w:val="auto"/>
                <w:w w:val="91"/>
                <w:vertAlign w:val="superscript"/>
              </w:rPr>
              <w:t>(1)</w:t>
            </w:r>
          </w:p>
        </w:tc>
        <w:tc>
          <w:tcPr>
            <w:tcW w:w="1840" w:type="dxa"/>
            <w:vAlign w:val="bottom"/>
            <w:gridSpan w:val="2"/>
          </w:tcPr>
          <w:p>
            <w:pPr>
              <w:jc w:val="center"/>
              <w:ind w:left="166"/>
              <w:spacing w:after="0" w:line="180" w:lineRule="exact"/>
              <w:rPr>
                <w:sz w:val="20"/>
                <w:szCs w:val="20"/>
                <w:color w:val="auto"/>
              </w:rPr>
            </w:pPr>
            <w:r>
              <w:rPr>
                <w:rFonts w:ascii="Calibri" w:cs="Calibri" w:eastAsia="Calibri" w:hAnsi="Calibri"/>
                <w:sz w:val="13"/>
                <w:szCs w:val="13"/>
                <w:b w:val="1"/>
                <w:bCs w:val="1"/>
                <w:color w:val="auto"/>
                <w:w w:val="84"/>
              </w:rPr>
              <w:t>($)</w:t>
            </w:r>
            <w:r>
              <w:rPr>
                <w:rFonts w:ascii="Calibri" w:cs="Calibri" w:eastAsia="Calibri" w:hAnsi="Calibri"/>
                <w:sz w:val="18"/>
                <w:szCs w:val="18"/>
                <w:b w:val="1"/>
                <w:bCs w:val="1"/>
                <w:color w:val="auto"/>
                <w:w w:val="84"/>
                <w:vertAlign w:val="superscript"/>
              </w:rPr>
              <w:t>(2)</w:t>
            </w:r>
          </w:p>
        </w:tc>
        <w:tc>
          <w:tcPr>
            <w:tcW w:w="1840" w:type="dxa"/>
            <w:vAlign w:val="bottom"/>
            <w:gridSpan w:val="2"/>
          </w:tcPr>
          <w:p>
            <w:pPr>
              <w:jc w:val="right"/>
              <w:ind w:right="653"/>
              <w:spacing w:after="0"/>
              <w:rPr>
                <w:sz w:val="20"/>
                <w:szCs w:val="20"/>
                <w:color w:val="auto"/>
              </w:rPr>
            </w:pPr>
            <w:r>
              <w:rPr>
                <w:rFonts w:ascii="Calibri" w:cs="Calibri" w:eastAsia="Calibri" w:hAnsi="Calibri"/>
                <w:sz w:val="13"/>
                <w:szCs w:val="13"/>
                <w:b w:val="1"/>
                <w:bCs w:val="1"/>
                <w:color w:val="auto"/>
              </w:rPr>
              <w:t>($)</w:t>
            </w: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60" w:type="dxa"/>
            <w:vAlign w:val="bottom"/>
            <w:gridSpan w:val="4"/>
            <w:shd w:val="clear" w:color="auto" w:fill="CFF0FC"/>
          </w:tcPr>
          <w:p>
            <w:pPr>
              <w:ind w:left="20"/>
              <w:spacing w:after="0" w:line="223" w:lineRule="exact"/>
              <w:rPr>
                <w:sz w:val="20"/>
                <w:szCs w:val="20"/>
                <w:color w:val="auto"/>
              </w:rPr>
            </w:pPr>
            <w:r>
              <w:rPr>
                <w:rFonts w:ascii="Calibri" w:cs="Calibri" w:eastAsia="Calibri" w:hAnsi="Calibri"/>
                <w:sz w:val="16"/>
                <w:szCs w:val="16"/>
                <w:color w:val="auto"/>
              </w:rPr>
              <w:t>Rick Beckwit</w:t>
            </w:r>
            <w:r>
              <w:rPr>
                <w:rFonts w:ascii="Calibri" w:cs="Calibri" w:eastAsia="Calibri" w:hAnsi="Calibri"/>
                <w:sz w:val="21"/>
                <w:szCs w:val="21"/>
                <w:color w:val="auto"/>
                <w:vertAlign w:val="superscript"/>
              </w:rPr>
              <w:t>(3)</w:t>
            </w:r>
          </w:p>
        </w:tc>
        <w:tc>
          <w:tcPr>
            <w:tcW w:w="16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287,792</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287,792</w:t>
            </w:r>
          </w:p>
        </w:tc>
        <w:tc>
          <w:tcPr>
            <w:tcW w:w="100" w:type="dxa"/>
            <w:vAlign w:val="bottom"/>
            <w:shd w:val="clear" w:color="auto" w:fill="CFF0FC"/>
          </w:tcPr>
          <w:p>
            <w:pPr>
              <w:spacing w:after="0"/>
              <w:rPr>
                <w:sz w:val="19"/>
                <w:szCs w:val="19"/>
                <w:color w:val="auto"/>
              </w:rPr>
            </w:pPr>
          </w:p>
        </w:tc>
      </w:tr>
      <w:tr>
        <w:trPr>
          <w:trHeight w:val="230"/>
        </w:trPr>
        <w:tc>
          <w:tcPr>
            <w:tcW w:w="3960" w:type="dxa"/>
            <w:vAlign w:val="bottom"/>
            <w:gridSpan w:val="4"/>
          </w:tcPr>
          <w:p>
            <w:pPr>
              <w:ind w:left="20"/>
              <w:spacing w:after="0" w:line="229" w:lineRule="exact"/>
              <w:rPr>
                <w:sz w:val="20"/>
                <w:szCs w:val="20"/>
                <w:color w:val="auto"/>
              </w:rPr>
            </w:pPr>
            <w:r>
              <w:rPr>
                <w:rFonts w:ascii="Calibri" w:cs="Calibri" w:eastAsia="Calibri" w:hAnsi="Calibri"/>
                <w:sz w:val="16"/>
                <w:szCs w:val="16"/>
                <w:color w:val="auto"/>
              </w:rPr>
              <w:t>Margot L. Carter</w:t>
            </w:r>
            <w:r>
              <w:rPr>
                <w:rFonts w:ascii="Calibri" w:cs="Calibri" w:eastAsia="Calibri" w:hAnsi="Calibri"/>
                <w:sz w:val="21"/>
                <w:szCs w:val="21"/>
                <w:color w:val="auto"/>
                <w:vertAlign w:val="superscript"/>
              </w:rPr>
              <w:t>(4)</w:t>
            </w:r>
          </w:p>
        </w:tc>
        <w:tc>
          <w:tcPr>
            <w:tcW w:w="1620" w:type="dxa"/>
            <w:vAlign w:val="bottom"/>
          </w:tcPr>
          <w:p>
            <w:pPr>
              <w:jc w:val="right"/>
              <w:spacing w:after="0" w:line="193" w:lineRule="exact"/>
              <w:rPr>
                <w:sz w:val="20"/>
                <w:szCs w:val="20"/>
                <w:color w:val="auto"/>
              </w:rPr>
            </w:pPr>
            <w:r>
              <w:rPr>
                <w:rFonts w:ascii="Calibri" w:cs="Calibri" w:eastAsia="Calibri" w:hAnsi="Calibri"/>
                <w:sz w:val="16"/>
                <w:szCs w:val="16"/>
                <w:color w:val="auto"/>
              </w:rPr>
              <w:t>35,000</w:t>
            </w:r>
          </w:p>
        </w:tc>
        <w:tc>
          <w:tcPr>
            <w:tcW w:w="18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261,629</w:t>
            </w:r>
          </w:p>
        </w:tc>
        <w:tc>
          <w:tcPr>
            <w:tcW w:w="240" w:type="dxa"/>
            <w:vAlign w:val="bottom"/>
          </w:tcPr>
          <w:p>
            <w:pPr>
              <w:spacing w:after="0"/>
              <w:rPr>
                <w:sz w:val="19"/>
                <w:szCs w:val="19"/>
                <w:color w:val="auto"/>
              </w:rPr>
            </w:pPr>
          </w:p>
        </w:tc>
        <w:tc>
          <w:tcPr>
            <w:tcW w:w="16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296,629</w:t>
            </w:r>
          </w:p>
        </w:tc>
        <w:tc>
          <w:tcPr>
            <w:tcW w:w="100" w:type="dxa"/>
            <w:vAlign w:val="bottom"/>
          </w:tcPr>
          <w:p>
            <w:pPr>
              <w:spacing w:after="0"/>
              <w:rPr>
                <w:sz w:val="19"/>
                <w:szCs w:val="19"/>
                <w:color w:val="auto"/>
              </w:rPr>
            </w:pPr>
          </w:p>
        </w:tc>
      </w:tr>
      <w:tr>
        <w:trPr>
          <w:trHeight w:val="229"/>
        </w:trPr>
        <w:tc>
          <w:tcPr>
            <w:tcW w:w="3960" w:type="dxa"/>
            <w:vAlign w:val="bottom"/>
            <w:gridSpan w:val="4"/>
            <w:shd w:val="clear" w:color="auto" w:fill="CFF0FC"/>
          </w:tcPr>
          <w:p>
            <w:pPr>
              <w:ind w:left="20"/>
              <w:spacing w:after="0" w:line="229" w:lineRule="exact"/>
              <w:rPr>
                <w:sz w:val="20"/>
                <w:szCs w:val="20"/>
                <w:color w:val="auto"/>
              </w:rPr>
            </w:pPr>
            <w:r>
              <w:rPr>
                <w:rFonts w:ascii="Calibri" w:cs="Calibri" w:eastAsia="Calibri" w:hAnsi="Calibri"/>
                <w:sz w:val="16"/>
                <w:szCs w:val="16"/>
                <w:color w:val="auto"/>
              </w:rPr>
              <w:t>George J. Damiris</w:t>
            </w:r>
            <w:r>
              <w:rPr>
                <w:rFonts w:ascii="Calibri" w:cs="Calibri" w:eastAsia="Calibri" w:hAnsi="Calibri"/>
                <w:sz w:val="21"/>
                <w:szCs w:val="21"/>
                <w:color w:val="auto"/>
                <w:vertAlign w:val="superscript"/>
              </w:rPr>
              <w:t>(5)</w:t>
            </w:r>
          </w:p>
        </w:tc>
        <w:tc>
          <w:tcPr>
            <w:tcW w:w="16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287,792</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287,792</w:t>
            </w:r>
          </w:p>
        </w:tc>
        <w:tc>
          <w:tcPr>
            <w:tcW w:w="100" w:type="dxa"/>
            <w:vAlign w:val="bottom"/>
            <w:shd w:val="clear" w:color="auto" w:fill="CFF0FC"/>
          </w:tcPr>
          <w:p>
            <w:pPr>
              <w:spacing w:after="0"/>
              <w:rPr>
                <w:sz w:val="19"/>
                <w:szCs w:val="19"/>
                <w:color w:val="auto"/>
              </w:rPr>
            </w:pPr>
          </w:p>
        </w:tc>
      </w:tr>
      <w:tr>
        <w:trPr>
          <w:trHeight w:val="229"/>
        </w:trPr>
        <w:tc>
          <w:tcPr>
            <w:tcW w:w="3960" w:type="dxa"/>
            <w:vAlign w:val="bottom"/>
            <w:gridSpan w:val="4"/>
          </w:tcPr>
          <w:p>
            <w:pPr>
              <w:ind w:left="20"/>
              <w:spacing w:after="0" w:line="229" w:lineRule="exact"/>
              <w:rPr>
                <w:sz w:val="20"/>
                <w:szCs w:val="20"/>
                <w:color w:val="auto"/>
              </w:rPr>
            </w:pPr>
            <w:r>
              <w:rPr>
                <w:rFonts w:ascii="Calibri" w:cs="Calibri" w:eastAsia="Calibri" w:hAnsi="Calibri"/>
                <w:sz w:val="16"/>
                <w:szCs w:val="16"/>
                <w:color w:val="auto"/>
              </w:rPr>
              <w:t>Martn M. Ellen</w:t>
            </w:r>
            <w:r>
              <w:rPr>
                <w:rFonts w:ascii="Calibri" w:cs="Calibri" w:eastAsia="Calibri" w:hAnsi="Calibri"/>
                <w:sz w:val="21"/>
                <w:szCs w:val="21"/>
                <w:color w:val="auto"/>
                <w:vertAlign w:val="superscript"/>
              </w:rPr>
              <w:t>(6)</w:t>
            </w:r>
          </w:p>
        </w:tc>
        <w:tc>
          <w:tcPr>
            <w:tcW w:w="1620" w:type="dxa"/>
            <w:vAlign w:val="bottom"/>
          </w:tcPr>
          <w:p>
            <w:pPr>
              <w:jc w:val="right"/>
              <w:spacing w:after="0" w:line="193" w:lineRule="exact"/>
              <w:rPr>
                <w:sz w:val="20"/>
                <w:szCs w:val="20"/>
                <w:color w:val="auto"/>
              </w:rPr>
            </w:pPr>
            <w:r>
              <w:rPr>
                <w:rFonts w:ascii="Calibri" w:cs="Calibri" w:eastAsia="Calibri" w:hAnsi="Calibri"/>
                <w:sz w:val="16"/>
                <w:szCs w:val="16"/>
                <w:color w:val="auto"/>
              </w:rPr>
              <w:t>125,000</w:t>
            </w:r>
          </w:p>
        </w:tc>
        <w:tc>
          <w:tcPr>
            <w:tcW w:w="18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125,086</w:t>
            </w:r>
          </w:p>
        </w:tc>
        <w:tc>
          <w:tcPr>
            <w:tcW w:w="240" w:type="dxa"/>
            <w:vAlign w:val="bottom"/>
          </w:tcPr>
          <w:p>
            <w:pPr>
              <w:spacing w:after="0"/>
              <w:rPr>
                <w:sz w:val="19"/>
                <w:szCs w:val="19"/>
                <w:color w:val="auto"/>
              </w:rPr>
            </w:pPr>
          </w:p>
        </w:tc>
        <w:tc>
          <w:tcPr>
            <w:tcW w:w="16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250,086</w:t>
            </w:r>
          </w:p>
        </w:tc>
        <w:tc>
          <w:tcPr>
            <w:tcW w:w="100" w:type="dxa"/>
            <w:vAlign w:val="bottom"/>
          </w:tcPr>
          <w:p>
            <w:pPr>
              <w:spacing w:after="0"/>
              <w:rPr>
                <w:sz w:val="19"/>
                <w:szCs w:val="19"/>
                <w:color w:val="auto"/>
              </w:rPr>
            </w:pPr>
          </w:p>
        </w:tc>
      </w:tr>
      <w:tr>
        <w:trPr>
          <w:trHeight w:val="230"/>
        </w:trPr>
        <w:tc>
          <w:tcPr>
            <w:tcW w:w="3960" w:type="dxa"/>
            <w:vAlign w:val="bottom"/>
            <w:gridSpan w:val="4"/>
            <w:shd w:val="clear" w:color="auto" w:fill="CFF0FC"/>
          </w:tcPr>
          <w:p>
            <w:pPr>
              <w:ind w:left="20"/>
              <w:spacing w:after="0" w:line="229" w:lineRule="exact"/>
              <w:rPr>
                <w:sz w:val="20"/>
                <w:szCs w:val="20"/>
                <w:color w:val="auto"/>
              </w:rPr>
            </w:pPr>
            <w:r>
              <w:rPr>
                <w:rFonts w:ascii="Calibri" w:cs="Calibri" w:eastAsia="Calibri" w:hAnsi="Calibri"/>
                <w:sz w:val="16"/>
                <w:szCs w:val="16"/>
                <w:color w:val="auto"/>
              </w:rPr>
              <w:t>Mauro Gregorio</w:t>
            </w:r>
            <w:r>
              <w:rPr>
                <w:rFonts w:ascii="Calibri" w:cs="Calibri" w:eastAsia="Calibri" w:hAnsi="Calibri"/>
                <w:sz w:val="21"/>
                <w:szCs w:val="21"/>
                <w:color w:val="auto"/>
                <w:vertAlign w:val="superscript"/>
              </w:rPr>
              <w:t>(4)</w:t>
            </w:r>
          </w:p>
        </w:tc>
        <w:tc>
          <w:tcPr>
            <w:tcW w:w="16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261,629</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261,629</w:t>
            </w:r>
          </w:p>
        </w:tc>
        <w:tc>
          <w:tcPr>
            <w:tcW w:w="100" w:type="dxa"/>
            <w:vAlign w:val="bottom"/>
            <w:shd w:val="clear" w:color="auto" w:fill="CFF0FC"/>
          </w:tcPr>
          <w:p>
            <w:pPr>
              <w:spacing w:after="0"/>
              <w:rPr>
                <w:sz w:val="19"/>
                <w:szCs w:val="19"/>
                <w:color w:val="auto"/>
              </w:rPr>
            </w:pPr>
          </w:p>
        </w:tc>
      </w:tr>
      <w:tr>
        <w:trPr>
          <w:trHeight w:val="229"/>
        </w:trPr>
        <w:tc>
          <w:tcPr>
            <w:tcW w:w="3960" w:type="dxa"/>
            <w:vAlign w:val="bottom"/>
            <w:gridSpan w:val="4"/>
          </w:tcPr>
          <w:p>
            <w:pPr>
              <w:ind w:left="20"/>
              <w:spacing w:after="0" w:line="229" w:lineRule="exact"/>
              <w:rPr>
                <w:sz w:val="20"/>
                <w:szCs w:val="20"/>
                <w:color w:val="auto"/>
              </w:rPr>
            </w:pPr>
            <w:r>
              <w:rPr>
                <w:rFonts w:ascii="Calibri" w:cs="Calibri" w:eastAsia="Calibri" w:hAnsi="Calibri"/>
                <w:sz w:val="16"/>
                <w:szCs w:val="16"/>
                <w:color w:val="auto"/>
              </w:rPr>
              <w:t>Michael R. Nicolais</w:t>
            </w:r>
            <w:r>
              <w:rPr>
                <w:rFonts w:ascii="Calibri" w:cs="Calibri" w:eastAsia="Calibri" w:hAnsi="Calibri"/>
                <w:sz w:val="21"/>
                <w:szCs w:val="21"/>
                <w:color w:val="auto"/>
                <w:vertAlign w:val="superscript"/>
              </w:rPr>
              <w:t>(7)</w:t>
            </w:r>
          </w:p>
        </w:tc>
        <w:tc>
          <w:tcPr>
            <w:tcW w:w="16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8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318,157</w:t>
            </w:r>
          </w:p>
        </w:tc>
        <w:tc>
          <w:tcPr>
            <w:tcW w:w="1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106,060</w:t>
            </w:r>
          </w:p>
        </w:tc>
        <w:tc>
          <w:tcPr>
            <w:tcW w:w="1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424,217</w:t>
            </w:r>
          </w:p>
        </w:tc>
        <w:tc>
          <w:tcPr>
            <w:tcW w:w="100" w:type="dxa"/>
            <w:vAlign w:val="bottom"/>
          </w:tcPr>
          <w:p>
            <w:pPr>
              <w:spacing w:after="0"/>
              <w:rPr>
                <w:sz w:val="19"/>
                <w:szCs w:val="19"/>
                <w:color w:val="auto"/>
              </w:rPr>
            </w:pPr>
          </w:p>
        </w:tc>
      </w:tr>
      <w:tr>
        <w:trPr>
          <w:trHeight w:val="229"/>
        </w:trPr>
        <w:tc>
          <w:tcPr>
            <w:tcW w:w="3960" w:type="dxa"/>
            <w:vAlign w:val="bottom"/>
            <w:gridSpan w:val="4"/>
            <w:shd w:val="clear" w:color="auto" w:fill="CFF0FC"/>
          </w:tcPr>
          <w:p>
            <w:pPr>
              <w:ind w:left="20"/>
              <w:spacing w:after="0" w:line="229" w:lineRule="exact"/>
              <w:rPr>
                <w:sz w:val="20"/>
                <w:szCs w:val="20"/>
                <w:color w:val="auto"/>
              </w:rPr>
            </w:pPr>
            <w:r>
              <w:rPr>
                <w:rFonts w:ascii="Calibri" w:cs="Calibri" w:eastAsia="Calibri" w:hAnsi="Calibri"/>
                <w:sz w:val="16"/>
                <w:szCs w:val="16"/>
                <w:color w:val="auto"/>
              </w:rPr>
              <w:t>David B. Powers</w:t>
            </w:r>
            <w:r>
              <w:rPr>
                <w:rFonts w:ascii="Calibri" w:cs="Calibri" w:eastAsia="Calibri" w:hAnsi="Calibri"/>
                <w:sz w:val="21"/>
                <w:szCs w:val="21"/>
                <w:color w:val="auto"/>
                <w:vertAlign w:val="superscript"/>
              </w:rPr>
              <w:t>(8)</w:t>
            </w:r>
          </w:p>
        </w:tc>
        <w:tc>
          <w:tcPr>
            <w:tcW w:w="16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105,000</w:t>
            </w:r>
          </w:p>
        </w:tc>
        <w:tc>
          <w:tcPr>
            <w:tcW w:w="18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125,086</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230,086</w:t>
            </w:r>
          </w:p>
        </w:tc>
        <w:tc>
          <w:tcPr>
            <w:tcW w:w="100" w:type="dxa"/>
            <w:vAlign w:val="bottom"/>
            <w:shd w:val="clear" w:color="auto" w:fill="CFF0FC"/>
          </w:tcPr>
          <w:p>
            <w:pPr>
              <w:spacing w:after="0"/>
              <w:rPr>
                <w:sz w:val="19"/>
                <w:szCs w:val="19"/>
                <w:color w:val="auto"/>
              </w:rPr>
            </w:pPr>
          </w:p>
        </w:tc>
      </w:tr>
      <w:tr>
        <w:trPr>
          <w:trHeight w:val="230"/>
        </w:trPr>
        <w:tc>
          <w:tcPr>
            <w:tcW w:w="3960" w:type="dxa"/>
            <w:vAlign w:val="bottom"/>
            <w:gridSpan w:val="4"/>
          </w:tcPr>
          <w:p>
            <w:pPr>
              <w:ind w:left="20"/>
              <w:spacing w:after="0" w:line="229" w:lineRule="exact"/>
              <w:rPr>
                <w:sz w:val="20"/>
                <w:szCs w:val="20"/>
                <w:color w:val="auto"/>
              </w:rPr>
            </w:pPr>
            <w:r>
              <w:rPr>
                <w:rFonts w:ascii="Calibri" w:cs="Calibri" w:eastAsia="Calibri" w:hAnsi="Calibri"/>
                <w:sz w:val="16"/>
                <w:szCs w:val="16"/>
                <w:color w:val="auto"/>
              </w:rPr>
              <w:t>Mary P. Ricciardello</w:t>
            </w:r>
            <w:r>
              <w:rPr>
                <w:rFonts w:ascii="Calibri" w:cs="Calibri" w:eastAsia="Calibri" w:hAnsi="Calibri"/>
                <w:sz w:val="21"/>
                <w:szCs w:val="21"/>
                <w:color w:val="auto"/>
                <w:vertAlign w:val="superscript"/>
              </w:rPr>
              <w:t>(4)</w:t>
            </w:r>
          </w:p>
        </w:tc>
        <w:tc>
          <w:tcPr>
            <w:tcW w:w="16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8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261,629</w:t>
            </w:r>
          </w:p>
        </w:tc>
        <w:tc>
          <w:tcPr>
            <w:tcW w:w="240" w:type="dxa"/>
            <w:vAlign w:val="bottom"/>
          </w:tcPr>
          <w:p>
            <w:pPr>
              <w:spacing w:after="0"/>
              <w:rPr>
                <w:sz w:val="19"/>
                <w:szCs w:val="19"/>
                <w:color w:val="auto"/>
              </w:rPr>
            </w:pPr>
          </w:p>
        </w:tc>
        <w:tc>
          <w:tcPr>
            <w:tcW w:w="16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261,629</w:t>
            </w:r>
          </w:p>
        </w:tc>
        <w:tc>
          <w:tcPr>
            <w:tcW w:w="100" w:type="dxa"/>
            <w:vAlign w:val="bottom"/>
          </w:tcPr>
          <w:p>
            <w:pPr>
              <w:spacing w:after="0"/>
              <w:rPr>
                <w:sz w:val="19"/>
                <w:szCs w:val="19"/>
                <w:color w:val="auto"/>
              </w:rPr>
            </w:pPr>
          </w:p>
        </w:tc>
      </w:tr>
      <w:tr>
        <w:trPr>
          <w:trHeight w:val="229"/>
        </w:trPr>
        <w:tc>
          <w:tcPr>
            <w:tcW w:w="3960" w:type="dxa"/>
            <w:vAlign w:val="bottom"/>
            <w:gridSpan w:val="4"/>
            <w:shd w:val="clear" w:color="auto" w:fill="CFF0FC"/>
          </w:tcPr>
          <w:p>
            <w:pPr>
              <w:ind w:left="20"/>
              <w:spacing w:after="0" w:line="229" w:lineRule="exact"/>
              <w:rPr>
                <w:sz w:val="20"/>
                <w:szCs w:val="20"/>
                <w:color w:val="auto"/>
              </w:rPr>
            </w:pPr>
            <w:r>
              <w:rPr>
                <w:rFonts w:ascii="Calibri" w:cs="Calibri" w:eastAsia="Calibri" w:hAnsi="Calibri"/>
                <w:sz w:val="16"/>
                <w:szCs w:val="16"/>
                <w:color w:val="auto"/>
              </w:rPr>
              <w:t>Richard R. Stewart</w:t>
            </w:r>
            <w:r>
              <w:rPr>
                <w:rFonts w:ascii="Calibri" w:cs="Calibri" w:eastAsia="Calibri" w:hAnsi="Calibri"/>
                <w:sz w:val="21"/>
                <w:szCs w:val="21"/>
                <w:color w:val="auto"/>
                <w:vertAlign w:val="superscript"/>
              </w:rPr>
              <w:t>(8)</w:t>
            </w:r>
          </w:p>
        </w:tc>
        <w:tc>
          <w:tcPr>
            <w:tcW w:w="16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105,000</w:t>
            </w:r>
          </w:p>
        </w:tc>
        <w:tc>
          <w:tcPr>
            <w:tcW w:w="18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125,086</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230,086</w:t>
            </w:r>
          </w:p>
        </w:tc>
        <w:tc>
          <w:tcPr>
            <w:tcW w:w="100" w:type="dxa"/>
            <w:vAlign w:val="bottom"/>
            <w:shd w:val="clear" w:color="auto" w:fill="CFF0FC"/>
          </w:tcPr>
          <w:p>
            <w:pPr>
              <w:spacing w:after="0"/>
              <w:rPr>
                <w:sz w:val="19"/>
                <w:szCs w:val="19"/>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13" w:lineRule="exact"/>
        <w:rPr>
          <w:sz w:val="20"/>
          <w:szCs w:val="20"/>
          <w:color w:val="auto"/>
        </w:rPr>
      </w:pPr>
    </w:p>
    <w:p>
      <w:pPr>
        <w:ind w:left="380" w:right="60" w:hanging="372"/>
        <w:spacing w:after="0" w:line="252" w:lineRule="auto"/>
        <w:tabs>
          <w:tab w:leader="none" w:pos="380"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The amounts in this column refect the value of restricted stock awards made to the directors in the fscal year ended March 31, 2024 and are consistent with the grant date fair value of the awards computed in accordance with Financial Accountng Standards Board Accountng Standards Certfcaton ("FASB ASC") Topic 718. For assumptons used in determining these values, refer to footnote (K) to the Company’s audited fnancial statements for the fscal year ended March 31, 2024, included in the Company’s Annual Report on Form 10-K fled with the SEC on May 22, 2024 (“Fiscal 2024 Form 10-K”).</w:t>
      </w:r>
    </w:p>
    <w:p>
      <w:pPr>
        <w:spacing w:after="0" w:line="100" w:lineRule="exact"/>
        <w:rPr>
          <w:rFonts w:ascii="Calibri" w:cs="Calibri" w:eastAsia="Calibri" w:hAnsi="Calibri"/>
          <w:sz w:val="17"/>
          <w:szCs w:val="17"/>
          <w:color w:val="auto"/>
        </w:rPr>
      </w:pPr>
    </w:p>
    <w:p>
      <w:pPr>
        <w:ind w:left="380" w:right="4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amounts in this column refect the value of opton awards made to the directors in the fscal year ended March 31, 2024 and are consistent with the grant date fair value of the awards computed in accordance with FASB ASC Topic 718. For assumptons used in determining these values, refer to footnote (K) to the Company’s audited fnancial statements for the fscal year ended March 31, 2024, included in the Fiscal 2024 Form 10-K.</w:t>
      </w:r>
    </w:p>
    <w:p>
      <w:pPr>
        <w:spacing w:after="0" w:line="110" w:lineRule="exact"/>
        <w:rPr>
          <w:rFonts w:ascii="Calibri" w:cs="Calibri" w:eastAsia="Calibri" w:hAnsi="Calibri"/>
          <w:sz w:val="18"/>
          <w:szCs w:val="18"/>
          <w:color w:val="auto"/>
        </w:rPr>
      </w:pPr>
    </w:p>
    <w:p>
      <w:pPr>
        <w:ind w:left="380" w:right="34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Mr. Beckwit is the Chair of the Governance Commitee. He elected to receive 100% of his director compensaton in the form of equity (including his chairperson fee).</w:t>
      </w:r>
    </w:p>
    <w:p>
      <w:pPr>
        <w:spacing w:after="0" w:line="109" w:lineRule="exact"/>
        <w:rPr>
          <w:rFonts w:ascii="Calibri" w:cs="Calibri" w:eastAsia="Calibri" w:hAnsi="Calibri"/>
          <w:sz w:val="18"/>
          <w:szCs w:val="18"/>
          <w:color w:val="auto"/>
        </w:rPr>
      </w:pPr>
    </w:p>
    <w:p>
      <w:pPr>
        <w:ind w:left="380" w:right="12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Mses. Carter and Ricciardello and Mr. Gregorio elected to receive 100% of their director compensaton in the form of equity. The cash refected for Ms. Carter represents the tail end of her prior-year electon, when she selected the compensaton package where she received a porton of her director compensaton in the form of equity and a porton in cash.</w:t>
      </w:r>
    </w:p>
    <w:p>
      <w:pPr>
        <w:spacing w:after="0" w:line="110" w:lineRule="exact"/>
        <w:rPr>
          <w:rFonts w:ascii="Calibri" w:cs="Calibri" w:eastAsia="Calibri" w:hAnsi="Calibri"/>
          <w:sz w:val="18"/>
          <w:szCs w:val="18"/>
          <w:color w:val="auto"/>
        </w:rPr>
      </w:pPr>
    </w:p>
    <w:p>
      <w:pPr>
        <w:ind w:left="380" w:right="24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Mr. Damiris is the Chair of the Compensaton Commitee. He elected to receive 100% of his director compensaton in the form of equity (including his chairperson fee).</w:t>
      </w:r>
    </w:p>
    <w:p>
      <w:pPr>
        <w:spacing w:after="0" w:line="109" w:lineRule="exact"/>
        <w:rPr>
          <w:rFonts w:ascii="Calibri" w:cs="Calibri" w:eastAsia="Calibri" w:hAnsi="Calibri"/>
          <w:sz w:val="18"/>
          <w:szCs w:val="18"/>
          <w:color w:val="auto"/>
        </w:rPr>
      </w:pPr>
    </w:p>
    <w:p>
      <w:pPr>
        <w:ind w:left="380" w:right="16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Mr. Ellen is Chair of the Audit Commitee. He selected the compensaton package where he receives a porton of his director compensaton in the form of equity and a porton in cash. Mr. Ellen received his chairperson fee in cash.</w:t>
      </w:r>
    </w:p>
    <w:p>
      <w:pPr>
        <w:spacing w:after="0" w:line="109" w:lineRule="exact"/>
        <w:rPr>
          <w:rFonts w:ascii="Calibri" w:cs="Calibri" w:eastAsia="Calibri" w:hAnsi="Calibri"/>
          <w:sz w:val="18"/>
          <w:szCs w:val="18"/>
          <w:color w:val="auto"/>
        </w:rPr>
      </w:pPr>
    </w:p>
    <w:p>
      <w:pPr>
        <w:ind w:left="380" w:right="2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Mr. Nicolais served as Chairman of the Board during fscal 2024. He elected to receive 100% of his director compensaton in the form of equity (including his chairperson fee).</w:t>
      </w:r>
    </w:p>
    <w:p>
      <w:pPr>
        <w:spacing w:after="0" w:line="109" w:lineRule="exact"/>
        <w:rPr>
          <w:rFonts w:ascii="Calibri" w:cs="Calibri" w:eastAsia="Calibri" w:hAnsi="Calibri"/>
          <w:sz w:val="18"/>
          <w:szCs w:val="18"/>
          <w:color w:val="auto"/>
        </w:rPr>
      </w:pPr>
    </w:p>
    <w:p>
      <w:pPr>
        <w:ind w:left="380" w:right="20" w:hanging="372"/>
        <w:spacing w:after="0" w:line="235" w:lineRule="auto"/>
        <w:tabs>
          <w:tab w:leader="none" w:pos="38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Messrs. Powers and Stewart selected the compensaton package where they receive a porton of their director compensaton in the form of equity and a porton in cash.</w:t>
      </w:r>
    </w:p>
    <w:p>
      <w:pPr>
        <w:spacing w:after="0" w:line="2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6" w:name="page27"/>
    <w:bookmarkEnd w:id="26"/>
    <w:p>
      <w:pPr>
        <w:ind w:right="120"/>
        <w:spacing w:after="0" w:line="235" w:lineRule="auto"/>
        <w:rPr>
          <w:sz w:val="20"/>
          <w:szCs w:val="20"/>
          <w:color w:val="auto"/>
        </w:rPr>
      </w:pPr>
      <w:r>
        <w:rPr>
          <w:rFonts w:ascii="Calibri" w:cs="Calibri" w:eastAsia="Calibri" w:hAnsi="Calibri"/>
          <w:sz w:val="18"/>
          <w:szCs w:val="18"/>
          <w:color w:val="auto"/>
        </w:rPr>
        <w:t>The following chart shows the number of outstanding stock optons, RSUs and shares of restricted stock held by each non-employee director as of March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Calibri" w:cs="Calibri" w:eastAsia="Calibri" w:hAnsi="Calibri"/>
                <w:sz w:val="14"/>
                <w:szCs w:val="14"/>
                <w:b w:val="1"/>
                <w:bCs w:val="1"/>
                <w:color w:val="auto"/>
              </w:rPr>
              <w:t>Name</w:t>
            </w:r>
          </w:p>
        </w:tc>
        <w:tc>
          <w:tcPr>
            <w:tcW w:w="1340" w:type="dxa"/>
            <w:vAlign w:val="bottom"/>
          </w:tcPr>
          <w:p>
            <w:pPr>
              <w:jc w:val="right"/>
              <w:ind w:right="132"/>
              <w:spacing w:after="0"/>
              <w:rPr>
                <w:sz w:val="20"/>
                <w:szCs w:val="20"/>
                <w:color w:val="auto"/>
              </w:rPr>
            </w:pPr>
            <w:r>
              <w:rPr>
                <w:rFonts w:ascii="Calibri" w:cs="Calibri" w:eastAsia="Calibri" w:hAnsi="Calibri"/>
                <w:sz w:val="14"/>
                <w:szCs w:val="14"/>
                <w:b w:val="1"/>
                <w:bCs w:val="1"/>
                <w:color w:val="auto"/>
              </w:rPr>
              <w:t>Stock Optons</w:t>
            </w:r>
            <w:r>
              <w:rPr>
                <w:rFonts w:ascii="Calibri" w:cs="Calibri" w:eastAsia="Calibri" w:hAnsi="Calibri"/>
                <w:sz w:val="19"/>
                <w:szCs w:val="19"/>
                <w:b w:val="1"/>
                <w:bCs w:val="1"/>
                <w:color w:val="auto"/>
                <w:vertAlign w:val="superscript"/>
              </w:rPr>
              <w:t>(1)</w:t>
            </w:r>
          </w:p>
        </w:tc>
        <w:tc>
          <w:tcPr>
            <w:tcW w:w="200" w:type="dxa"/>
            <w:vAlign w:val="bottom"/>
          </w:tcPr>
          <w:p>
            <w:pPr>
              <w:spacing w:after="0"/>
              <w:rPr>
                <w:sz w:val="20"/>
                <w:szCs w:val="20"/>
                <w:color w:val="auto"/>
              </w:rPr>
            </w:pPr>
          </w:p>
        </w:tc>
        <w:tc>
          <w:tcPr>
            <w:tcW w:w="1340" w:type="dxa"/>
            <w:vAlign w:val="bottom"/>
          </w:tcPr>
          <w:p>
            <w:pPr>
              <w:jc w:val="right"/>
              <w:ind w:right="392"/>
              <w:spacing w:after="0"/>
              <w:rPr>
                <w:sz w:val="20"/>
                <w:szCs w:val="20"/>
                <w:color w:val="auto"/>
              </w:rPr>
            </w:pPr>
            <w:r>
              <w:rPr>
                <w:rFonts w:ascii="Calibri" w:cs="Calibri" w:eastAsia="Calibri" w:hAnsi="Calibri"/>
                <w:sz w:val="14"/>
                <w:szCs w:val="14"/>
                <w:b w:val="1"/>
                <w:bCs w:val="1"/>
                <w:color w:val="auto"/>
              </w:rPr>
              <w:t>RSUs</w:t>
            </w:r>
            <w:r>
              <w:rPr>
                <w:rFonts w:ascii="Calibri" w:cs="Calibri" w:eastAsia="Calibri" w:hAnsi="Calibri"/>
                <w:sz w:val="19"/>
                <w:szCs w:val="19"/>
                <w:b w:val="1"/>
                <w:bCs w:val="1"/>
                <w:color w:val="auto"/>
                <w:vertAlign w:val="superscript"/>
              </w:rPr>
              <w:t>(2)</w:t>
            </w:r>
          </w:p>
        </w:tc>
        <w:tc>
          <w:tcPr>
            <w:tcW w:w="18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Restricted Stock</w:t>
            </w:r>
            <w:r>
              <w:rPr>
                <w:rFonts w:ascii="Calibri" w:cs="Calibri" w:eastAsia="Calibri" w:hAnsi="Calibri"/>
                <w:sz w:val="19"/>
                <w:szCs w:val="19"/>
                <w:b w:val="1"/>
                <w:bCs w:val="1"/>
                <w:color w:val="auto"/>
                <w:vertAlign w:val="superscript"/>
              </w:rPr>
              <w:t>(3)</w:t>
            </w:r>
          </w:p>
        </w:tc>
      </w:tr>
      <w:tr>
        <w:trPr>
          <w:trHeight w:val="20"/>
        </w:trPr>
        <w:tc>
          <w:tcPr>
            <w:tcW w:w="1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1140" w:type="dxa"/>
            <w:vAlign w:val="bottom"/>
          </w:tcPr>
          <w:p>
            <w:pPr>
              <w:spacing w:after="0"/>
              <w:rPr>
                <w:sz w:val="18"/>
                <w:szCs w:val="18"/>
                <w:color w:val="auto"/>
              </w:rPr>
            </w:pPr>
          </w:p>
        </w:tc>
        <w:tc>
          <w:tcPr>
            <w:tcW w:w="4540" w:type="dxa"/>
            <w:vAlign w:val="bottom"/>
            <w:tcBorders>
              <w:bottom w:val="single" w:sz="8" w:color="CFF0FC"/>
            </w:tcBorders>
            <w:gridSpan w:val="3"/>
            <w:shd w:val="clear" w:color="auto" w:fill="CFF0FC"/>
          </w:tcPr>
          <w:p>
            <w:pPr>
              <w:spacing w:after="0" w:line="208" w:lineRule="exact"/>
              <w:rPr>
                <w:sz w:val="20"/>
                <w:szCs w:val="20"/>
                <w:color w:val="auto"/>
              </w:rPr>
            </w:pPr>
            <w:r>
              <w:rPr>
                <w:rFonts w:ascii="Calibri" w:cs="Calibri" w:eastAsia="Calibri" w:hAnsi="Calibri"/>
                <w:sz w:val="18"/>
                <w:szCs w:val="18"/>
                <w:color w:val="auto"/>
              </w:rPr>
              <w:t>Rick Beckwit</w:t>
            </w:r>
          </w:p>
        </w:tc>
        <w:tc>
          <w:tcPr>
            <w:tcW w:w="13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2,070</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5,912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540" w:type="dxa"/>
            <w:vAlign w:val="bottom"/>
            <w:gridSpan w:val="3"/>
          </w:tcPr>
          <w:p>
            <w:pPr>
              <w:spacing w:after="0" w:line="215" w:lineRule="exact"/>
              <w:rPr>
                <w:sz w:val="20"/>
                <w:szCs w:val="20"/>
                <w:color w:val="auto"/>
              </w:rPr>
            </w:pPr>
            <w:r>
              <w:rPr>
                <w:rFonts w:ascii="Calibri" w:cs="Calibri" w:eastAsia="Calibri" w:hAnsi="Calibri"/>
                <w:sz w:val="18"/>
                <w:szCs w:val="18"/>
                <w:color w:val="auto"/>
              </w:rPr>
              <w:t>Margot L. Carter</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1,370</w:t>
            </w:r>
          </w:p>
        </w:tc>
        <w:tc>
          <w:tcPr>
            <w:tcW w:w="8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54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George J. Damiris</w:t>
            </w: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540" w:type="dxa"/>
            <w:vAlign w:val="bottom"/>
            <w:gridSpan w:val="3"/>
          </w:tcPr>
          <w:p>
            <w:pPr>
              <w:spacing w:after="0" w:line="215" w:lineRule="exact"/>
              <w:rPr>
                <w:sz w:val="20"/>
                <w:szCs w:val="20"/>
                <w:color w:val="auto"/>
              </w:rPr>
            </w:pPr>
            <w:r>
              <w:rPr>
                <w:rFonts w:ascii="Calibri" w:cs="Calibri" w:eastAsia="Calibri" w:hAnsi="Calibri"/>
                <w:sz w:val="18"/>
                <w:szCs w:val="18"/>
                <w:color w:val="auto"/>
              </w:rPr>
              <w:t>Martn M. Ellen</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2,507</w:t>
            </w:r>
          </w:p>
        </w:tc>
        <w:tc>
          <w:tcPr>
            <w:tcW w:w="8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54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Mauro Gregorio</w:t>
            </w: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540" w:type="dxa"/>
            <w:vAlign w:val="bottom"/>
            <w:gridSpan w:val="3"/>
          </w:tcPr>
          <w:p>
            <w:pPr>
              <w:spacing w:after="0" w:line="215" w:lineRule="exact"/>
              <w:rPr>
                <w:sz w:val="20"/>
                <w:szCs w:val="20"/>
                <w:color w:val="auto"/>
              </w:rPr>
            </w:pPr>
            <w:r>
              <w:rPr>
                <w:rFonts w:ascii="Calibri" w:cs="Calibri" w:eastAsia="Calibri" w:hAnsi="Calibri"/>
                <w:sz w:val="18"/>
                <w:szCs w:val="18"/>
                <w:color w:val="auto"/>
              </w:rPr>
              <w:t>Michael R. Nicolais</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16,508</w:t>
            </w:r>
          </w:p>
        </w:tc>
        <w:tc>
          <w:tcPr>
            <w:tcW w:w="15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3,958</w:t>
            </w:r>
          </w:p>
        </w:tc>
        <w:tc>
          <w:tcPr>
            <w:tcW w:w="1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7,034</w:t>
            </w:r>
          </w:p>
        </w:tc>
        <w:tc>
          <w:tcPr>
            <w:tcW w:w="8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54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David B. Powers</w:t>
            </w: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540" w:type="dxa"/>
            <w:vAlign w:val="bottom"/>
            <w:gridSpan w:val="3"/>
          </w:tcPr>
          <w:p>
            <w:pPr>
              <w:spacing w:after="0" w:line="215" w:lineRule="exact"/>
              <w:rPr>
                <w:sz w:val="20"/>
                <w:szCs w:val="20"/>
                <w:color w:val="auto"/>
              </w:rPr>
            </w:pPr>
            <w:r>
              <w:rPr>
                <w:rFonts w:ascii="Calibri" w:cs="Calibri" w:eastAsia="Calibri" w:hAnsi="Calibri"/>
                <w:sz w:val="18"/>
                <w:szCs w:val="18"/>
                <w:color w:val="auto"/>
              </w:rPr>
              <w:t>Mary P. Ricciardello</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4,747</w:t>
            </w:r>
          </w:p>
        </w:tc>
        <w:tc>
          <w:tcPr>
            <w:tcW w:w="20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1,370</w:t>
            </w:r>
          </w:p>
        </w:tc>
        <w:tc>
          <w:tcPr>
            <w:tcW w:w="8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54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Richard R. Stewart</w:t>
            </w: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4,205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113" w:lineRule="exact"/>
        <w:rPr>
          <w:sz w:val="20"/>
          <w:szCs w:val="20"/>
          <w:color w:val="auto"/>
        </w:rPr>
      </w:pPr>
    </w:p>
    <w:p>
      <w:pPr>
        <w:ind w:left="380" w:hanging="372"/>
        <w:spacing w:after="0" w:line="235" w:lineRule="auto"/>
        <w:tabs>
          <w:tab w:leader="none" w:pos="3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All of these stock optons were fully exercisable as of March 31, 2024, except for 1,348 of Mr. Nicolais's stock optons, which will vest on the earliest to occur of (i) August 3, 2024; (ii) the next annual meetng of the Company’s stockholders, which is at least 50 weeks afer the immediately preceding year’s annual meetng; (iii) Mr. Nicolais’s retrement from the Board in accordance with the Company’s director retrement policy, or earlier under such terms and conditons as approved by the Compensaton Commitee; (iv) Mr. Nicolais’s disability as determined by the Compensaton Commitee; or (v) Mr. Nicolais’s death.</w:t>
      </w:r>
    </w:p>
    <w:p>
      <w:pPr>
        <w:spacing w:after="0" w:line="112" w:lineRule="exact"/>
        <w:rPr>
          <w:rFonts w:ascii="Calibri" w:cs="Calibri" w:eastAsia="Calibri" w:hAnsi="Calibri"/>
          <w:sz w:val="18"/>
          <w:szCs w:val="18"/>
          <w:color w:val="auto"/>
        </w:rPr>
      </w:pPr>
    </w:p>
    <w:p>
      <w:pPr>
        <w:ind w:left="380" w:right="60" w:hanging="372"/>
        <w:spacing w:after="0" w:line="252" w:lineRule="auto"/>
        <w:tabs>
          <w:tab w:leader="none" w:pos="38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The RSUs granted to non-employee directors (and any accrued dividend equivalent RSUs) are not payable untl the non-employee director’s service on the board terminates because of the director’s death or the director’s retrement in accordance with the Company’s director retrement policy, or under such circumstances as are approved by the Compensaton Commitee. The number of RSUs refected in this column includes the following aggregate dividend equivalent units, which are accrued by holders of our RSUs at any tme we pay a cash dividend on our Common Stock: Mr. Nicolais – 658 RSUs.</w:t>
      </w:r>
    </w:p>
    <w:p>
      <w:pPr>
        <w:spacing w:after="0" w:line="100" w:lineRule="exact"/>
        <w:rPr>
          <w:rFonts w:ascii="Calibri" w:cs="Calibri" w:eastAsia="Calibri" w:hAnsi="Calibri"/>
          <w:sz w:val="17"/>
          <w:szCs w:val="17"/>
          <w:color w:val="auto"/>
        </w:rPr>
      </w:pPr>
    </w:p>
    <w:p>
      <w:pPr>
        <w:ind w:left="380" w:hanging="372"/>
        <w:spacing w:after="0" w:line="235" w:lineRule="auto"/>
        <w:tabs>
          <w:tab w:leader="none" w:pos="3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restrictons on the following restricted stock awards (made prior to fscal 2024) will not lapse untl the non-employee director’s service on the board terminates because of the director’s death or the director’s retrement in accordance with the Company’s director retrement policy, or under such circumstances as are approved by the Compensaton Commitee: Mr. Beckwit - 4,405 shares; Mr. Ellen - 1,852 shares; Mr. Nicolais - 5,368 shares; and Mr. Stewart - 3,550 shares. Any cash dividends declared and paid by the Company during the restricted period are paid in cash with respect to such prior restricted stock grants. The remaining restricted shares refected in the table were granted in fscal 2024 and will vest on the earliest to occur of (i) August 3, 2024; (ii) the next annual meetng of the Company’s stockholders, which is at least 50 weeks afer the immediately preceding year’s annual meetng; (iii) the recipient’s retrement from the Board in accordance with the Company’s director retrement policy, or earlier under such terms and conditons as approved by the Compensaton Commitee; (iv) the recipient’s disability as determined by the Compensaton Commitee; or (v) the recipient’s death. Upon the vestng of the fscal 2024 shares, the director will be enttled to accrued cash dividends with respect to such shares that were paid to holders of Common Stock during the restricton period.</w:t>
      </w:r>
    </w:p>
    <w:p>
      <w:pPr>
        <w:spacing w:after="0" w:line="32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b w:val="1"/>
          <w:bCs w:val="1"/>
          <w:color w:val="auto"/>
        </w:rPr>
        <w:t>Board Leadership Structure and Role in Risk Oversight</w:t>
      </w:r>
    </w:p>
    <w:p>
      <w:pPr>
        <w:spacing w:after="0" w:line="109" w:lineRule="exact"/>
        <w:rPr>
          <w:sz w:val="20"/>
          <w:szCs w:val="20"/>
          <w:color w:val="auto"/>
        </w:rPr>
      </w:pPr>
    </w:p>
    <w:p>
      <w:pPr>
        <w:ind w:firstLine="749"/>
        <w:spacing w:after="0" w:line="251" w:lineRule="auto"/>
        <w:rPr>
          <w:sz w:val="20"/>
          <w:szCs w:val="20"/>
          <w:color w:val="auto"/>
        </w:rPr>
      </w:pPr>
      <w:r>
        <w:rPr>
          <w:rFonts w:ascii="Calibri" w:cs="Calibri" w:eastAsia="Calibri" w:hAnsi="Calibri"/>
          <w:sz w:val="17"/>
          <w:szCs w:val="17"/>
          <w:color w:val="auto"/>
        </w:rPr>
        <w:t>The positons of Chairman of the Board and Chief Executve Ofcer (“CEO”) are performed by two diferent individuals. Mr. Haack, our CEO, focuses on the day-to-day operaton of the Company’s businesses and also partcipates in long-term strategy and development. Mr. Nicolais, our Chairman, oversees the Company’s general strategic directon and leads and manages the Board. In partcular, Mr. Nicolais (i) presides at Board meetngs; (ii) approves agendas and adds agenda items for Board meetngs and meetngs of independent directors; (iii) acts as liaison between independent directors and the CEO; (iv) presides over executve sessions of independent directors; (v) where appropriate, engages and consults with major shareholders and other consttuencies; (vi) meets one-on-one with the CEO following executve sessions of independent directors; and (vii) guides the Board in its consideraton of CEO succession.</w:t>
      </w:r>
    </w:p>
    <w:p>
      <w:pPr>
        <w:spacing w:after="0" w:line="210"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As part of its primary risk management functon, the Audit Commitee oversees the preparaton by management of a risk report on a quarterly basis. However, our entre Board of Directors is also involved in the oversight of management’s eforts to identfy, evaluate and manage risks on behalf of the Company, and the Board discusses these topics with management and the Audit Commitee throughout the year. Further, the independent directors address risk management in executve sessions without management present. As appropriate in the context of their chartered roles, the Board’s other commitees also perform risk management and oversight actvites during the year. For example, the Governance Commitee is responsible for overseeing governance issues that may create governance risks, such as board compositon, director selecton and other governance policies and practces that are critcal to the success of the Company.</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Cybersecurity Risk Oversight</w:t>
      </w:r>
    </w:p>
    <w:p>
      <w:pPr>
        <w:spacing w:after="0" w:line="217"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At quarterly Audit Commitee meetngs (at which the rest of the Board is also present), management provides updates on cybersecurity, including third-party engagement regarding the cybersecurity landscape and emerging threats, the results of annual cybersecurity training for all personnel with network access, and the results of periodic employee phishing exercises. As part of its insurance program, the Company maintains cyber insurance. The Company has no indicaton of a material cybersecurity breach within the past three fscal years that would have had a material impact on our business or results of operatons. For additonal informaton, see Part I, Item 1C of our Annual Report on Form 10-K for the year ended March 31, 2024, fled with the SEC on May 22, 2024.</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Risk Assessment in Compensaton Programs</w:t>
      </w:r>
    </w:p>
    <w:p>
      <w:pPr>
        <w:spacing w:after="0" w:line="217" w:lineRule="exact"/>
        <w:rPr>
          <w:sz w:val="20"/>
          <w:szCs w:val="20"/>
          <w:color w:val="auto"/>
        </w:rPr>
      </w:pPr>
    </w:p>
    <w:p>
      <w:pPr>
        <w:ind w:right="180" w:firstLine="749"/>
        <w:spacing w:after="0" w:line="235" w:lineRule="auto"/>
        <w:rPr>
          <w:sz w:val="20"/>
          <w:szCs w:val="20"/>
          <w:color w:val="auto"/>
        </w:rPr>
      </w:pPr>
      <w:r>
        <w:rPr>
          <w:rFonts w:ascii="Calibri" w:cs="Calibri" w:eastAsia="Calibri" w:hAnsi="Calibri"/>
          <w:sz w:val="18"/>
          <w:szCs w:val="18"/>
          <w:color w:val="auto"/>
        </w:rPr>
        <w:t>Consistent with SEC disclosure requirements, management, the Compensaton Commitee and the Board have assessed the Company’s compensaton programs. Based upon all of the facts and circumstances available to the Company at the tme of the fling of this Proxy Statement, the Board has concluded that risks arising from the Company’s compensaton policies and practces are not reasonably likely to have a material adverse efect on the Company or encourage unnecessary and excessive risk-taking.</w:t>
      </w:r>
    </w:p>
    <w:p>
      <w:pPr>
        <w:spacing w:after="0" w:line="21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This assessment was overseen by the Compensaton Commitee, in consultaton with management. The Board reviewed the compensaton policies and practces in efect for our executve ofcers, senior management and other employees and assessed the features the Company has built into the compensaton programs and other programs and policies to discourage excessive risk-taking. These features include, among other things, a balance among diferent elements of compensaton, use of diferent performance metrics for diferent elements of compensaton, restrictons on pricing authority, review and approval of material contracts, and stock ownership guidelines for senior management.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Oversight of Sustainability Maters</w:t>
      </w:r>
    </w:p>
    <w:p>
      <w:pPr>
        <w:spacing w:after="0" w:line="217"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Our Board is commited to efectve oversight of sustainability maters, including our climate-related risks, and ensuring progress across our sustainability initatves. In partcular, pursuant to its charter, our Governance Commitee has formal responsibility for leading the Board’s oversight of these maters in coordinaton with management and other Board commitees as appropriate. The Governance Commitee’s sustainability oversight responsibilites include providing updates and making recommendatons to the Board regarding current and emerging sustainability trends afectng the Company’s business, reviewing the Company’s environmental initatves related to sustainability and climate change impacts and overseeing and reviewing the Company’s public disclosures on sustainability maters and related metrics (including, for example, the Company’s Sustainability Report, which is hosted on the Company’s website). The Governance Commitee reviews sustainability maters at its regular quarterly meetngs. Our Board is supported in its oversight by our CEO and other senior executves across functons including executve management, operatons, engineering, legal and investor relatons. Working together, our Board and management ensure we are implementng and properly disclosing a responsible climate and sustainability strategy that serves the best interests of the Company and its stakeholders.</w:t>
      </w:r>
    </w:p>
    <w:p>
      <w:pPr>
        <w:spacing w:after="0" w:line="32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color w:val="auto"/>
        </w:rPr>
        <w:t>Director Orientaton and Contnuing Educaton</w:t>
      </w:r>
    </w:p>
    <w:p>
      <w:pPr>
        <w:spacing w:after="0" w:line="217" w:lineRule="exact"/>
        <w:rPr>
          <w:sz w:val="20"/>
          <w:szCs w:val="20"/>
          <w:color w:val="auto"/>
        </w:rPr>
      </w:pPr>
    </w:p>
    <w:p>
      <w:pPr>
        <w:ind w:right="180" w:firstLine="749"/>
        <w:spacing w:after="0" w:line="235" w:lineRule="auto"/>
        <w:rPr>
          <w:sz w:val="20"/>
          <w:szCs w:val="20"/>
          <w:color w:val="auto"/>
        </w:rPr>
      </w:pPr>
      <w:r>
        <w:rPr>
          <w:rFonts w:ascii="Calibri" w:cs="Calibri" w:eastAsia="Calibri" w:hAnsi="Calibri"/>
          <w:sz w:val="18"/>
          <w:szCs w:val="18"/>
          <w:color w:val="auto"/>
        </w:rPr>
        <w:t>Upon joining our Board, as part of our onboarding process, new directors are provided background materials, atend meetngs with management and are invited to tour our operatng facilites. This orientaton enables new directors to become familiar with our business and strategic plans, signifcant fnancial maters, core values, compliance programs, corporate governance practces and other key policies and practces, including workplace safety, risk management, investor relatons and sustainability eforts.</w:t>
      </w:r>
    </w:p>
    <w:p>
      <w:pPr>
        <w:spacing w:after="0" w:line="219" w:lineRule="exact"/>
        <w:rPr>
          <w:sz w:val="20"/>
          <w:szCs w:val="20"/>
          <w:color w:val="auto"/>
        </w:rPr>
      </w:pPr>
    </w:p>
    <w:p>
      <w:pPr>
        <w:ind w:right="80" w:firstLine="749"/>
        <w:spacing w:after="0" w:line="251" w:lineRule="auto"/>
        <w:rPr>
          <w:sz w:val="20"/>
          <w:szCs w:val="20"/>
          <w:color w:val="auto"/>
        </w:rPr>
      </w:pPr>
      <w:r>
        <w:rPr>
          <w:rFonts w:ascii="Calibri" w:cs="Calibri" w:eastAsia="Calibri" w:hAnsi="Calibri"/>
          <w:sz w:val="17"/>
          <w:szCs w:val="17"/>
          <w:color w:val="auto"/>
        </w:rPr>
        <w:t>Contnuing educaton opportunites are provided to keep directors updated with informaton about our industry, corporate governance developments, critcal strategic issues facing the Company, changes in regulatons applicable to the Company and signifcant changes in insttutonal investor sentment and/or proxy advisory frm policies. Updates are included as part of quarterly Board and Commitee meetngs, and from tme to tme, external advisers are invited to present such updates. The Company provides frequent opportunites for the Board or individual directors to engage with team leaders in diferent functonal areas of the Company and visit Company facilites in order to support greater understanding of the Company's business, strategy and operatons. Directors also partcipate in the Natonal Associaton of Corporate Directors (NACD), of which the Company is a member.</w:t>
      </w: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Board Commitees</w:t>
      </w:r>
    </w:p>
    <w:p>
      <w:pPr>
        <w:spacing w:after="0" w:line="109" w:lineRule="exact"/>
        <w:rPr>
          <w:sz w:val="20"/>
          <w:szCs w:val="20"/>
          <w:color w:val="auto"/>
        </w:rPr>
      </w:pPr>
    </w:p>
    <w:p>
      <w:pPr>
        <w:jc w:val="both"/>
        <w:ind w:right="140" w:firstLine="749"/>
        <w:spacing w:after="0" w:line="235" w:lineRule="auto"/>
        <w:rPr>
          <w:sz w:val="20"/>
          <w:szCs w:val="20"/>
          <w:color w:val="auto"/>
        </w:rPr>
      </w:pPr>
      <w:r>
        <w:rPr>
          <w:rFonts w:ascii="Calibri" w:cs="Calibri" w:eastAsia="Calibri" w:hAnsi="Calibri"/>
          <w:sz w:val="18"/>
          <w:szCs w:val="18"/>
          <w:color w:val="auto"/>
        </w:rPr>
        <w:t>The standing commitees of our Board of Directors include the Audit Commitee, the Compensaton Commitee, the Governance Commitee and the Executve Commitee. The following table lists the chairperson and members of each commitee as of March 31, 2024, and the number of meetngs held by each commitee during the fscal year ended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gridSpan w:val="3"/>
          </w:tcPr>
          <w:p>
            <w:pPr>
              <w:spacing w:after="0"/>
              <w:rPr>
                <w:sz w:val="20"/>
                <w:szCs w:val="20"/>
                <w:color w:val="auto"/>
              </w:rPr>
            </w:pPr>
            <w:r>
              <w:rPr>
                <w:rFonts w:ascii="Calibri" w:cs="Calibri" w:eastAsia="Calibri" w:hAnsi="Calibri"/>
                <w:sz w:val="14"/>
                <w:szCs w:val="14"/>
                <w:b w:val="1"/>
                <w:bCs w:val="1"/>
                <w:color w:val="auto"/>
              </w:rPr>
              <w:t>Director</w:t>
            </w: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Audit</w:t>
            </w:r>
          </w:p>
        </w:tc>
        <w:tc>
          <w:tcPr>
            <w:tcW w:w="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alibri" w:cs="Calibri" w:eastAsia="Calibri" w:hAnsi="Calibri"/>
                <w:sz w:val="14"/>
                <w:szCs w:val="14"/>
                <w:b w:val="1"/>
                <w:bCs w:val="1"/>
                <w:color w:val="auto"/>
              </w:rPr>
              <w:t>Compensaton</w:t>
            </w: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alibri" w:cs="Calibri" w:eastAsia="Calibri" w:hAnsi="Calibri"/>
                <w:sz w:val="14"/>
                <w:szCs w:val="14"/>
                <w:b w:val="1"/>
                <w:bCs w:val="1"/>
                <w:color w:val="auto"/>
              </w:rPr>
              <w:t>Governance</w:t>
            </w:r>
          </w:p>
        </w:tc>
        <w:tc>
          <w:tcPr>
            <w:tcW w:w="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alibri" w:cs="Calibri" w:eastAsia="Calibri" w:hAnsi="Calibri"/>
                <w:sz w:val="14"/>
                <w:szCs w:val="14"/>
                <w:b w:val="1"/>
                <w:bCs w:val="1"/>
                <w:color w:val="auto"/>
              </w:rPr>
              <w:t>Executve</w:t>
            </w:r>
          </w:p>
        </w:tc>
      </w:tr>
      <w:tr>
        <w:trPr>
          <w:trHeight w:val="34"/>
        </w:trPr>
        <w:tc>
          <w:tcPr>
            <w:tcW w:w="5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4400" w:type="dxa"/>
            <w:vAlign w:val="bottom"/>
            <w:tcBorders>
              <w:bottom w:val="single" w:sz="8" w:color="CFF0FC"/>
            </w:tcBorders>
            <w:gridSpan w:val="3"/>
            <w:shd w:val="clear" w:color="auto" w:fill="CFF0FC"/>
          </w:tcPr>
          <w:p>
            <w:pPr>
              <w:spacing w:after="0" w:line="208" w:lineRule="exact"/>
              <w:rPr>
                <w:sz w:val="20"/>
                <w:szCs w:val="20"/>
                <w:color w:val="auto"/>
              </w:rPr>
            </w:pPr>
            <w:r>
              <w:rPr>
                <w:rFonts w:ascii="Calibri" w:cs="Calibri" w:eastAsia="Calibri" w:hAnsi="Calibri"/>
                <w:sz w:val="18"/>
                <w:szCs w:val="18"/>
                <w:color w:val="auto"/>
              </w:rPr>
              <w:t>Rick Beckwit</w:t>
            </w:r>
          </w:p>
        </w:tc>
        <w:tc>
          <w:tcPr>
            <w:tcW w:w="1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w w:val="99"/>
              </w:rPr>
              <w:t>Chair</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400" w:type="dxa"/>
            <w:vAlign w:val="bottom"/>
            <w:gridSpan w:val="3"/>
          </w:tcPr>
          <w:p>
            <w:pPr>
              <w:spacing w:after="0" w:line="215" w:lineRule="exact"/>
              <w:rPr>
                <w:sz w:val="20"/>
                <w:szCs w:val="20"/>
                <w:color w:val="auto"/>
              </w:rPr>
            </w:pPr>
            <w:r>
              <w:rPr>
                <w:rFonts w:ascii="Calibri" w:cs="Calibri" w:eastAsia="Calibri" w:hAnsi="Calibri"/>
                <w:sz w:val="18"/>
                <w:szCs w:val="18"/>
                <w:color w:val="auto"/>
              </w:rPr>
              <w:t>Margot L. Carter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Pr>
          <w:p>
            <w:pPr>
              <w:spacing w:after="0"/>
              <w:rPr>
                <w:sz w:val="18"/>
                <w:szCs w:val="18"/>
                <w:color w:val="auto"/>
              </w:rPr>
            </w:pPr>
          </w:p>
        </w:tc>
        <w:tc>
          <w:tcPr>
            <w:tcW w:w="13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George J. Damiris</w:t>
            </w:r>
          </w:p>
        </w:tc>
        <w:tc>
          <w:tcPr>
            <w:tcW w:w="1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4"/>
              </w:rPr>
              <w:t>Chair</w:t>
            </w: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400" w:type="dxa"/>
            <w:vAlign w:val="bottom"/>
            <w:gridSpan w:val="3"/>
          </w:tcPr>
          <w:p>
            <w:pPr>
              <w:spacing w:after="0" w:line="215" w:lineRule="exact"/>
              <w:rPr>
                <w:sz w:val="20"/>
                <w:szCs w:val="20"/>
                <w:color w:val="auto"/>
              </w:rPr>
            </w:pPr>
            <w:r>
              <w:rPr>
                <w:rFonts w:ascii="Calibri" w:cs="Calibri" w:eastAsia="Calibri" w:hAnsi="Calibri"/>
                <w:sz w:val="18"/>
                <w:szCs w:val="18"/>
                <w:color w:val="auto"/>
              </w:rPr>
              <w:t>Martn M. Ellen</w:t>
            </w:r>
          </w:p>
        </w:tc>
        <w:tc>
          <w:tcPr>
            <w:tcW w:w="13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Chair</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Mauro Gregorio</w:t>
            </w:r>
          </w:p>
        </w:tc>
        <w:tc>
          <w:tcPr>
            <w:tcW w:w="134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400" w:type="dxa"/>
            <w:vAlign w:val="bottom"/>
            <w:gridSpan w:val="3"/>
          </w:tcPr>
          <w:p>
            <w:pPr>
              <w:spacing w:after="0" w:line="215" w:lineRule="exact"/>
              <w:rPr>
                <w:sz w:val="20"/>
                <w:szCs w:val="20"/>
                <w:color w:val="auto"/>
              </w:rPr>
            </w:pPr>
            <w:r>
              <w:rPr>
                <w:rFonts w:ascii="Calibri" w:cs="Calibri" w:eastAsia="Calibri" w:hAnsi="Calibri"/>
                <w:sz w:val="18"/>
                <w:szCs w:val="18"/>
                <w:color w:val="auto"/>
              </w:rPr>
              <w:t>Michael R. Haack</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Member</w:t>
            </w:r>
          </w:p>
        </w:tc>
      </w:tr>
      <w:tr>
        <w:trPr>
          <w:trHeight w:val="28"/>
        </w:trPr>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Michael R. Nicolais</w:t>
            </w:r>
          </w:p>
        </w:tc>
        <w:tc>
          <w:tcPr>
            <w:tcW w:w="1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4"/>
              </w:rPr>
              <w:t>Chair</w:t>
            </w:r>
          </w:p>
        </w:tc>
      </w:tr>
      <w:tr>
        <w:trPr>
          <w:trHeight w:val="215"/>
        </w:trPr>
        <w:tc>
          <w:tcPr>
            <w:tcW w:w="580" w:type="dxa"/>
            <w:vAlign w:val="bottom"/>
          </w:tcPr>
          <w:p>
            <w:pPr>
              <w:spacing w:after="0"/>
              <w:rPr>
                <w:sz w:val="18"/>
                <w:szCs w:val="18"/>
                <w:color w:val="auto"/>
              </w:rPr>
            </w:pPr>
          </w:p>
        </w:tc>
        <w:tc>
          <w:tcPr>
            <w:tcW w:w="4400" w:type="dxa"/>
            <w:vAlign w:val="bottom"/>
            <w:gridSpan w:val="3"/>
          </w:tcPr>
          <w:p>
            <w:pPr>
              <w:spacing w:after="0" w:line="215" w:lineRule="exact"/>
              <w:rPr>
                <w:sz w:val="20"/>
                <w:szCs w:val="20"/>
                <w:color w:val="auto"/>
              </w:rPr>
            </w:pPr>
            <w:r>
              <w:rPr>
                <w:rFonts w:ascii="Calibri" w:cs="Calibri" w:eastAsia="Calibri" w:hAnsi="Calibri"/>
                <w:sz w:val="18"/>
                <w:szCs w:val="18"/>
                <w:color w:val="auto"/>
              </w:rPr>
              <w:t>David B. Powers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Mary P. Ricciardello</w:t>
            </w:r>
          </w:p>
        </w:tc>
        <w:tc>
          <w:tcPr>
            <w:tcW w:w="134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400" w:type="dxa"/>
            <w:vAlign w:val="bottom"/>
            <w:gridSpan w:val="3"/>
          </w:tcPr>
          <w:p>
            <w:pPr>
              <w:spacing w:after="0" w:line="215" w:lineRule="exact"/>
              <w:rPr>
                <w:sz w:val="20"/>
                <w:szCs w:val="20"/>
                <w:color w:val="auto"/>
              </w:rPr>
            </w:pPr>
            <w:r>
              <w:rPr>
                <w:rFonts w:ascii="Calibri" w:cs="Calibri" w:eastAsia="Calibri" w:hAnsi="Calibri"/>
                <w:sz w:val="18"/>
                <w:szCs w:val="18"/>
                <w:color w:val="auto"/>
              </w:rPr>
              <w:t>Richard R. Stewart</w:t>
            </w:r>
          </w:p>
        </w:tc>
        <w:tc>
          <w:tcPr>
            <w:tcW w:w="13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Member</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gridSpan w:val="3"/>
            <w:shd w:val="clear" w:color="auto" w:fill="CFF0FC"/>
          </w:tcPr>
          <w:p>
            <w:pPr>
              <w:spacing w:after="0" w:line="215" w:lineRule="exact"/>
              <w:rPr>
                <w:sz w:val="20"/>
                <w:szCs w:val="20"/>
                <w:color w:val="auto"/>
              </w:rPr>
            </w:pPr>
            <w:r>
              <w:rPr>
                <w:rFonts w:ascii="Calibri" w:cs="Calibri" w:eastAsia="Calibri" w:hAnsi="Calibri"/>
                <w:sz w:val="18"/>
                <w:szCs w:val="18"/>
                <w:color w:val="auto"/>
              </w:rPr>
              <w:t>Number of Meetngs in Fiscal 2024</w:t>
            </w:r>
          </w:p>
        </w:tc>
        <w:tc>
          <w:tcPr>
            <w:tcW w:w="134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7</w:t>
            </w:r>
          </w:p>
        </w:tc>
        <w:tc>
          <w:tcPr>
            <w:tcW w:w="1460" w:type="dxa"/>
            <w:vAlign w:val="bottom"/>
            <w:tcBorders>
              <w:bottom w:val="single" w:sz="8" w:color="CFF0FC"/>
            </w:tcBorders>
            <w:gridSpan w:val="2"/>
            <w:shd w:val="clear" w:color="auto" w:fill="CFF0FC"/>
          </w:tcPr>
          <w:p>
            <w:pPr>
              <w:jc w:val="center"/>
              <w:ind w:left="50"/>
              <w:spacing w:after="0" w:line="215" w:lineRule="exact"/>
              <w:rPr>
                <w:sz w:val="20"/>
                <w:szCs w:val="20"/>
                <w:color w:val="auto"/>
              </w:rPr>
            </w:pPr>
            <w:r>
              <w:rPr>
                <w:rFonts w:ascii="Calibri" w:cs="Calibri" w:eastAsia="Calibri" w:hAnsi="Calibri"/>
                <w:sz w:val="18"/>
                <w:szCs w:val="18"/>
                <w:color w:val="auto"/>
                <w:w w:val="87"/>
              </w:rPr>
              <w:t>9</w:t>
            </w:r>
          </w:p>
        </w:tc>
        <w:tc>
          <w:tcPr>
            <w:tcW w:w="1440" w:type="dxa"/>
            <w:vAlign w:val="bottom"/>
            <w:tcBorders>
              <w:bottom w:val="single" w:sz="8" w:color="CFF0FC"/>
            </w:tcBorders>
            <w:gridSpan w:val="2"/>
            <w:shd w:val="clear" w:color="auto" w:fill="CFF0FC"/>
          </w:tcPr>
          <w:p>
            <w:pPr>
              <w:jc w:val="center"/>
              <w:ind w:left="50"/>
              <w:spacing w:after="0" w:line="215" w:lineRule="exact"/>
              <w:rPr>
                <w:sz w:val="20"/>
                <w:szCs w:val="20"/>
                <w:color w:val="auto"/>
              </w:rPr>
            </w:pPr>
            <w:r>
              <w:rPr>
                <w:rFonts w:ascii="Calibri" w:cs="Calibri" w:eastAsia="Calibri" w:hAnsi="Calibri"/>
                <w:sz w:val="18"/>
                <w:szCs w:val="18"/>
                <w:color w:val="auto"/>
              </w:rPr>
              <w:t>4</w:t>
            </w:r>
          </w:p>
        </w:tc>
        <w:tc>
          <w:tcPr>
            <w:tcW w:w="1460" w:type="dxa"/>
            <w:vAlign w:val="bottom"/>
            <w:tcBorders>
              <w:bottom w:val="single" w:sz="8" w:color="CFF0FC"/>
            </w:tcBorders>
            <w:gridSpan w:val="2"/>
            <w:shd w:val="clear" w:color="auto" w:fill="CFF0FC"/>
          </w:tcPr>
          <w:p>
            <w:pPr>
              <w:jc w:val="center"/>
              <w:ind w:left="50"/>
              <w:spacing w:after="0" w:line="215" w:lineRule="exact"/>
              <w:rPr>
                <w:sz w:val="20"/>
                <w:szCs w:val="20"/>
                <w:color w:val="auto"/>
              </w:rPr>
            </w:pPr>
            <w:r>
              <w:rPr>
                <w:rFonts w:ascii="Calibri" w:cs="Calibri" w:eastAsia="Calibri" w:hAnsi="Calibri"/>
                <w:sz w:val="18"/>
                <w:szCs w:val="18"/>
                <w:color w:val="auto"/>
                <w:w w:val="71"/>
              </w:rPr>
              <w:t>-</w:t>
            </w:r>
          </w:p>
        </w:tc>
      </w:tr>
      <w:tr>
        <w:trPr>
          <w:trHeight w:val="135"/>
        </w:trPr>
        <w:tc>
          <w:tcPr>
            <w:tcW w:w="5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Audit Commitee</w:t>
      </w:r>
    </w:p>
    <w:p>
      <w:pPr>
        <w:spacing w:after="0" w:line="109"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 xml:space="preserve">Our Board has a standing Audit Commitee, composed of at least three independent directors. Our Audit Commitee assists the Board in fulflling its responsibility to oversee the integrity of our fnancial statements, our compliance with legal and regulatory requirements, the qualifcatons, independence and appointment of our independent auditors, the performance of our internal audit functon and independent auditors and the assessment of risks, including cybersecurity risks. Our Audit Commitee is governed by an amended and restated Audit Commitee charter, a copy of which may be viewed on our website at </w:t>
      </w:r>
      <w:r>
        <w:rPr>
          <w:rFonts w:ascii="Calibri" w:cs="Calibri" w:eastAsia="Calibri" w:hAnsi="Calibri"/>
          <w:sz w:val="18"/>
          <w:szCs w:val="18"/>
          <w:i w:val="1"/>
          <w:iCs w:val="1"/>
          <w:color w:val="auto"/>
        </w:rPr>
        <w:t>www.eaglematerials.com</w:t>
      </w:r>
      <w:r>
        <w:rPr>
          <w:rFonts w:ascii="Calibri" w:cs="Calibri" w:eastAsia="Calibri" w:hAnsi="Calibri"/>
          <w:sz w:val="18"/>
          <w:szCs w:val="18"/>
          <w:color w:val="auto"/>
        </w:rPr>
        <w:t xml:space="preserve"> and will be provided free of charge upon writen request to our Secretary at our principal executve ofce. This reference to our website is intended to inform investors where they may obtain additonal informaton; the materials and other informaton presented on our website are not incorporated in and should not be considered part of this proxy statement.</w:t>
      </w:r>
    </w:p>
    <w:p>
      <w:pPr>
        <w:spacing w:after="0" w:line="22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Our Board has determined that each member of our Audit Commitee is independent within the meaning of applicable (1) corporate governance rules of the NYSE and (2) requirements set forth in the Exchange Act and the applicable SEC rules. In additon, our Board has determined that each member of our Audit Commitee satsfes applicable NYSE standards for fnancial literacy and that, based on his auditng and fnancial experience, including over 25 years of experience as a chief fnancial ofcer with public and private companies and prior experience with a major public accountng frm, the Chair of the Audit Commitee, Mr. Ellen, is an audit commitee fnancial expert within the meaning of the rules of the SEC.</w:t>
      </w:r>
    </w:p>
    <w:p>
      <w:pPr>
        <w:spacing w:after="0" w:line="220"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Unless otherwise determined by the Board, no member of our Audit Commitee may serve as a member of an audit commitee of more than two other public companies.</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9" w:name="page30"/>
    <w:bookmarkEnd w:id="29"/>
    <w:p>
      <w:pPr>
        <w:ind w:left="760"/>
        <w:spacing w:after="0"/>
        <w:rPr>
          <w:sz w:val="20"/>
          <w:szCs w:val="20"/>
          <w:color w:val="auto"/>
        </w:rPr>
      </w:pPr>
      <w:r>
        <w:rPr>
          <w:rFonts w:ascii="Calibri" w:cs="Calibri" w:eastAsia="Calibri" w:hAnsi="Calibri"/>
          <w:sz w:val="18"/>
          <w:szCs w:val="18"/>
          <w:color w:val="auto"/>
        </w:rPr>
        <w:t>Certain key functons and responsibilites of our Audit Commitee are to:</w:t>
      </w:r>
    </w:p>
    <w:p>
      <w:pPr>
        <w:spacing w:after="0" w:line="123" w:lineRule="exact"/>
        <w:rPr>
          <w:sz w:val="20"/>
          <w:szCs w:val="20"/>
          <w:color w:val="auto"/>
        </w:rPr>
      </w:pPr>
    </w:p>
    <w:p>
      <w:pPr>
        <w:ind w:left="1500" w:right="300" w:hanging="743"/>
        <w:spacing w:after="0" w:line="235" w:lineRule="auto"/>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select, appoint, compensate, evaluate, retain and oversee the independent auditors engaged for purposes of preparing or issuing an audit report or related work or performing other audit, review, or atestaton services for us;</w:t>
      </w:r>
    </w:p>
    <w:p>
      <w:pPr>
        <w:spacing w:after="0" w:line="123" w:lineRule="exact"/>
        <w:rPr>
          <w:rFonts w:ascii="Times New Roman" w:cs="Times New Roman" w:eastAsia="Times New Roman" w:hAnsi="Times New Roman"/>
          <w:sz w:val="18"/>
          <w:szCs w:val="18"/>
          <w:color w:val="auto"/>
        </w:rPr>
      </w:pPr>
    </w:p>
    <w:p>
      <w:pPr>
        <w:ind w:left="1500" w:right="60" w:hanging="743"/>
        <w:spacing w:after="0" w:line="254" w:lineRule="auto"/>
        <w:tabs>
          <w:tab w:leader="none" w:pos="1500" w:val="left"/>
        </w:tabs>
        <w:numPr>
          <w:ilvl w:val="0"/>
          <w:numId w:val="25"/>
        </w:numPr>
        <w:rPr>
          <w:rFonts w:ascii="Times New Roman" w:cs="Times New Roman" w:eastAsia="Times New Roman" w:hAnsi="Times New Roman"/>
          <w:sz w:val="17"/>
          <w:szCs w:val="17"/>
          <w:color w:val="auto"/>
        </w:rPr>
      </w:pPr>
      <w:r>
        <w:rPr>
          <w:rFonts w:ascii="Calibri" w:cs="Calibri" w:eastAsia="Calibri" w:hAnsi="Calibri"/>
          <w:sz w:val="17"/>
          <w:szCs w:val="17"/>
          <w:color w:val="auto"/>
        </w:rPr>
        <w:t>obtain and review, at least annually, a formal writen statement from our independent auditors describing all relatonships between our auditors and the Company and engage in a dialogue with our auditors with respect to any disclosed relatonships or services that may afect the objectvity and independence of the auditors and to recommend appropriate acton in response to the reports to our Board;</w:t>
      </w:r>
    </w:p>
    <w:p>
      <w:pPr>
        <w:spacing w:after="0" w:line="110" w:lineRule="exact"/>
        <w:rPr>
          <w:rFonts w:ascii="Times New Roman" w:cs="Times New Roman" w:eastAsia="Times New Roman" w:hAnsi="Times New Roman"/>
          <w:sz w:val="17"/>
          <w:szCs w:val="17"/>
          <w:color w:val="auto"/>
        </w:rPr>
      </w:pPr>
    </w:p>
    <w:p>
      <w:pPr>
        <w:ind w:left="1500" w:right="120" w:hanging="743"/>
        <w:spacing w:after="0" w:line="235" w:lineRule="auto"/>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pre-approve all audit engagement fees and terms and all permissible non-audit services provided to us by our independent auditors, in accordance with the commitee’s policies and procedures for pre-approving audit and non-audit services;</w:t>
      </w:r>
    </w:p>
    <w:p>
      <w:pPr>
        <w:spacing w:after="0" w:line="123" w:lineRule="exact"/>
        <w:rPr>
          <w:rFonts w:ascii="Times New Roman" w:cs="Times New Roman" w:eastAsia="Times New Roman" w:hAnsi="Times New Roman"/>
          <w:sz w:val="18"/>
          <w:szCs w:val="18"/>
          <w:color w:val="auto"/>
        </w:rPr>
      </w:pPr>
    </w:p>
    <w:p>
      <w:pPr>
        <w:ind w:left="1500" w:right="140" w:hanging="743"/>
        <w:spacing w:after="0" w:line="235" w:lineRule="auto"/>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 procedures for (i) the receipt, retenton and treatment of complaints received by the Company regarding accountng, internal accountng controls or auditng maters and (ii) the confdental, anonymous submission by employees of the Company of concerns regarding questonable accountng or auditng maters;</w:t>
      </w:r>
    </w:p>
    <w:p>
      <w:pPr>
        <w:spacing w:after="0" w:line="124" w:lineRule="exact"/>
        <w:rPr>
          <w:rFonts w:ascii="Times New Roman" w:cs="Times New Roman" w:eastAsia="Times New Roman" w:hAnsi="Times New Roman"/>
          <w:sz w:val="18"/>
          <w:szCs w:val="18"/>
          <w:color w:val="auto"/>
        </w:rPr>
      </w:pPr>
    </w:p>
    <w:p>
      <w:pPr>
        <w:ind w:left="1500" w:right="780" w:hanging="743"/>
        <w:spacing w:after="0" w:line="235" w:lineRule="auto"/>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discuss our annual audited fnancial statements, quarterly fnancial statements and other signifcant fnancial disclosures with management and our independent auditors;</w:t>
      </w:r>
    </w:p>
    <w:p>
      <w:pPr>
        <w:spacing w:after="0" w:line="123" w:lineRule="exact"/>
        <w:rPr>
          <w:rFonts w:ascii="Times New Roman" w:cs="Times New Roman" w:eastAsia="Times New Roman" w:hAnsi="Times New Roman"/>
          <w:sz w:val="18"/>
          <w:szCs w:val="18"/>
          <w:color w:val="auto"/>
        </w:rPr>
      </w:pPr>
    </w:p>
    <w:p>
      <w:pPr>
        <w:ind w:left="1500" w:right="380" w:hanging="743"/>
        <w:spacing w:after="0" w:line="235" w:lineRule="auto"/>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discuss with management the types of informaton to be disclosed and the types of presentatons to be made in our earnings press releases, as well as the fnancial informaton and earnings guidance we provide to analysts and ratng agencies;</w:t>
      </w:r>
    </w:p>
    <w:p>
      <w:pPr>
        <w:spacing w:after="0" w:line="11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annually review and assess the performance of the Audit Commitee and the adequacy of its charter;</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discuss policies with respect to risk assessment and risk management;</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consider the efectveness of our internal control systems, including informaton technology security and control; and</w:t>
      </w:r>
    </w:p>
    <w:p>
      <w:pPr>
        <w:spacing w:after="0" w:line="122" w:lineRule="exact"/>
        <w:rPr>
          <w:rFonts w:ascii="Times New Roman" w:cs="Times New Roman" w:eastAsia="Times New Roman" w:hAnsi="Times New Roman"/>
          <w:sz w:val="18"/>
          <w:szCs w:val="18"/>
          <w:color w:val="auto"/>
        </w:rPr>
      </w:pPr>
    </w:p>
    <w:p>
      <w:pPr>
        <w:ind w:left="1500" w:right="240" w:hanging="743"/>
        <w:spacing w:after="0" w:line="235" w:lineRule="auto"/>
        <w:tabs>
          <w:tab w:leader="none" w:pos="15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prepare the report that is required to be included in our annual proxy statement regarding review of fnancial statements and auditor independence.</w:t>
      </w:r>
    </w:p>
    <w:p>
      <w:pPr>
        <w:spacing w:after="0" w:line="218" w:lineRule="exact"/>
        <w:rPr>
          <w:sz w:val="20"/>
          <w:szCs w:val="20"/>
          <w:color w:val="auto"/>
        </w:rPr>
      </w:pPr>
    </w:p>
    <w:p>
      <w:pPr>
        <w:ind w:right="180" w:firstLine="749"/>
        <w:spacing w:after="0" w:line="235" w:lineRule="auto"/>
        <w:rPr>
          <w:sz w:val="20"/>
          <w:szCs w:val="20"/>
          <w:color w:val="auto"/>
        </w:rPr>
      </w:pPr>
      <w:r>
        <w:rPr>
          <w:rFonts w:ascii="Calibri" w:cs="Calibri" w:eastAsia="Calibri" w:hAnsi="Calibri"/>
          <w:sz w:val="18"/>
          <w:szCs w:val="18"/>
          <w:color w:val="auto"/>
        </w:rPr>
        <w:t>Our Audit Commitee’s report on our fnancial statements for the fscal year ended March 31, 2024 is presented below under the heading "Audit Commitee Report."</w:t>
      </w:r>
    </w:p>
    <w:p>
      <w:pPr>
        <w:spacing w:after="0" w:line="218"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Our Audit Commitee meets separately with our independent auditors and with members of our internal audit staf outside the presence of the Company’s management or other employees to discuss maters of concern, to receive recommendatons or suggestons for change and to exchange relevant views and informaton.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Compensaton Commitee</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Our Board’s Compensaton Commitee is composed of independent directors who meet the corporate governance standards of the NYSE, including the enhanced NYSE independence requirements for directors serving on compensaton commitees, and who qualify as non-employee directors within the meaning of Rule 16b-3(b)(3) of the Exchange Act.</w:t>
      </w:r>
    </w:p>
    <w:p>
      <w:pPr>
        <w:spacing w:after="0" w:line="219"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 xml:space="preserve">Under its amended and restated charter, the primary purposes of our Compensaton Commitee are to assist the Board in discharging its responsibilites relatng to compensaton of our Chief Executve Ofcer and other senior executves and to direct the preparaton of the reports regarding executve compensaton that the rules of the SEC require to be included in our annual proxy statement. You may review our charter on our website at </w:t>
      </w:r>
      <w:r>
        <w:rPr>
          <w:rFonts w:ascii="Calibri" w:cs="Calibri" w:eastAsia="Calibri" w:hAnsi="Calibri"/>
          <w:sz w:val="18"/>
          <w:szCs w:val="18"/>
          <w:i w:val="1"/>
          <w:iCs w:val="1"/>
          <w:color w:val="auto"/>
        </w:rPr>
        <w:t xml:space="preserve">www.eaglematerials.com </w:t>
      </w:r>
      <w:r>
        <w:rPr>
          <w:rFonts w:ascii="Calibri" w:cs="Calibri" w:eastAsia="Calibri" w:hAnsi="Calibri"/>
          <w:sz w:val="18"/>
          <w:szCs w:val="18"/>
          <w:color w:val="auto"/>
        </w:rPr>
        <w:t>- and a copy of which will be provided to you free of charge upon writen request to our Secretary at our principal executve ofce.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This reference to our website is intended to inform investors where they may obtain additonal informaton; the materials and other informaton presented on our website are not incorporated in and should not be considered part of this proxy statement.</w:t>
      </w:r>
    </w:p>
    <w:p>
      <w:pPr>
        <w:spacing w:after="0" w:line="221" w:lineRule="exact"/>
        <w:rPr>
          <w:sz w:val="20"/>
          <w:szCs w:val="20"/>
          <w:color w:val="auto"/>
        </w:rPr>
      </w:pPr>
    </w:p>
    <w:p>
      <w:pPr>
        <w:ind w:right="300" w:firstLine="749"/>
        <w:spacing w:after="0" w:line="235" w:lineRule="auto"/>
        <w:rPr>
          <w:sz w:val="20"/>
          <w:szCs w:val="20"/>
          <w:color w:val="auto"/>
        </w:rPr>
      </w:pPr>
      <w:r>
        <w:rPr>
          <w:rFonts w:ascii="Calibri" w:cs="Calibri" w:eastAsia="Calibri" w:hAnsi="Calibri"/>
          <w:sz w:val="18"/>
          <w:szCs w:val="18"/>
          <w:color w:val="auto"/>
        </w:rPr>
        <w:t>The Compensaton Commitee is authorized to hire outside advisers afer considering all factors relevant to the adviser’s independence from management. For additonal informaton regarding outside advisers engaged by the Compensaton Commitee, please see “Compensaton Discussion and Analysis” below.</w:t>
      </w:r>
    </w:p>
    <w:p>
      <w:pPr>
        <w:spacing w:after="0" w:line="21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Certain key functons and responsibilites of our Compensaton Commitee are to:</w:t>
      </w:r>
    </w:p>
    <w:p>
      <w:pPr>
        <w:spacing w:after="0" w:line="9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30" w:name="page31"/>
    <w:bookmarkEnd w:id="30"/>
    <w:p>
      <w:pPr>
        <w:ind w:left="1500" w:right="540" w:hanging="743"/>
        <w:spacing w:after="0" w:line="235" w:lineRule="auto"/>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periodically review and make recommendatons to our Board as to our general compensaton philosophy and structure, including reviewing the compensaton programs for senior executves and all of our beneft plans to determine whether they are properly coordinated and achieve their intended purposes;</w:t>
      </w:r>
    </w:p>
    <w:p>
      <w:pPr>
        <w:spacing w:after="0" w:line="124" w:lineRule="exact"/>
        <w:rPr>
          <w:rFonts w:ascii="Times New Roman" w:cs="Times New Roman" w:eastAsia="Times New Roman" w:hAnsi="Times New Roman"/>
          <w:sz w:val="18"/>
          <w:szCs w:val="18"/>
          <w:color w:val="auto"/>
        </w:rPr>
      </w:pPr>
    </w:p>
    <w:p>
      <w:pPr>
        <w:jc w:val="both"/>
        <w:ind w:left="1500" w:right="100" w:hanging="743"/>
        <w:spacing w:after="0" w:line="235" w:lineRule="auto"/>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annually review and approve corporate goals and objectves relevant to the compensaton of our Chief Executve Ofcer, evaluate his or her performance as measured against such goals and objectves and to set salary and other cash and equity compensaton for our Chief Executve Ofcer based on such evaluaton;</w:t>
      </w:r>
    </w:p>
    <w:p>
      <w:pPr>
        <w:spacing w:after="0" w:line="124" w:lineRule="exact"/>
        <w:rPr>
          <w:rFonts w:ascii="Times New Roman" w:cs="Times New Roman" w:eastAsia="Times New Roman" w:hAnsi="Times New Roman"/>
          <w:sz w:val="18"/>
          <w:szCs w:val="18"/>
          <w:color w:val="auto"/>
        </w:rPr>
      </w:pPr>
    </w:p>
    <w:p>
      <w:pPr>
        <w:ind w:left="1500" w:right="100" w:hanging="743"/>
        <w:spacing w:after="0" w:line="235" w:lineRule="auto"/>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afer the end of the fscal year and in consultaton with our Chief Executve Ofcer, approve the compensaton of our senior executve ofcers who are required to make disclosures under Secton 16 of the Exchange Act (“senior executve ofcers”);</w:t>
      </w:r>
    </w:p>
    <w:p>
      <w:pPr>
        <w:spacing w:after="0" w:line="11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administer the Company’s compensaton plans for which it is named as plan administrator, including our 2023 Incentve Plan;</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report on compensaton policies and practces with respect to our executve ofcers as required by SEC rules;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recommend to the Board the compensaton of non-employee directors;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stock ownership guidelines and monitor compliance therewith; and</w:t>
      </w:r>
    </w:p>
    <w:p>
      <w:pPr>
        <w:spacing w:after="0" w:line="122" w:lineRule="exact"/>
        <w:rPr>
          <w:rFonts w:ascii="Times New Roman" w:cs="Times New Roman" w:eastAsia="Times New Roman" w:hAnsi="Times New Roman"/>
          <w:sz w:val="18"/>
          <w:szCs w:val="18"/>
          <w:color w:val="auto"/>
        </w:rPr>
      </w:pPr>
    </w:p>
    <w:p>
      <w:pPr>
        <w:ind w:left="1500" w:right="420" w:hanging="743"/>
        <w:spacing w:after="0" w:line="235" w:lineRule="auto"/>
        <w:tabs>
          <w:tab w:leader="none" w:pos="15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assess the performance of the Compensaton Commitee and the adequacy of its charter annually and recommend any proposed changes to the Board.</w:t>
      </w:r>
    </w:p>
    <w:p>
      <w:pPr>
        <w:spacing w:after="0" w:line="218"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In accordance with the terms of our 2023 Incentve Plan, the Compensaton Commitee has delegated to the Special Situaton Equity Award Commitee (whose sole member is our CEO) the authority to grant tme-vestng stock optons and restricted stock in certain circumstances. Under this authorizaton, the Special Situaton Equity Award Commitee may grant stock optons and restricted stock to employees under terms set by the Compensaton Commitee. This authority for fscal 2024 was limited to an aggregate of up to 60,000 stock optons and up to 25,000 shares of restricted stock, no one individual may receive more than 15,000 optons and 6,250 shares of restricted stock, and senior executve ofcers may not receive awards pursuant to this authority. Awards granted in fscal 2024 under this delegaton of authority vest approximately 33% per year commencing on the frst anniversary of the grant date. During fscal 2024, no stock optons were granted to employees under this authority out of a maximum of 60,000, and 2,737 shares of restricted stock were granted out of a maximum of 25,000.</w:t>
      </w:r>
    </w:p>
    <w:p>
      <w:pPr>
        <w:spacing w:after="0" w:line="223"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Our Compensaton Commitee’s report for the fscal year ended March 31, 2024 is presented below under the heading “Compensaton Commitee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Report."</w:t>
      </w:r>
    </w:p>
    <w:p>
      <w:pPr>
        <w:spacing w:after="0" w:line="21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Our Compensaton Commitee meets as ofen as it deems appropriate, but no less than twice per year.</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Commitee Interlocks and Insider Partcipaton</w:t>
      </w:r>
    </w:p>
    <w:p>
      <w:pPr>
        <w:spacing w:after="0" w:line="10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No member of our Compensaton Commitee had a relatonship during the fscal year ended March 31, 2024 that requires disclosure as a Compensaton Commitee interlock. Messrs. Damiris and Nicolais and Ms. Carter served on our Compensaton Commitee during the fscal year ended March 31,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u w:val="single" w:color="auto"/>
          <w:color w:val="auto"/>
        </w:rPr>
        <w:t>Corporate Governance, Nominatng and Sustainability Commitee</w:t>
      </w:r>
    </w:p>
    <w:p>
      <w:pPr>
        <w:spacing w:after="0" w:line="10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Our Board’s Governance Commitee is composed of independent directors who meet the corporate governance standards of the NYSE. The primary purposes of this commitee are: (1) to advise and counsel our Board and management regarding, and oversee, our governance, including our Board’s selecton of directors; (2) to develop and recommend to the Board a set of corporate governance principles for the Company; (3) to oversee the evaluaton of our Board and management; and (4) to oversee the Company’s initatves, opportunites, risks and reportng on material ESG maters.</w:t>
      </w:r>
    </w:p>
    <w:p>
      <w:pPr>
        <w:spacing w:after="0" w:line="21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 xml:space="preserve">Our Governance Commitee has adopted a writen charter, and our Board has also adopted Corporate Governance Guidelines. Both the Governance Commitee charter and the Corporate Governance Guidelines may be viewed on our website at </w:t>
      </w:r>
      <w:r>
        <w:rPr>
          <w:rFonts w:ascii="Calibri" w:cs="Calibri" w:eastAsia="Calibri" w:hAnsi="Calibri"/>
          <w:sz w:val="18"/>
          <w:szCs w:val="18"/>
          <w:i w:val="1"/>
          <w:iCs w:val="1"/>
          <w:color w:val="auto"/>
        </w:rPr>
        <w:t>www.eaglematerials.com</w:t>
      </w:r>
      <w:r>
        <w:rPr>
          <w:rFonts w:ascii="Calibri" w:cs="Calibri" w:eastAsia="Calibri" w:hAnsi="Calibri"/>
          <w:sz w:val="18"/>
          <w:szCs w:val="18"/>
          <w:color w:val="auto"/>
        </w:rPr>
        <w:t xml:space="preserve"> and will be provided free of charge upon writen request to our Secretary at our principal executve ofce. This reference to our website is intended to inform investors where they may obtain additonal informaton; the materials and other informaton presented on our website are not incorporated in and should not be considered part of this proxy statement.</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1" w:name="page32"/>
    <w:bookmarkEnd w:id="31"/>
    <w:p>
      <w:pPr>
        <w:ind w:left="760"/>
        <w:spacing w:after="0"/>
        <w:rPr>
          <w:sz w:val="20"/>
          <w:szCs w:val="20"/>
          <w:color w:val="auto"/>
        </w:rPr>
      </w:pPr>
      <w:r>
        <w:rPr>
          <w:rFonts w:ascii="Calibri" w:cs="Calibri" w:eastAsia="Calibri" w:hAnsi="Calibri"/>
          <w:sz w:val="18"/>
          <w:szCs w:val="18"/>
          <w:color w:val="auto"/>
        </w:rPr>
        <w:t>Certain key functons and responsibilites of our Governance Commitee are to:</w:t>
      </w:r>
    </w:p>
    <w:p>
      <w:pPr>
        <w:spacing w:after="0" w:line="118" w:lineRule="exact"/>
        <w:rPr>
          <w:sz w:val="20"/>
          <w:szCs w:val="20"/>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 periodically review and recommend to the Board a set of corporate governance guidelines for the Company;</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periodically review corporate governance maters generally and recommend acton to the Board where appropriate;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assess the adequacy of its charter annually and recommend any proposed changes to our Board for approval;</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monitor the quality and sufciency of informaton furnished by management to our Board;</w:t>
      </w:r>
    </w:p>
    <w:p>
      <w:pPr>
        <w:spacing w:after="0" w:line="122" w:lineRule="exact"/>
        <w:rPr>
          <w:rFonts w:ascii="Times New Roman" w:cs="Times New Roman" w:eastAsia="Times New Roman" w:hAnsi="Times New Roman"/>
          <w:sz w:val="18"/>
          <w:szCs w:val="18"/>
          <w:color w:val="auto"/>
        </w:rPr>
      </w:pPr>
    </w:p>
    <w:p>
      <w:pPr>
        <w:ind w:left="1500" w:right="640" w:hanging="743"/>
        <w:spacing w:after="0" w:line="235" w:lineRule="auto"/>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actvely seek, recruit, screen, and interview individuals qualifed to become members of the Board, and consider management’s recommendatons for director candidates;</w:t>
      </w:r>
    </w:p>
    <w:p>
      <w:pPr>
        <w:spacing w:after="0" w:line="123" w:lineRule="exact"/>
        <w:rPr>
          <w:rFonts w:ascii="Times New Roman" w:cs="Times New Roman" w:eastAsia="Times New Roman" w:hAnsi="Times New Roman"/>
          <w:sz w:val="18"/>
          <w:szCs w:val="18"/>
          <w:color w:val="auto"/>
        </w:rPr>
      </w:pPr>
    </w:p>
    <w:p>
      <w:pPr>
        <w:ind w:left="1500" w:right="140" w:hanging="743"/>
        <w:spacing w:after="0" w:line="235" w:lineRule="auto"/>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 the qualifcatons and performance of incumbent directors and determine whether to recommend them for re-electon to the Board;</w:t>
      </w:r>
    </w:p>
    <w:p>
      <w:pPr>
        <w:spacing w:after="0" w:line="11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 and periodically re-evaluate criteria for Board membership;</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to the Board the director nominees for each annual stockholders’ meetng;</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to the Board nominees for each commitee of the Board; and</w:t>
      </w:r>
    </w:p>
    <w:p>
      <w:pPr>
        <w:spacing w:after="0" w:line="122" w:lineRule="exact"/>
        <w:rPr>
          <w:rFonts w:ascii="Times New Roman" w:cs="Times New Roman" w:eastAsia="Times New Roman" w:hAnsi="Times New Roman"/>
          <w:sz w:val="18"/>
          <w:szCs w:val="18"/>
          <w:color w:val="auto"/>
        </w:rPr>
      </w:pPr>
    </w:p>
    <w:p>
      <w:pPr>
        <w:ind w:left="1500" w:right="500" w:hanging="743"/>
        <w:spacing w:after="0" w:line="258" w:lineRule="auto"/>
        <w:tabs>
          <w:tab w:leader="none" w:pos="1500" w:val="left"/>
        </w:tabs>
        <w:numPr>
          <w:ilvl w:val="0"/>
          <w:numId w:val="27"/>
        </w:numPr>
        <w:rPr>
          <w:rFonts w:ascii="Times New Roman" w:cs="Times New Roman" w:eastAsia="Times New Roman" w:hAnsi="Times New Roman"/>
          <w:sz w:val="17"/>
          <w:szCs w:val="17"/>
          <w:color w:val="auto"/>
        </w:rPr>
      </w:pPr>
      <w:r>
        <w:rPr>
          <w:rFonts w:ascii="Calibri" w:cs="Calibri" w:eastAsia="Calibri" w:hAnsi="Calibri"/>
          <w:sz w:val="17"/>
          <w:szCs w:val="17"/>
          <w:color w:val="auto"/>
        </w:rPr>
        <w:t>in coordinaton with management and other Board commitees, as appropriate, review and oversee the Company’s initatves, opportunites, risks and reportng with respect to material ESG maters (including those relatng to climate risk and sustainability).</w:t>
      </w:r>
    </w:p>
    <w:p>
      <w:pPr>
        <w:spacing w:after="0" w:line="202"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The Governance Commitee initates and oversees an annual evaluaton of the efectveness of the Board and each commitee, as well as the compositon, organizaton (including commitee structure, membership and leadership) and practces of the Board. The format of this evaluaton varies from year-to-year, as determined by the Governance Commitee each year. In some years, discussion questons are circulated prior to a meetng for discussion at the meetng. In other years, the chair of the Governance Commitee conducts one-on-one interviews with each director and synthesizes the take-aways from those conversatons at a meetng. In the most-recent year, directors reacted to a series of questons with a score/ranking, which then sparked further in-person discussion at a meetng. Part of the Governance Commitee’s self-evaluaton process involves an assessment of the efectveness of the Company’s corporate governance policies, which includes the Company’s policies surrounding diversity.</w:t>
      </w:r>
    </w:p>
    <w:p>
      <w:pPr>
        <w:spacing w:after="0" w:line="22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Among the criteria the Governance Commitee uses in evaluatng the suitability of individual nominees for director (whether such nominatons are made by management, a stockholder or otherwise) are their integrity, experience, achievements, judgment, intelligence, personal character, ability to make independent analytcal inquiries, willingness to devote adequate tme to Board dutes and the likelihood that he or she will be able to serve on the Board for a sufcient period of tme to make a meaningful contributon. The Governance Commitee also gives consideraton to whether the nominees and Board members refect a diversity in perspectves, backgrounds, business experiences, professional expertse, gender and ethnic background. The Governance Commitee’s charter provides that, subject to its fduciary dutes and applicable laws and regulatons, when searching for new directors, the Governance Commitee will identfy qualifed diverse candidates, including women and individuals from minority groups, to include in the pool of candidates from which director nominees are chosen. The Governance Commitee has made progress with regard to diversity on the Board—its three most-recent independent director appointments have been diverse candidates.</w:t>
      </w:r>
    </w:p>
    <w:p>
      <w:pPr>
        <w:spacing w:after="0" w:line="224"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Members of the Governance Commitee, other members of the Board or executve ofcers may, from tme to tme, identfy potental candidates for nominaton to our Board. All proposed nominees, including candidates recommended for nominaton by stockholders in accordance with the procedures described below, will be evaluated in light of the criteria described above and the projected needs of the Board at the tme. As set forth in its charter, the Governance Commitee may retain a search frm to assist in identfying potental candidates for nominaton to the Board of Directors.</w:t>
      </w:r>
    </w:p>
    <w:p>
      <w:pPr>
        <w:spacing w:after="0" w:line="219" w:lineRule="exact"/>
        <w:rPr>
          <w:sz w:val="20"/>
          <w:szCs w:val="20"/>
          <w:color w:val="auto"/>
        </w:rPr>
      </w:pPr>
    </w:p>
    <w:p>
      <w:pPr>
        <w:ind w:right="120" w:firstLine="749"/>
        <w:spacing w:after="0" w:line="235" w:lineRule="auto"/>
        <w:rPr>
          <w:sz w:val="20"/>
          <w:szCs w:val="20"/>
          <w:color w:val="auto"/>
        </w:rPr>
      </w:pPr>
      <w:r>
        <w:rPr>
          <w:rFonts w:ascii="Calibri" w:cs="Calibri" w:eastAsia="Calibri" w:hAnsi="Calibri"/>
          <w:sz w:val="18"/>
          <w:szCs w:val="18"/>
          <w:color w:val="auto"/>
        </w:rPr>
        <w:t>Our Governance Commitee will consider candidates recommended by stockholders for electon to our Board. A stockholder who wishes to recommend a candidate for evaluaton by our Governance Commitee should forward the candidate’s name, business or residence address, principal occupaton or employment and a descripton of the candidate’s qualifcatons to the Chairman of the Governance Commitee at the following address: Eagle Materials Inc., Atenton: Secretary, 5960 Berkshire Ln., Suite 900, Dallas, Texas 75225.</w:t>
      </w:r>
    </w:p>
    <w:p>
      <w:pPr>
        <w:spacing w:after="0" w:line="21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Our Bylaws provide that only persons who are eligible for electon as directors are candidates nominated (a) by our Board (or a commitee thereof, such as the Governance Commitee) or (b) by a stockholder in accordance with certain procedures set forth in our Bylaws. Any stockholder wishing to receive a copy of our Bylaws should direct a writen request to our Secretary at the Company’s principal executve ofces. No nominees for electon to the Board at our 2024 annual meetng of stockholders were submited by stockholders.</w:t>
      </w:r>
    </w:p>
    <w:p>
      <w:pPr>
        <w:spacing w:after="0" w:line="100"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i w:val="1"/>
          <w:iCs w:val="1"/>
          <w:u w:val="single" w:color="auto"/>
          <w:color w:val="auto"/>
        </w:rPr>
        <w:t>Executve Commitee</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principal functon of our Board’s Executve Commitee is to exercise all of the powers of the Board to direct our business and afairs between meetngs of the Board, except that the Executve Commitee may not amend our Certfcate of Incorporaton or Bylaws, adopt an agreement of merger or consolidaton under Delaware law, recommend the sale of all or substantally all of our assets or recommend the dissoluton of the Company or the revocaton of a dissoluton. In additon, unless authorized by resoluton of our Board of Directors, the Executve Commitee may not declare a dividend, authorize the issuance of stock or adopt a certfcate of ownership and merger under Delaware law.</w:t>
      </w:r>
    </w:p>
    <w:p>
      <w:pPr>
        <w:spacing w:after="0" w:line="31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219"/>
        <w:spacing w:after="0"/>
        <w:rPr>
          <w:sz w:val="20"/>
          <w:szCs w:val="20"/>
          <w:color w:val="auto"/>
        </w:rPr>
      </w:pPr>
      <w:r>
        <w:rPr>
          <w:rFonts w:ascii="Calibri" w:cs="Calibri" w:eastAsia="Calibri" w:hAnsi="Calibri"/>
          <w:sz w:val="20"/>
          <w:szCs w:val="20"/>
          <w:color w:val="auto"/>
        </w:rPr>
        <w:t>Eagle Materials Inc. - 2024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92" w:right="55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color w:val="auto"/>
        </w:rPr>
        <w:t>How to Contact Our Board</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Shareholders and other interested partes can communicate directly with our Board, a commitee of our Board, our independent directors as a group, our Chairman of the Board or any other individual member of our Board by sending the communicaton to Eagle Materials Inc., 5960 Berkshire Ln., Suite 900, Dallas, Texas 75225, to the atenton of the director or directors of your choice (e.g., Atenton: Chairman of the Board of Directors or Atenton: All Independent Directors, etc.). We will relay communicatons addressed in this manner as appropriate. Communicatons addressed to the atenton of the entre Board are forwarded to the Chairman of the Board for review and further handling.</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Eagle Materials Inc. - 2024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4" w:right="419" w:bottom="1440" w:gutter="0" w:footer="0" w:header="0"/>
        </w:sectPr>
      </w:pPr>
    </w:p>
    <w:bookmarkStart w:id="34" w:name="page35"/>
    <w:bookmarkEnd w:id="34"/>
    <w:p>
      <w:pPr>
        <w:jc w:val="center"/>
        <w:ind w:right="-19"/>
        <w:spacing w:after="0"/>
        <w:rPr>
          <w:sz w:val="20"/>
          <w:szCs w:val="20"/>
          <w:color w:val="auto"/>
        </w:rPr>
      </w:pPr>
      <w:r>
        <w:rPr>
          <w:rFonts w:ascii="Calibri" w:cs="Calibri" w:eastAsia="Calibri" w:hAnsi="Calibri"/>
          <w:sz w:val="25"/>
          <w:szCs w:val="25"/>
          <w:b w:val="1"/>
          <w:bCs w:val="1"/>
          <w:color w:val="4472C4"/>
        </w:rPr>
        <w:t>EXECUTIVE OFFICERS WHO ARE NOT DIRECTORS</w:t>
      </w:r>
    </w:p>
    <w:p>
      <w:pPr>
        <w:spacing w:after="0" w:line="200" w:lineRule="exact"/>
        <w:rPr>
          <w:sz w:val="20"/>
          <w:szCs w:val="20"/>
          <w:color w:val="auto"/>
        </w:rPr>
      </w:pPr>
    </w:p>
    <w:p>
      <w:pPr>
        <w:spacing w:after="0" w:line="28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Following are the names, ages as of the date of this Proxy Statement and principal occupatons of each person who was an executve ofcer of the Company during the fscal year ended March 31, 2024 and who is not also a member of our Board. All of these persons were elected to serve untl the next annual meetng of our Board or untl their earlier resignaton or removal.</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 Craig Kesler</w:t>
      </w: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48</w:t>
      </w:r>
    </w:p>
    <w:p>
      <w:pPr>
        <w:spacing w:after="0" w:line="1" w:lineRule="exact"/>
        <w:rPr>
          <w:sz w:val="20"/>
          <w:szCs w:val="20"/>
          <w:color w:val="auto"/>
        </w:rPr>
      </w:pPr>
    </w:p>
    <w:p>
      <w:pPr>
        <w:jc w:val="both"/>
        <w:ind w:right="48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Executve Vice President – Finance and Administraton and Chief Financial Ofcer (has held current ofce since August 2009; Vice President –</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Investor Relatons and Corporate Development from March 2005 through August 2009; Audit Manager with Ernst &amp; Young LLP from April 2002 through September 2004).</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Mat Newby</w:t>
      </w: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47</w:t>
      </w:r>
    </w:p>
    <w:p>
      <w:pPr>
        <w:spacing w:after="0" w:line="1"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Executve Vice President, General Counsel and Secretary (has held current ofce since June 2022; Associate General Counsel from June 2012</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through May 2022).</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Eric Cribbs</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52</w:t>
      </w:r>
    </w:p>
    <w:p>
      <w:pPr>
        <w:spacing w:after="0" w:line="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President – American Gypsum Company LLC (has held current ofce since June 2023; Executve Vice President of Concrete &amp; Aggregates, Advanced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Cementtous Materials, Logistcs, and Procurement &amp; Materials from January 2021 untl June 2023; Vice President of Concrete and Aggregates, Safety, Logistcs, and Procurement &amp; Materials from January 2020 untl January 2021; Vice President of Concrete and Aggregates from November 2018 untl January 2020).</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Tony Thompson</w:t>
      </w: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51</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Senior Vice President, Cement East (has held current ofce since 2019; Vice President - Cement, Concrete &amp; Aggregates East Region from 2018 untl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2019; President of Texas Lehigh Cement Company LP from 2010 untl 2018).</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William R. Devlin</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Age</w:t>
      </w:r>
      <w:r>
        <w:rPr>
          <w:rFonts w:ascii="Calibri" w:cs="Calibri" w:eastAsia="Calibri" w:hAnsi="Calibri"/>
          <w:sz w:val="18"/>
          <w:szCs w:val="18"/>
          <w:color w:val="auto"/>
        </w:rPr>
        <w:t>: 58</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Senior Vice President, Controller and Chief Accountng Ofcer (has held current ofce since August 2009; Vice President and Controller from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October 2005 through August 2009; Director of Internal Audit from September 2004 through September 2005; Senior Manager with PricewaterhouseCoopers LLP from July 1999 through August 2004).</w:t>
      </w:r>
    </w:p>
    <w:p>
      <w:pPr>
        <w:spacing w:after="0" w:line="31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35" w:name="page36"/>
    <w:bookmarkEnd w:id="35"/>
    <w:p>
      <w:pPr>
        <w:jc w:val="center"/>
        <w:ind w:right="-99"/>
        <w:spacing w:after="0"/>
        <w:rPr>
          <w:sz w:val="20"/>
          <w:szCs w:val="20"/>
          <w:color w:val="auto"/>
        </w:rPr>
      </w:pPr>
      <w:r>
        <w:rPr>
          <w:rFonts w:ascii="Calibri" w:cs="Calibri" w:eastAsia="Calibri" w:hAnsi="Calibri"/>
          <w:sz w:val="25"/>
          <w:szCs w:val="25"/>
          <w:b w:val="1"/>
          <w:bCs w:val="1"/>
          <w:color w:val="4472C4"/>
        </w:rPr>
        <w:t>COMPENSATION COMMITTEE REPORT</w:t>
      </w:r>
    </w:p>
    <w:p>
      <w:pPr>
        <w:spacing w:after="0" w:line="226"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Compensaton Commitee has reviewed and discussed the Compensaton Discussion and Analysis contained in this Proxy Statement with management, which has the responsibility for preparing the Compensaton Discussion and Analysis. Based on such review and discussion, the Compensaton Commitee recommended to the Board of Directors that the Compensaton Discussion and Analysis be included in this Proxy Statement and incorporated by reference into the Fiscal 2024 Form 10-K.</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Compensaton Commitee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George J. Damiris, </w:t>
      </w:r>
      <w:r>
        <w:rPr>
          <w:rFonts w:ascii="Calibri" w:cs="Calibri" w:eastAsia="Calibri" w:hAnsi="Calibri"/>
          <w:sz w:val="18"/>
          <w:szCs w:val="18"/>
          <w:i w:val="1"/>
          <w:iCs w:val="1"/>
          <w:color w:val="auto"/>
        </w:rPr>
        <w:t>Chairman</w:t>
      </w:r>
    </w:p>
    <w:p>
      <w:pPr>
        <w:spacing w:after="0" w:line="235" w:lineRule="auto"/>
        <w:rPr>
          <w:sz w:val="20"/>
          <w:szCs w:val="20"/>
          <w:color w:val="auto"/>
        </w:rPr>
      </w:pPr>
      <w:r>
        <w:rPr>
          <w:rFonts w:ascii="Calibri" w:cs="Calibri" w:eastAsia="Calibri" w:hAnsi="Calibri"/>
          <w:sz w:val="18"/>
          <w:szCs w:val="18"/>
          <w:color w:val="auto"/>
        </w:rPr>
        <w:t>Margot L. Carter</w:t>
      </w:r>
    </w:p>
    <w:p>
      <w:pPr>
        <w:spacing w:after="0" w:line="236" w:lineRule="auto"/>
        <w:rPr>
          <w:sz w:val="20"/>
          <w:szCs w:val="20"/>
          <w:color w:val="auto"/>
        </w:rPr>
      </w:pPr>
      <w:r>
        <w:rPr>
          <w:rFonts w:ascii="Calibri" w:cs="Calibri" w:eastAsia="Calibri" w:hAnsi="Calibri"/>
          <w:sz w:val="18"/>
          <w:szCs w:val="18"/>
          <w:color w:val="auto"/>
        </w:rPr>
        <w:t>Michael R. Nicolais</w:t>
      </w:r>
    </w:p>
    <w:p>
      <w:pPr>
        <w:spacing w:after="0" w:line="21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color w:val="auto"/>
        </w:rPr>
        <w:t>This report of the Compensaton Commitee does not consttute solicitng material and should not be considered to be fled or incorporated by reference into any of the other Company flings under the Securites Act of 1933 or the Securites Exchange Act of 1934, except to the extent the Company specifcally requests that the informaton be treated as solicitng material or specifcally incorporates this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Eagle Materials Inc. - 2024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9" w:right="439" w:bottom="1440" w:gutter="0" w:footer="0" w:header="0"/>
        </w:sectPr>
      </w:pPr>
    </w:p>
    <w:bookmarkStart w:id="36" w:name="page37"/>
    <w:bookmarkEnd w:id="36"/>
    <w:p>
      <w:pPr>
        <w:jc w:val="center"/>
        <w:ind w:right="-19"/>
        <w:spacing w:after="0"/>
        <w:rPr>
          <w:sz w:val="20"/>
          <w:szCs w:val="20"/>
          <w:color w:val="auto"/>
        </w:rPr>
      </w:pPr>
      <w:r>
        <w:rPr>
          <w:rFonts w:ascii="Calibri" w:cs="Calibri" w:eastAsia="Calibri" w:hAnsi="Calibri"/>
          <w:sz w:val="25"/>
          <w:szCs w:val="25"/>
          <w:b w:val="1"/>
          <w:bCs w:val="1"/>
          <w:color w:val="4472C4"/>
        </w:rPr>
        <w:t>COMPENSATION DISCUSSION AND ANALYSIS</w:t>
      </w:r>
    </w:p>
    <w:p>
      <w:pPr>
        <w:spacing w:after="0" w:line="200" w:lineRule="exact"/>
        <w:rPr>
          <w:sz w:val="20"/>
          <w:szCs w:val="20"/>
          <w:color w:val="auto"/>
        </w:rPr>
      </w:pPr>
    </w:p>
    <w:p>
      <w:pPr>
        <w:spacing w:after="0" w:line="24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This Compensaton Discussion and Analysis is intended to provide investors with a beter understanding of our compensaton policies and decisions during fscal 2024. The Compensaton Commitee strives to establish a strong link between pay and performance in order to beter align our compensaton program with the fnancial interests of our stockholders. The Compensaton Commitee’s decision-making was guided by long-standing principles, including aligning pay with performance; driving business results and long-term shareholder value; and paying compettvely, while mitgatng compensaton-related risk and supportng efectve succession planning.</w:t>
      </w:r>
    </w:p>
    <w:p>
      <w:pPr>
        <w:spacing w:after="0" w:line="220"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The Compensaton Commitee is frmly commited to providing our executves with compensaton opportunites that are ted to Company performance and stockholder value creaton. We encourage our stockholders to review the complete descripton of the Company’s executve compensaton program prior to castng a vote on this year’s say-on-pay advisory vote proposal (Proposal No. 2).</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Our Year in Review</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Focus on Strong Performance and Sustainability</w:t>
      </w:r>
    </w:p>
    <w:p>
      <w:pPr>
        <w:spacing w:after="0" w:line="109" w:lineRule="exact"/>
        <w:rPr>
          <w:sz w:val="20"/>
          <w:szCs w:val="20"/>
          <w:color w:val="auto"/>
        </w:rPr>
      </w:pPr>
    </w:p>
    <w:p>
      <w:pPr>
        <w:ind w:firstLine="749"/>
        <w:spacing w:after="0" w:line="252" w:lineRule="auto"/>
        <w:rPr>
          <w:sz w:val="20"/>
          <w:szCs w:val="20"/>
          <w:color w:val="auto"/>
        </w:rPr>
      </w:pPr>
      <w:r>
        <w:rPr>
          <w:rFonts w:ascii="Calibri" w:cs="Calibri" w:eastAsia="Calibri" w:hAnsi="Calibri"/>
          <w:sz w:val="17"/>
          <w:szCs w:val="17"/>
          <w:color w:val="auto"/>
        </w:rPr>
        <w:t xml:space="preserve">In fscal 2024, Eagle again generated strong fnancial performance, achieving record revenue of $2.3 billion and record diluted earnings per share of $13.61. Our strong results contributed to our impressive total shareholder returns (TSR), which was approximately 86% for the fscal year, signifcantly outpacing our peers’ returns, </w:t>
      </w:r>
      <w:r>
        <w:rPr>
          <w:rFonts w:ascii="Calibri" w:cs="Calibri" w:eastAsia="Calibri" w:hAnsi="Calibri"/>
          <w:sz w:val="17"/>
          <w:szCs w:val="17"/>
          <w:i w:val="1"/>
          <w:iCs w:val="1"/>
          <w:color w:val="auto"/>
        </w:rPr>
        <w:t>e.g</w:t>
      </w:r>
      <w:r>
        <w:rPr>
          <w:rFonts w:ascii="Calibri" w:cs="Calibri" w:eastAsia="Calibri" w:hAnsi="Calibri"/>
          <w:sz w:val="17"/>
          <w:szCs w:val="17"/>
          <w:color w:val="auto"/>
        </w:rPr>
        <w:t>., the Dow Jones US Building Materials &amp; Fixtures industry index. The Company's accomplishments this year are a testament to the operatng strength of our businesses and the focus of our talented people. Our safety performance also contnued to outperform the industry average.</w:t>
      </w:r>
    </w:p>
    <w:p>
      <w:pPr>
        <w:spacing w:after="0" w:line="208"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During the fscal year, the Company also made meaningful progress on several sustainability initatves. Although primarily the responsibility of the Governance Commitee, sustainability remained a focus of the Compensaton Commitee, which included items in the goals and objectves of the executve team to engage and align their eforts in these areas. Approximately half of our Chief Executve Ofcer’s annual cash incentve award related to factors advancing the Company’s sustainability priorites—including overseeing publicaton of the Company’s Sustainability Report in February 2024; contnued development of our Portland Limestone Cement product, which has lower carbon intensity than standard cement with similar performance atributes; and increased use of alternatve fuels.</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Named Executve Ofcers</w:t>
      </w:r>
    </w:p>
    <w:p>
      <w:pPr>
        <w:spacing w:after="0" w:line="108"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The following persons were Named Executve Ofcers for fscal year 2024:</w:t>
      </w:r>
    </w:p>
    <w:p>
      <w:pPr>
        <w:sectPr>
          <w:pgSz w:w="11900" w:h="16838" w:orient="portrait"/>
          <w:cols w:equalWidth="0" w:num="1">
            <w:col w:w="11220"/>
          </w:cols>
          <w:pgMar w:left="320" w:top="1084" w:right="359" w:bottom="1440" w:gutter="0" w:footer="0" w:header="0"/>
        </w:sectPr>
      </w:pPr>
    </w:p>
    <w:p>
      <w:pPr>
        <w:spacing w:after="0" w:line="109"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Michael R. Haack</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Calibri" w:cs="Calibri" w:eastAsia="Calibri" w:hAnsi="Calibri"/>
          <w:sz w:val="18"/>
          <w:szCs w:val="18"/>
          <w:color w:val="auto"/>
        </w:rPr>
        <w:t>President and Chief Executve Ofcer</w:t>
      </w:r>
    </w:p>
    <w:p>
      <w:pPr>
        <w:spacing w:after="0" w:line="104" w:lineRule="exact"/>
        <w:rPr>
          <w:sz w:val="20"/>
          <w:szCs w:val="20"/>
          <w:color w:val="auto"/>
        </w:rPr>
      </w:pPr>
    </w:p>
    <w:p>
      <w:pPr>
        <w:sectPr>
          <w:pgSz w:w="11900" w:h="16838" w:orient="portrait"/>
          <w:cols w:equalWidth="0" w:num="2">
            <w:col w:w="1980" w:space="360"/>
            <w:col w:w="8880"/>
          </w:cols>
          <w:pgMar w:left="320" w:top="1084" w:right="359" w:bottom="1440" w:gutter="0" w:footer="0" w:header="0"/>
          <w:type w:val="continuous"/>
        </w:sectPr>
      </w:pPr>
    </w:p>
    <w:p>
      <w:pPr>
        <w:spacing w:after="0" w:line="5"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Executve Vice President – Finance and Administraton and Chief Financial Ofcer</w:t>
      </w:r>
    </w:p>
    <w:p>
      <w:pPr>
        <w:spacing w:after="0" w:line="104" w:lineRule="exact"/>
        <w:rPr>
          <w:sz w:val="20"/>
          <w:szCs w:val="20"/>
          <w:color w:val="auto"/>
        </w:rPr>
      </w:pPr>
    </w:p>
    <w:p>
      <w:pPr>
        <w:sectPr>
          <w:pgSz w:w="11900" w:h="16838" w:orient="portrait"/>
          <w:cols w:equalWidth="0" w:num="2">
            <w:col w:w="1780" w:space="560"/>
            <w:col w:w="8880"/>
          </w:cols>
          <w:pgMar w:left="320" w:top="1084" w:right="359" w:bottom="1440" w:gutter="0" w:footer="0" w:header="0"/>
          <w:type w:val="continuous"/>
        </w:sectPr>
      </w:pPr>
    </w:p>
    <w:p>
      <w:pPr>
        <w:ind w:left="760"/>
        <w:spacing w:after="0"/>
        <w:rPr>
          <w:sz w:val="20"/>
          <w:szCs w:val="20"/>
          <w:color w:val="auto"/>
        </w:rPr>
      </w:pPr>
      <w:r>
        <w:rPr>
          <w:rFonts w:ascii="Calibri" w:cs="Calibri" w:eastAsia="Calibri" w:hAnsi="Calibri"/>
          <w:sz w:val="18"/>
          <w:szCs w:val="18"/>
          <w:color w:val="auto"/>
        </w:rPr>
        <w:t>Mat Newby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Executve Vice President, General Counsel and Secretary</w:t>
      </w:r>
    </w:p>
    <w:p>
      <w:pPr>
        <w:spacing w:after="0" w:line="116" w:lineRule="exact"/>
        <w:rPr>
          <w:sz w:val="20"/>
          <w:szCs w:val="20"/>
          <w:color w:val="auto"/>
        </w:rPr>
      </w:pPr>
    </w:p>
    <w:p>
      <w:pPr>
        <w:sectPr>
          <w:pgSz w:w="11900" w:h="16838" w:orient="portrait"/>
          <w:cols w:equalWidth="0" w:num="2">
            <w:col w:w="1640" w:space="380"/>
            <w:col w:w="9200"/>
          </w:cols>
          <w:pgMar w:left="320" w:top="1084" w:right="359" w:bottom="1440" w:gutter="0" w:footer="0" w:header="0"/>
          <w:type w:val="continuous"/>
        </w:sectPr>
      </w:pPr>
    </w:p>
    <w:p>
      <w:pPr>
        <w:ind w:left="760"/>
        <w:spacing w:after="0"/>
        <w:rPr>
          <w:sz w:val="20"/>
          <w:szCs w:val="20"/>
          <w:color w:val="auto"/>
        </w:rPr>
      </w:pPr>
      <w:r>
        <w:rPr>
          <w:rFonts w:ascii="Calibri" w:cs="Calibri" w:eastAsia="Calibri" w:hAnsi="Calibri"/>
          <w:sz w:val="17"/>
          <w:szCs w:val="17"/>
          <w:color w:val="auto"/>
        </w:rPr>
        <w:t>Eric Cribbs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President, American Gypsum Company</w:t>
      </w:r>
    </w:p>
    <w:p>
      <w:pPr>
        <w:spacing w:after="0" w:line="116" w:lineRule="exact"/>
        <w:rPr>
          <w:sz w:val="20"/>
          <w:szCs w:val="20"/>
          <w:color w:val="auto"/>
        </w:rPr>
      </w:pPr>
    </w:p>
    <w:p>
      <w:pPr>
        <w:sectPr>
          <w:pgSz w:w="11900" w:h="16838" w:orient="portrait"/>
          <w:cols w:equalWidth="0" w:num="2">
            <w:col w:w="1500" w:space="520"/>
            <w:col w:w="9200"/>
          </w:cols>
          <w:pgMar w:left="320" w:top="1084" w:right="359" w:bottom="1440" w:gutter="0" w:footer="0" w:header="0"/>
          <w:type w:val="continuous"/>
        </w:sectPr>
      </w:pPr>
    </w:p>
    <w:p>
      <w:pPr>
        <w:ind w:left="760"/>
        <w:spacing w:after="0"/>
        <w:rPr>
          <w:sz w:val="20"/>
          <w:szCs w:val="20"/>
          <w:color w:val="auto"/>
        </w:rPr>
      </w:pPr>
      <w:r>
        <w:rPr>
          <w:rFonts w:ascii="Calibri" w:cs="Calibri" w:eastAsia="Calibri" w:hAnsi="Calibri"/>
          <w:sz w:val="17"/>
          <w:szCs w:val="17"/>
          <w:color w:val="auto"/>
        </w:rPr>
        <w:t>Tony Thompson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Senior Vice President, Cement East</w:t>
      </w:r>
    </w:p>
    <w:p>
      <w:pPr>
        <w:spacing w:after="0" w:line="116" w:lineRule="exact"/>
        <w:rPr>
          <w:sz w:val="20"/>
          <w:szCs w:val="20"/>
          <w:color w:val="auto"/>
        </w:rPr>
      </w:pPr>
    </w:p>
    <w:p>
      <w:pPr>
        <w:sectPr>
          <w:pgSz w:w="11900" w:h="16838" w:orient="portrait"/>
          <w:cols w:equalWidth="0" w:num="2">
            <w:col w:w="1880" w:space="460"/>
            <w:col w:w="8880"/>
          </w:cols>
          <w:pgMar w:left="320" w:top="1084" w:right="359" w:bottom="1440" w:gutter="0" w:footer="0" w:header="0"/>
          <w:type w:val="continuous"/>
        </w:sectPr>
      </w:pPr>
    </w:p>
    <w:p>
      <w:pPr>
        <w:ind w:left="760"/>
        <w:spacing w:after="0"/>
        <w:rPr>
          <w:sz w:val="20"/>
          <w:szCs w:val="20"/>
          <w:color w:val="auto"/>
        </w:rPr>
      </w:pPr>
      <w:r>
        <w:rPr>
          <w:rFonts w:ascii="Calibri" w:cs="Calibri" w:eastAsia="Calibri" w:hAnsi="Calibri"/>
          <w:sz w:val="17"/>
          <w:szCs w:val="17"/>
          <w:color w:val="auto"/>
        </w:rPr>
        <w:t>Robert S.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Retred Executve Vice President – Strategy, Corporate Development and Communicatons</w:t>
      </w:r>
    </w:p>
    <w:p>
      <w:pPr>
        <w:spacing w:after="0" w:line="116" w:lineRule="exact"/>
        <w:rPr>
          <w:sz w:val="20"/>
          <w:szCs w:val="20"/>
          <w:color w:val="auto"/>
        </w:rPr>
      </w:pPr>
    </w:p>
    <w:p>
      <w:pPr>
        <w:sectPr>
          <w:pgSz w:w="11900" w:h="16838" w:orient="portrait"/>
          <w:cols w:equalWidth="0" w:num="2">
            <w:col w:w="2000" w:space="340"/>
            <w:col w:w="8880"/>
          </w:cols>
          <w:pgMar w:left="320" w:top="1084" w:right="359" w:bottom="1440" w:gutter="0" w:footer="0" w:header="0"/>
          <w:type w:val="continuous"/>
        </w:sectPr>
      </w:pPr>
    </w:p>
    <w:p>
      <w:pPr>
        <w:ind w:left="760"/>
        <w:spacing w:after="0"/>
        <w:rPr>
          <w:sz w:val="20"/>
          <w:szCs w:val="20"/>
          <w:color w:val="auto"/>
        </w:rPr>
      </w:pPr>
      <w:r>
        <w:rPr>
          <w:rFonts w:ascii="Calibri" w:cs="Calibri" w:eastAsia="Calibri" w:hAnsi="Calibri"/>
          <w:sz w:val="17"/>
          <w:szCs w:val="17"/>
          <w:color w:val="auto"/>
        </w:rPr>
        <w:t>Steven L. Wentzel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Retred President, American Gypsum Company</w:t>
      </w:r>
    </w:p>
    <w:p>
      <w:pPr>
        <w:spacing w:after="0" w:line="200" w:lineRule="exact"/>
        <w:rPr>
          <w:sz w:val="20"/>
          <w:szCs w:val="20"/>
          <w:color w:val="auto"/>
        </w:rPr>
      </w:pPr>
    </w:p>
    <w:p>
      <w:pPr>
        <w:sectPr>
          <w:pgSz w:w="11900" w:h="16838" w:orient="portrait"/>
          <w:cols w:equalWidth="0" w:num="2">
            <w:col w:w="2020" w:space="320"/>
            <w:col w:w="8880"/>
          </w:cols>
          <w:pgMar w:left="320" w:top="1084" w:right="3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Leadership Transitons</w:t>
      </w:r>
    </w:p>
    <w:p>
      <w:pPr>
        <w:spacing w:after="0" w:line="113" w:lineRule="exact"/>
        <w:rPr>
          <w:sz w:val="20"/>
          <w:szCs w:val="20"/>
          <w:color w:val="auto"/>
        </w:rPr>
      </w:pPr>
    </w:p>
    <w:p>
      <w:pPr>
        <w:jc w:val="both"/>
        <w:ind w:right="20" w:firstLine="749"/>
        <w:spacing w:after="0" w:line="235" w:lineRule="auto"/>
        <w:rPr>
          <w:sz w:val="20"/>
          <w:szCs w:val="20"/>
          <w:color w:val="auto"/>
        </w:rPr>
      </w:pPr>
      <w:r>
        <w:rPr>
          <w:rFonts w:ascii="Calibri" w:cs="Calibri" w:eastAsia="Calibri" w:hAnsi="Calibri"/>
          <w:sz w:val="18"/>
          <w:szCs w:val="18"/>
          <w:color w:val="auto"/>
        </w:rPr>
        <w:t>During fscal year 2024, we experienced two retrements involving our Named Executve Ofcers, each as contemplated by our ongoing succession planning. Efectve on June 1, 2023, Steven L. Wentzel retred from his positon as President of American Gypsum, and efectve July 3, 2023, Robert S. Stewart retred from his positon as Executve Vice President – Strategy, Corporate Development and Communicatons. Their respectve successors were in positon at the tme of their retrement to ensure a smooth transiton of their dutes.</w:t>
      </w:r>
    </w:p>
    <w:p>
      <w:pPr>
        <w:spacing w:after="0" w:line="219" w:lineRule="exact"/>
        <w:rPr>
          <w:sz w:val="20"/>
          <w:szCs w:val="20"/>
          <w:color w:val="auto"/>
        </w:rPr>
      </w:pPr>
    </w:p>
    <w:p>
      <w:pPr>
        <w:jc w:val="both"/>
        <w:ind w:right="260" w:firstLine="749"/>
        <w:spacing w:after="0" w:line="235" w:lineRule="auto"/>
        <w:rPr>
          <w:sz w:val="20"/>
          <w:szCs w:val="20"/>
          <w:color w:val="auto"/>
        </w:rPr>
      </w:pPr>
      <w:r>
        <w:rPr>
          <w:rFonts w:ascii="Calibri" w:cs="Calibri" w:eastAsia="Calibri" w:hAnsi="Calibri"/>
          <w:sz w:val="18"/>
          <w:szCs w:val="18"/>
          <w:color w:val="auto"/>
        </w:rPr>
        <w:t>For each of the retring ofcers, the Board determined that his departure consttuted a Board-approved retrement from service, and therefore, pursuant to the terms of the award agreements, his outstanding restricted stock (both tme-vestng awards and performance-vestng awards for which the performance conditon had been satsfed) accelerated vestng upon retrement, and Mr. Wentzel's outstanding</w:t>
      </w:r>
    </w:p>
    <w:p>
      <w:pPr>
        <w:spacing w:after="0" w:line="31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type w:val="continuous"/>
        </w:sectPr>
      </w:pPr>
    </w:p>
    <w:bookmarkStart w:id="37" w:name="page38"/>
    <w:bookmarkEnd w:id="37"/>
    <w:p>
      <w:pPr>
        <w:ind w:right="1040"/>
        <w:spacing w:after="0" w:line="235" w:lineRule="auto"/>
        <w:rPr>
          <w:sz w:val="20"/>
          <w:szCs w:val="20"/>
          <w:color w:val="auto"/>
        </w:rPr>
      </w:pPr>
      <w:r>
        <w:rPr>
          <w:rFonts w:ascii="Calibri" w:cs="Calibri" w:eastAsia="Calibri" w:hAnsi="Calibri"/>
          <w:sz w:val="18"/>
          <w:szCs w:val="18"/>
          <w:color w:val="auto"/>
        </w:rPr>
        <w:t>stock optons will survive for the remaining term following retrement. The value of these retrement-related items is refected in the fscal 2024 compensaton for Messrs. Wentzel and Stewart in the Fiscal 2024 Summary Compensaton Table below.</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Compensaton Philosophy</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Core Tenet: Pay for Performance</w:t>
      </w:r>
    </w:p>
    <w:p>
      <w:pPr>
        <w:spacing w:after="0" w:line="10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Our compensaton philosophy is based on the principles that executve compensaton should:</w:t>
      </w:r>
    </w:p>
    <w:p>
      <w:pPr>
        <w:spacing w:after="0" w:line="118" w:lineRule="exact"/>
        <w:rPr>
          <w:sz w:val="20"/>
          <w:szCs w:val="20"/>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Align the interests of our executves with those of our stockholders,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Refect the Company’s performance as well as the executve’s individual performance,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Motvate management to achieve the Company’s operatonal and strategic goals,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Reward performance by both our executves and the Company relatve to our peers’ performance in light of business conditons, and</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Be designed to atract, retain and motvate highly qualifed and talented executves over tme.</w:t>
      </w:r>
    </w:p>
    <w:p>
      <w:pPr>
        <w:spacing w:after="0" w:line="217"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We believe that a signifcant porton of an executve’s compensaton should be “at risk” – that is, contngent on the achievement of performance goals and other important company objectves, such as in the areas of sustainability or safety, and the individual’s performance and contnued employment. Our performance-based compensaton philosophy is evidenced by the charts below showing that 86% of our Chief Executve Ofcer’s target compensaton opportunity for fscal 2024 and 73% of our other Named Executve Ofcers’ (excluding Messrs. Stewart and Wentzel, who retred early in the fscal year) target compensaton opportunity for fscal 2024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154305</wp:posOffset>
            </wp:positionV>
            <wp:extent cx="3703320" cy="2082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0332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To achieve our compensaton objectves for fscal 2024, our executve compensaton program used a combinaton of short-term and long-term elements: (1) annual salary, (2) annual cash incentve award, and (3) long-term incentve compensaton in the form of restricted stock, both with tme and performance vestng conditons. Each element of long-term and short-term compensaton is discussed more fully below under the heading “Primary Elements of Executve Compensaton." The key features of our executve compensaton program include the following:</w:t>
      </w:r>
    </w:p>
    <w:p>
      <w:pPr>
        <w:spacing w:after="0" w:line="215" w:lineRule="exact"/>
        <w:rPr>
          <w:sz w:val="20"/>
          <w:szCs w:val="20"/>
          <w:color w:val="auto"/>
        </w:rPr>
      </w:pPr>
    </w:p>
    <w:p>
      <w:pPr>
        <w:ind w:left="1140" w:hanging="383"/>
        <w:spacing w:after="0"/>
        <w:tabs>
          <w:tab w:leader="none" w:pos="11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We seek to align the interests of executves with those of our stockholders by:</w:t>
      </w:r>
    </w:p>
    <w:p>
      <w:pPr>
        <w:spacing w:after="0" w:line="117" w:lineRule="exact"/>
        <w:rPr>
          <w:rFonts w:ascii="Calibri" w:cs="Calibri" w:eastAsia="Calibri" w:hAnsi="Calibri"/>
          <w:sz w:val="18"/>
          <w:szCs w:val="18"/>
          <w:color w:val="auto"/>
        </w:rPr>
      </w:pPr>
    </w:p>
    <w:p>
      <w:pPr>
        <w:ind w:left="1580" w:hanging="374"/>
        <w:spacing w:after="0"/>
        <w:tabs>
          <w:tab w:leader="none" w:pos="1580" w:val="left"/>
        </w:tabs>
        <w:numPr>
          <w:ilvl w:val="1"/>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Creatng a direct and substantal link between the executve’s annual cash incentve award and our annual operatng earnings,</w:t>
      </w:r>
    </w:p>
    <w:p>
      <w:pPr>
        <w:spacing w:after="0" w:line="122" w:lineRule="exact"/>
        <w:rPr>
          <w:rFonts w:ascii="Times New Roman" w:cs="Times New Roman" w:eastAsia="Times New Roman" w:hAnsi="Times New Roman"/>
          <w:sz w:val="18"/>
          <w:szCs w:val="18"/>
          <w:color w:val="auto"/>
        </w:rPr>
      </w:pPr>
    </w:p>
    <w:p>
      <w:pPr>
        <w:ind w:left="1580" w:right="60" w:hanging="374"/>
        <w:spacing w:after="0" w:line="235" w:lineRule="auto"/>
        <w:tabs>
          <w:tab w:leader="none" w:pos="1580" w:val="left"/>
        </w:tabs>
        <w:numPr>
          <w:ilvl w:val="1"/>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Structuring long-term compensaton as equity awards, so that executves have an appropriate incentve to contribute to the creaton of long-term stockholder value, and</w:t>
      </w:r>
    </w:p>
    <w:p>
      <w:pPr>
        <w:spacing w:after="0" w:line="123" w:lineRule="exact"/>
        <w:rPr>
          <w:rFonts w:ascii="Times New Roman" w:cs="Times New Roman" w:eastAsia="Times New Roman" w:hAnsi="Times New Roman"/>
          <w:sz w:val="18"/>
          <w:szCs w:val="18"/>
          <w:color w:val="auto"/>
        </w:rPr>
      </w:pPr>
    </w:p>
    <w:p>
      <w:pPr>
        <w:ind w:left="1580" w:right="420" w:hanging="374"/>
        <w:spacing w:after="0" w:line="235" w:lineRule="auto"/>
        <w:tabs>
          <w:tab w:leader="none" w:pos="1580" w:val="left"/>
        </w:tabs>
        <w:numPr>
          <w:ilvl w:val="1"/>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Requiring executves to meet stock ownership guidelines that will result in each executve holding a meaningful equity stake in the Company.</w:t>
      </w:r>
    </w:p>
    <w:p>
      <w:pPr>
        <w:spacing w:after="0" w:line="10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We seek to encourage improved performance by:</w:t>
      </w:r>
    </w:p>
    <w:p>
      <w:pPr>
        <w:spacing w:after="0" w:line="9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left="460" w:hanging="374"/>
        <w:spacing w:after="0" w:line="235" w:lineRule="auto"/>
        <w:tabs>
          <w:tab w:leader="none" w:pos="46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Establishing our annual cash incentve award potental based on our operatng earnings, with the ability for the Compensaton Commitee to reduce the award based on individual performance goals, and</w:t>
      </w:r>
    </w:p>
    <w:p>
      <w:pPr>
        <w:spacing w:after="0" w:line="118" w:lineRule="exact"/>
        <w:rPr>
          <w:rFonts w:ascii="Times New Roman" w:cs="Times New Roman" w:eastAsia="Times New Roman" w:hAnsi="Times New Roman"/>
          <w:sz w:val="18"/>
          <w:szCs w:val="18"/>
          <w:color w:val="auto"/>
        </w:rPr>
      </w:pPr>
    </w:p>
    <w:p>
      <w:pPr>
        <w:ind w:left="460" w:hanging="374"/>
        <w:spacing w:after="0"/>
        <w:tabs>
          <w:tab w:leader="none" w:pos="46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Tying the ability to earn a substantal porton of our equity-based awards to the achievement of fnancial goals.</w:t>
      </w:r>
    </w:p>
    <w:p>
      <w:pPr>
        <w:spacing w:after="0" w:line="97" w:lineRule="exact"/>
        <w:rPr>
          <w:rFonts w:ascii="Times New Roman" w:cs="Times New Roman" w:eastAsia="Times New Roman" w:hAnsi="Times New Roman"/>
          <w:sz w:val="18"/>
          <w:szCs w:val="18"/>
          <w:color w:val="auto"/>
        </w:rPr>
      </w:pPr>
    </w:p>
    <w:p>
      <w:pPr>
        <w:ind w:left="2940"/>
        <w:spacing w:after="0"/>
        <w:rPr>
          <w:rFonts w:ascii="Times New Roman" w:cs="Times New Roman" w:eastAsia="Times New Roman" w:hAnsi="Times New Roman"/>
          <w:sz w:val="18"/>
          <w:szCs w:val="18"/>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ind w:left="2440"/>
        <w:spacing w:after="0"/>
        <w:rPr>
          <w:sz w:val="20"/>
          <w:szCs w:val="20"/>
          <w:color w:val="auto"/>
        </w:rPr>
      </w:pPr>
      <w:r>
        <w:rPr>
          <w:rFonts w:ascii="Calibri" w:cs="Calibri" w:eastAsia="Calibri" w:hAnsi="Calibri"/>
          <w:sz w:val="20"/>
          <w:szCs w:val="20"/>
          <w:color w:val="auto"/>
        </w:rPr>
        <w:t>Eagle Materials Inc. - 2024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488315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440" w:top="1103" w:right="10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b w:val="1"/>
          <w:bCs w:val="1"/>
          <w:color w:val="auto"/>
        </w:rPr>
        <w:t>Our Compensaton Practces</w:t>
      </w:r>
    </w:p>
    <w:p>
      <w:pPr>
        <w:spacing w:after="0" w:line="109" w:lineRule="exact"/>
        <w:rPr>
          <w:sz w:val="20"/>
          <w:szCs w:val="20"/>
          <w:color w:val="auto"/>
        </w:rPr>
      </w:pPr>
    </w:p>
    <w:p>
      <w:pPr>
        <w:ind w:right="140" w:firstLine="749"/>
        <w:spacing w:after="0" w:line="258" w:lineRule="auto"/>
        <w:rPr>
          <w:sz w:val="20"/>
          <w:szCs w:val="20"/>
          <w:color w:val="auto"/>
        </w:rPr>
      </w:pPr>
      <w:r>
        <w:rPr>
          <w:rFonts w:ascii="Calibri" w:cs="Calibri" w:eastAsia="Calibri" w:hAnsi="Calibri"/>
          <w:sz w:val="17"/>
          <w:szCs w:val="17"/>
          <w:color w:val="auto"/>
        </w:rPr>
        <w:t>Pay-for-performance is a longstanding core tenet of our compensaton philosophy and one of the keys to Eagle’s long-term success. For years, our executve compensaton programs have incorporated pay-for-performance and many other compensaton best practces,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365125</wp:posOffset>
            </wp:positionV>
            <wp:extent cx="625475" cy="557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5475" cy="55753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399415</wp:posOffset>
            </wp:positionV>
            <wp:extent cx="548640" cy="52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640" cy="52260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60"/>
        <w:spacing w:after="0"/>
        <w:rPr>
          <w:sz w:val="20"/>
          <w:szCs w:val="20"/>
          <w:color w:val="auto"/>
        </w:rPr>
      </w:pPr>
      <w:r>
        <w:rPr>
          <w:rFonts w:ascii="Calibri" w:cs="Calibri" w:eastAsia="Calibri" w:hAnsi="Calibri"/>
          <w:sz w:val="18"/>
          <w:szCs w:val="18"/>
          <w:b w:val="1"/>
          <w:bCs w:val="1"/>
          <w:u w:val="single" w:color="auto"/>
          <w:color w:val="auto"/>
        </w:rPr>
        <w:t>Things We Do</w:t>
      </w:r>
    </w:p>
    <w:p>
      <w:pPr>
        <w:spacing w:after="0" w:line="141" w:lineRule="exact"/>
        <w:rPr>
          <w:sz w:val="20"/>
          <w:szCs w:val="20"/>
          <w:color w:val="auto"/>
        </w:rPr>
      </w:pPr>
    </w:p>
    <w:p>
      <w:pPr>
        <w:ind w:left="20"/>
        <w:spacing w:after="0"/>
        <w:rPr>
          <w:sz w:val="20"/>
          <w:szCs w:val="20"/>
          <w:color w:val="auto"/>
        </w:rPr>
      </w:pPr>
      <w:r>
        <w:rPr>
          <w:sz w:val="1"/>
          <w:szCs w:val="1"/>
          <w:color w:val="auto"/>
        </w:rPr>
        <w:drawing>
          <wp:inline distT="0" distB="0" distL="0" distR="0">
            <wp:extent cx="197485" cy="1714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7485" cy="171450"/>
                    </a:xfrm>
                    <a:prstGeom prst="rect">
                      <a:avLst/>
                    </a:prstGeom>
                    <a:noFill/>
                    <a:ln>
                      <a:noFill/>
                    </a:ln>
                  </pic:spPr>
                </pic:pic>
              </a:graphicData>
            </a:graphic>
          </wp:inline>
        </w:drawing>
      </w:r>
      <w:r>
        <w:rPr>
          <w:rFonts w:ascii="Calibri" w:cs="Calibri" w:eastAsia="Calibri" w:hAnsi="Calibri"/>
          <w:sz w:val="18"/>
          <w:szCs w:val="18"/>
          <w:color w:val="auto"/>
        </w:rPr>
        <w:t>Align ofcer pay with performance.</w:t>
      </w:r>
    </w:p>
    <w:p>
      <w:pPr>
        <w:spacing w:after="0" w:line="127" w:lineRule="exact"/>
        <w:rPr>
          <w:sz w:val="20"/>
          <w:szCs w:val="20"/>
          <w:color w:val="auto"/>
        </w:rPr>
      </w:pPr>
    </w:p>
    <w:p>
      <w:pPr>
        <w:ind w:left="20"/>
        <w:spacing w:after="0"/>
        <w:rPr>
          <w:sz w:val="20"/>
          <w:szCs w:val="20"/>
          <w:color w:val="auto"/>
        </w:rPr>
      </w:pPr>
      <w:r>
        <w:rPr>
          <w:sz w:val="1"/>
          <w:szCs w:val="1"/>
          <w:color w:val="auto"/>
        </w:rPr>
        <w:drawing>
          <wp:inline distT="0" distB="0" distL="0" distR="0">
            <wp:extent cx="197485" cy="171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7485" cy="171450"/>
                    </a:xfrm>
                    <a:prstGeom prst="rect">
                      <a:avLst/>
                    </a:prstGeom>
                    <a:noFill/>
                    <a:ln>
                      <a:noFill/>
                    </a:ln>
                  </pic:spPr>
                </pic:pic>
              </a:graphicData>
            </a:graphic>
          </wp:inline>
        </w:drawing>
      </w:r>
      <w:r>
        <w:rPr>
          <w:rFonts w:ascii="Calibri" w:cs="Calibri" w:eastAsia="Calibri" w:hAnsi="Calibri"/>
          <w:sz w:val="18"/>
          <w:szCs w:val="18"/>
          <w:color w:val="auto"/>
        </w:rPr>
        <w:t>Provide limited perquisites.</w:t>
      </w:r>
    </w:p>
    <w:p>
      <w:pPr>
        <w:spacing w:after="0" w:line="131" w:lineRule="exact"/>
        <w:rPr>
          <w:sz w:val="20"/>
          <w:szCs w:val="20"/>
          <w:color w:val="auto"/>
        </w:rPr>
      </w:pPr>
    </w:p>
    <w:p>
      <w:pPr>
        <w:ind w:left="340" w:right="80" w:hanging="323"/>
        <w:spacing w:after="0"/>
        <w:rPr>
          <w:sz w:val="20"/>
          <w:szCs w:val="20"/>
          <w:color w:val="auto"/>
        </w:rPr>
      </w:pPr>
      <w:r>
        <w:rPr>
          <w:sz w:val="1"/>
          <w:szCs w:val="1"/>
          <w:color w:val="auto"/>
        </w:rPr>
        <w:drawing>
          <wp:inline distT="0" distB="0" distL="0" distR="0">
            <wp:extent cx="197485" cy="1714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7485" cy="171450"/>
                    </a:xfrm>
                    <a:prstGeom prst="rect">
                      <a:avLst/>
                    </a:prstGeom>
                    <a:noFill/>
                    <a:ln>
                      <a:noFill/>
                    </a:ln>
                  </pic:spPr>
                </pic:pic>
              </a:graphicData>
            </a:graphic>
          </wp:inline>
        </w:drawing>
      </w:r>
      <w:r>
        <w:rPr>
          <w:rFonts w:ascii="Calibri" w:cs="Calibri" w:eastAsia="Calibri" w:hAnsi="Calibri"/>
          <w:sz w:val="18"/>
          <w:szCs w:val="18"/>
          <w:color w:val="auto"/>
        </w:rPr>
        <w:t>Provide our executves a defned contributon Retrement Plan determined on the same basis as the benefts provided to all salaried employees.</w:t>
      </w:r>
    </w:p>
    <w:p>
      <w:pPr>
        <w:spacing w:after="0" w:line="131" w:lineRule="exact"/>
        <w:rPr>
          <w:sz w:val="20"/>
          <w:szCs w:val="20"/>
          <w:color w:val="auto"/>
        </w:rPr>
      </w:pPr>
    </w:p>
    <w:p>
      <w:pPr>
        <w:ind w:left="340" w:hanging="323"/>
        <w:spacing w:after="0"/>
        <w:rPr>
          <w:sz w:val="20"/>
          <w:szCs w:val="20"/>
          <w:color w:val="auto"/>
        </w:rPr>
      </w:pPr>
      <w:r>
        <w:rPr>
          <w:sz w:val="1"/>
          <w:szCs w:val="1"/>
          <w:color w:val="auto"/>
        </w:rPr>
        <w:drawing>
          <wp:inline distT="0" distB="0" distL="0" distR="0">
            <wp:extent cx="197485" cy="1714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7485" cy="171450"/>
                    </a:xfrm>
                    <a:prstGeom prst="rect">
                      <a:avLst/>
                    </a:prstGeom>
                    <a:noFill/>
                    <a:ln>
                      <a:noFill/>
                    </a:ln>
                  </pic:spPr>
                </pic:pic>
              </a:graphicData>
            </a:graphic>
          </wp:inline>
        </w:drawing>
      </w:r>
      <w:r>
        <w:rPr>
          <w:rFonts w:ascii="Calibri" w:cs="Calibri" w:eastAsia="Calibri" w:hAnsi="Calibri"/>
          <w:sz w:val="18"/>
          <w:szCs w:val="18"/>
          <w:color w:val="auto"/>
        </w:rPr>
        <w:t>Maintain stock ownership guidelines requiring executves to align their long-term interests with those of our stockholders.</w:t>
      </w:r>
    </w:p>
    <w:p>
      <w:pPr>
        <w:spacing w:after="0" w:line="131" w:lineRule="exact"/>
        <w:rPr>
          <w:sz w:val="20"/>
          <w:szCs w:val="20"/>
          <w:color w:val="auto"/>
        </w:rPr>
      </w:pPr>
    </w:p>
    <w:p>
      <w:pPr>
        <w:jc w:val="both"/>
        <w:ind w:left="340" w:right="200" w:hanging="323"/>
        <w:spacing w:after="0"/>
        <w:rPr>
          <w:sz w:val="20"/>
          <w:szCs w:val="20"/>
          <w:color w:val="auto"/>
        </w:rPr>
      </w:pPr>
      <w:r>
        <w:rPr>
          <w:sz w:val="1"/>
          <w:szCs w:val="1"/>
          <w:color w:val="auto"/>
        </w:rPr>
        <w:drawing>
          <wp:inline distT="0" distB="0" distL="0" distR="0">
            <wp:extent cx="197485" cy="1714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7485" cy="171450"/>
                    </a:xfrm>
                    <a:prstGeom prst="rect">
                      <a:avLst/>
                    </a:prstGeom>
                    <a:noFill/>
                    <a:ln>
                      <a:noFill/>
                    </a:ln>
                  </pic:spPr>
                </pic:pic>
              </a:graphicData>
            </a:graphic>
          </wp:inline>
        </w:drawing>
      </w:r>
      <w:r>
        <w:rPr>
          <w:rFonts w:ascii="Calibri" w:cs="Calibri" w:eastAsia="Calibri" w:hAnsi="Calibri"/>
          <w:sz w:val="18"/>
          <w:szCs w:val="18"/>
          <w:color w:val="auto"/>
        </w:rPr>
        <w:t>Maintain recoupment (clawback) policies allowing the Company to pursue recovery of incentve-based compensaton (whether cash or equity) in certain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20"/>
        <w:spacing w:after="0"/>
        <w:rPr>
          <w:sz w:val="20"/>
          <w:szCs w:val="20"/>
          <w:color w:val="auto"/>
        </w:rPr>
      </w:pPr>
      <w:r>
        <w:rPr>
          <w:rFonts w:ascii="Calibri" w:cs="Calibri" w:eastAsia="Calibri" w:hAnsi="Calibri"/>
          <w:sz w:val="18"/>
          <w:szCs w:val="18"/>
          <w:b w:val="1"/>
          <w:bCs w:val="1"/>
          <w:u w:val="single" w:color="auto"/>
          <w:color w:val="auto"/>
        </w:rPr>
        <w:t>Things We Don’t Do</w:t>
      </w:r>
    </w:p>
    <w:p>
      <w:pPr>
        <w:spacing w:after="0" w:line="141" w:lineRule="exact"/>
        <w:rPr>
          <w:sz w:val="20"/>
          <w:szCs w:val="20"/>
          <w:color w:val="auto"/>
        </w:rPr>
      </w:pPr>
    </w:p>
    <w:p>
      <w:pPr>
        <w:spacing w:after="0"/>
        <w:rPr>
          <w:sz w:val="20"/>
          <w:szCs w:val="20"/>
          <w:color w:val="auto"/>
        </w:rPr>
      </w:pPr>
      <w:r>
        <w:rPr>
          <w:sz w:val="1"/>
          <w:szCs w:val="1"/>
          <w:color w:val="auto"/>
        </w:rPr>
        <w:drawing>
          <wp:inline distT="0" distB="0" distL="0" distR="0">
            <wp:extent cx="171450" cy="1625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Calibri" w:cs="Calibri" w:eastAsia="Calibri" w:hAnsi="Calibri"/>
          <w:sz w:val="18"/>
          <w:szCs w:val="18"/>
          <w:color w:val="auto"/>
        </w:rPr>
        <w:t xml:space="preserve"> Have employment agreements currently in efect with our executves.</w:t>
      </w:r>
    </w:p>
    <w:p>
      <w:pPr>
        <w:spacing w:after="0" w:line="131" w:lineRule="exact"/>
        <w:rPr>
          <w:sz w:val="20"/>
          <w:szCs w:val="20"/>
          <w:color w:val="auto"/>
        </w:rPr>
      </w:pPr>
    </w:p>
    <w:p>
      <w:pPr>
        <w:ind w:left="320" w:right="340" w:hanging="323"/>
        <w:spacing w:after="0"/>
        <w:rPr>
          <w:sz w:val="20"/>
          <w:szCs w:val="20"/>
          <w:color w:val="auto"/>
        </w:rPr>
      </w:pPr>
      <w:r>
        <w:rPr>
          <w:sz w:val="1"/>
          <w:szCs w:val="1"/>
          <w:color w:val="auto"/>
        </w:rPr>
        <w:drawing>
          <wp:inline distT="0" distB="0" distL="0" distR="0">
            <wp:extent cx="171450" cy="16319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Calibri" w:cs="Calibri" w:eastAsia="Calibri" w:hAnsi="Calibri"/>
          <w:sz w:val="18"/>
          <w:szCs w:val="18"/>
          <w:color w:val="auto"/>
        </w:rPr>
        <w:t xml:space="preserve"> Provide tax gross-ups with respect to payments made in connecton with a change in control.</w:t>
      </w:r>
    </w:p>
    <w:p>
      <w:pPr>
        <w:spacing w:after="0" w:line="127" w:lineRule="exact"/>
        <w:rPr>
          <w:sz w:val="20"/>
          <w:szCs w:val="20"/>
          <w:color w:val="auto"/>
        </w:rPr>
      </w:pPr>
    </w:p>
    <w:p>
      <w:pPr>
        <w:spacing w:after="0"/>
        <w:rPr>
          <w:sz w:val="20"/>
          <w:szCs w:val="20"/>
          <w:color w:val="auto"/>
        </w:rPr>
      </w:pPr>
      <w:r>
        <w:rPr>
          <w:sz w:val="1"/>
          <w:szCs w:val="1"/>
          <w:color w:val="auto"/>
        </w:rPr>
        <w:drawing>
          <wp:inline distT="0" distB="0" distL="0" distR="0">
            <wp:extent cx="171450" cy="1625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Calibri" w:cs="Calibri" w:eastAsia="Calibri" w:hAnsi="Calibri"/>
          <w:sz w:val="18"/>
          <w:szCs w:val="18"/>
          <w:color w:val="auto"/>
        </w:rPr>
        <w:t xml:space="preserve"> Provide defned beneft plans for our executves.</w:t>
      </w:r>
    </w:p>
    <w:p>
      <w:pPr>
        <w:spacing w:after="0" w:line="131" w:lineRule="exact"/>
        <w:rPr>
          <w:sz w:val="20"/>
          <w:szCs w:val="20"/>
          <w:color w:val="auto"/>
        </w:rPr>
      </w:pPr>
    </w:p>
    <w:p>
      <w:pPr>
        <w:ind w:left="320" w:right="240" w:hanging="323"/>
        <w:spacing w:after="0"/>
        <w:rPr>
          <w:sz w:val="20"/>
          <w:szCs w:val="20"/>
          <w:color w:val="auto"/>
        </w:rPr>
      </w:pPr>
      <w:r>
        <w:rPr>
          <w:sz w:val="1"/>
          <w:szCs w:val="1"/>
          <w:color w:val="auto"/>
        </w:rPr>
        <w:drawing>
          <wp:inline distT="0" distB="0" distL="0" distR="0">
            <wp:extent cx="171450" cy="1631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Calibri" w:cs="Calibri" w:eastAsia="Calibri" w:hAnsi="Calibri"/>
          <w:sz w:val="18"/>
          <w:szCs w:val="18"/>
          <w:color w:val="auto"/>
        </w:rPr>
        <w:t xml:space="preserve"> Allow re-pricing of optons (prohibited under our 2023 Incentve Plan without stockholder approval).</w:t>
      </w:r>
    </w:p>
    <w:p>
      <w:pPr>
        <w:spacing w:after="0" w:line="131" w:lineRule="exact"/>
        <w:rPr>
          <w:sz w:val="20"/>
          <w:szCs w:val="20"/>
          <w:color w:val="auto"/>
        </w:rPr>
      </w:pPr>
    </w:p>
    <w:p>
      <w:pPr>
        <w:jc w:val="both"/>
        <w:ind w:left="320" w:right="80" w:hanging="323"/>
        <w:spacing w:after="0"/>
        <w:rPr>
          <w:sz w:val="20"/>
          <w:szCs w:val="20"/>
          <w:color w:val="auto"/>
        </w:rPr>
      </w:pPr>
      <w:r>
        <w:rPr>
          <w:sz w:val="1"/>
          <w:szCs w:val="1"/>
          <w:color w:val="auto"/>
        </w:rPr>
        <w:drawing>
          <wp:inline distT="0" distB="0" distL="0" distR="0">
            <wp:extent cx="171450"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Calibri" w:cs="Calibri" w:eastAsia="Calibri" w:hAnsi="Calibri"/>
          <w:sz w:val="18"/>
          <w:szCs w:val="18"/>
          <w:color w:val="auto"/>
        </w:rPr>
        <w:t xml:space="preserve"> Allow employees or executves to speculate in our securites or engage in transactons designed to hedge their ownership interests (prohibited under our Insider Trading Policy).</w:t>
      </w:r>
    </w:p>
    <w:p>
      <w:pPr>
        <w:spacing w:after="0" w:line="131" w:lineRule="exact"/>
        <w:rPr>
          <w:sz w:val="20"/>
          <w:szCs w:val="20"/>
          <w:color w:val="auto"/>
        </w:rPr>
      </w:pPr>
    </w:p>
    <w:p>
      <w:pPr>
        <w:ind w:left="320" w:hanging="323"/>
        <w:spacing w:after="0"/>
        <w:rPr>
          <w:sz w:val="20"/>
          <w:szCs w:val="20"/>
          <w:color w:val="auto"/>
        </w:rPr>
      </w:pPr>
      <w:r>
        <w:rPr>
          <w:sz w:val="1"/>
          <w:szCs w:val="1"/>
          <w:color w:val="auto"/>
        </w:rPr>
        <w:drawing>
          <wp:inline distT="0" distB="0" distL="0" distR="0">
            <wp:extent cx="171450" cy="1625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Calibri" w:cs="Calibri" w:eastAsia="Calibri" w:hAnsi="Calibri"/>
          <w:sz w:val="18"/>
          <w:szCs w:val="18"/>
          <w:color w:val="auto"/>
        </w:rPr>
        <w:t xml:space="preserve"> Allow employees or executves to pledge our securites as collateral for a loan or hold our securites in a margin account (prohibited under our Insider Trading Policy).</w:t>
      </w:r>
    </w:p>
    <w:p>
      <w:pPr>
        <w:spacing w:after="0" w:line="200" w:lineRule="exact"/>
        <w:rPr>
          <w:sz w:val="20"/>
          <w:szCs w:val="20"/>
          <w:color w:val="auto"/>
        </w:rPr>
      </w:pPr>
    </w:p>
    <w:p>
      <w:pPr>
        <w:sectPr>
          <w:pgSz w:w="11900" w:h="16838" w:orient="portrait"/>
          <w:cols w:equalWidth="0" w:num="2">
            <w:col w:w="5340" w:space="420"/>
            <w:col w:w="5460"/>
          </w:cols>
          <w:pgMar w:left="320" w:top="1300" w:right="359" w:bottom="1440" w:gutter="0" w:footer="0" w:header="0"/>
          <w:type w:val="continuous"/>
        </w:sectPr>
      </w:pPr>
    </w:p>
    <w:p>
      <w:pPr>
        <w:spacing w:after="0" w:line="12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Eagle Materials Inc. - 2024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22"/>
          <w:szCs w:val="22"/>
          <w:b w:val="1"/>
          <w:bCs w:val="1"/>
          <w:i w:val="1"/>
          <w:iCs w:val="1"/>
          <w:color w:val="auto"/>
        </w:rPr>
        <w:t>Determining Executive Compensaton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Advisory Vote on Executve Compensaton; Central Role of Stockholder Engagement</w:t>
      </w:r>
    </w:p>
    <w:p>
      <w:pPr>
        <w:spacing w:after="0" w:line="109" w:lineRule="exact"/>
        <w:rPr>
          <w:sz w:val="20"/>
          <w:szCs w:val="20"/>
          <w:color w:val="auto"/>
        </w:rPr>
      </w:pPr>
    </w:p>
    <w:p>
      <w:pPr>
        <w:ind w:right="80" w:firstLine="749"/>
        <w:spacing w:after="0" w:line="254" w:lineRule="auto"/>
        <w:rPr>
          <w:sz w:val="20"/>
          <w:szCs w:val="20"/>
          <w:color w:val="auto"/>
        </w:rPr>
      </w:pPr>
      <w:r>
        <w:rPr>
          <w:rFonts w:ascii="Calibri" w:cs="Calibri" w:eastAsia="Calibri" w:hAnsi="Calibri"/>
          <w:sz w:val="17"/>
          <w:szCs w:val="17"/>
          <w:color w:val="auto"/>
        </w:rPr>
        <w:t>We value feedback from our stockholders and regularly engage in a dialogue with a signifcant porton of our stockholders throughout the fscal year to beter understand their opinions on our business strategy and objectves and to obtain feedback regarding other maters of investor interest, such as executve compensaton and sustainability maters. The Company’s newly-published Sustainability Report was a topic of engagement during fscal 2024.</w:t>
      </w:r>
    </w:p>
    <w:p>
      <w:pPr>
        <w:spacing w:after="0" w:line="205" w:lineRule="exact"/>
        <w:rPr>
          <w:sz w:val="20"/>
          <w:szCs w:val="20"/>
          <w:color w:val="auto"/>
        </w:rPr>
      </w:pPr>
    </w:p>
    <w:p>
      <w:pPr>
        <w:ind w:right="380" w:firstLine="749"/>
        <w:spacing w:after="0" w:line="235" w:lineRule="auto"/>
        <w:rPr>
          <w:sz w:val="20"/>
          <w:szCs w:val="20"/>
          <w:color w:val="auto"/>
        </w:rPr>
      </w:pPr>
      <w:r>
        <w:rPr>
          <w:rFonts w:ascii="Calibri" w:cs="Calibri" w:eastAsia="Calibri" w:hAnsi="Calibri"/>
          <w:sz w:val="18"/>
          <w:szCs w:val="18"/>
          <w:color w:val="auto"/>
        </w:rPr>
        <w:t>At the 2023 Annual Meetng of Stockholders, the Company’s stockholders voted to approve a non-binding advisory resoluton approving the compensaton paid to our Named Executve Ofcers as disclosed in the proxy statement for the 2023 Annual Meetng of Stockholders. This “say-on-pay” proposal received the approval of approximately 90.2% of the votes cast.</w:t>
      </w:r>
    </w:p>
    <w:p>
      <w:pPr>
        <w:spacing w:after="0" w:line="219"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Stockholder support of the executve compensaton program (refected through the 2023 say-on-pay vote results) has remained strong; however, we elected to revise certain aspects of our program. Following a comprehensive review of the Company’s compensaton programs during the course of the previous fscal year and taking into consideraton stockholder feedback, the Compensaton Commitee (i) made some modifcatons to the Company’s compensaton programs in fscal 2024, as described in greater detail below—including individual limitatons on amounts payable under annual cash incentve award programs and the introducton of mult-year performance periods for long-term equity awards; and (ii) made additonal modifcatons to long-term incentve compensaton as described below under "Fiscal 2025 Compensaton Developments."</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Authority of the Compensaton Commitee</w:t>
      </w:r>
    </w:p>
    <w:p>
      <w:pPr>
        <w:spacing w:after="0" w:line="109"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Our Compensaton Commitee meets regularly (nine tmes in fscal 2024) to oversee and administer the compensaton program of the CEO and the other senior executve ofcers. See “Board Commitees — Compensaton Commitee” above. The senior executve ofcers include all of the Named Executve Ofcers. In partcular, the Compensaton Commitee is charged with the responsibility to:</w:t>
      </w:r>
    </w:p>
    <w:p>
      <w:pPr>
        <w:spacing w:after="0" w:line="119" w:lineRule="exact"/>
        <w:rPr>
          <w:sz w:val="20"/>
          <w:szCs w:val="20"/>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make recommendatons regarding our general compensaton philosophy and structure;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Annually review and approve corporate goals and objectves relevant to the compensaton of our CEO;</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 our CEO’s performance in light of such goals and objectves;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Set the salary and other cash and equity compensaton for our CEO based on such evaluaton;</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approve the compensaton of our other senior executve ofcers;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Administer each of our plans for which our Compensaton Commitee has administratve responsibility;</w:t>
      </w:r>
    </w:p>
    <w:p>
      <w:pPr>
        <w:spacing w:after="0" w:line="122" w:lineRule="exact"/>
        <w:rPr>
          <w:rFonts w:ascii="Times New Roman" w:cs="Times New Roman" w:eastAsia="Times New Roman" w:hAnsi="Times New Roman"/>
          <w:sz w:val="18"/>
          <w:szCs w:val="18"/>
          <w:color w:val="auto"/>
        </w:rPr>
      </w:pPr>
    </w:p>
    <w:p>
      <w:pPr>
        <w:ind w:left="1500" w:right="80" w:hanging="743"/>
        <w:spacing w:after="0" w:line="258" w:lineRule="auto"/>
        <w:tabs>
          <w:tab w:leader="none" w:pos="1500" w:val="left"/>
        </w:tabs>
        <w:numPr>
          <w:ilvl w:val="0"/>
          <w:numId w:val="31"/>
        </w:numPr>
        <w:rPr>
          <w:rFonts w:ascii="Times New Roman" w:cs="Times New Roman" w:eastAsia="Times New Roman" w:hAnsi="Times New Roman"/>
          <w:sz w:val="17"/>
          <w:szCs w:val="17"/>
          <w:color w:val="auto"/>
        </w:rPr>
      </w:pPr>
      <w:r>
        <w:rPr>
          <w:rFonts w:ascii="Calibri" w:cs="Calibri" w:eastAsia="Calibri" w:hAnsi="Calibri"/>
          <w:sz w:val="17"/>
          <w:szCs w:val="17"/>
          <w:color w:val="auto"/>
        </w:rPr>
        <w:t>Grant cash awards (including annual cash incentve awards) under our annual cash incentve award programs and equity awards (including optons, restricted stock and restricted stock units) under our equity incentve plans to our ofcers and other key employees;</w:t>
      </w:r>
    </w:p>
    <w:p>
      <w:pPr>
        <w:spacing w:after="0" w:line="102" w:lineRule="exact"/>
        <w:rPr>
          <w:rFonts w:ascii="Times New Roman" w:cs="Times New Roman" w:eastAsia="Times New Roman" w:hAnsi="Times New Roman"/>
          <w:sz w:val="17"/>
          <w:szCs w:val="17"/>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Review and recommend to the Board the compensaton of our non-employee directors; and</w:t>
      </w:r>
    </w:p>
    <w:p>
      <w:pPr>
        <w:spacing w:after="0" w:line="122" w:lineRule="exact"/>
        <w:rPr>
          <w:rFonts w:ascii="Times New Roman" w:cs="Times New Roman" w:eastAsia="Times New Roman" w:hAnsi="Times New Roman"/>
          <w:sz w:val="18"/>
          <w:szCs w:val="18"/>
          <w:color w:val="auto"/>
        </w:rPr>
      </w:pPr>
    </w:p>
    <w:p>
      <w:pPr>
        <w:ind w:left="1500" w:right="260" w:hanging="743"/>
        <w:spacing w:after="0" w:line="235" w:lineRule="auto"/>
        <w:tabs>
          <w:tab w:leader="none" w:pos="15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Recommend to the Board stock ownership guidelines for our executve ofcers and non-employee directors and monitor compliance therewith.</w:t>
      </w:r>
    </w:p>
    <w:p>
      <w:pPr>
        <w:spacing w:after="0" w:line="218"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 xml:space="preserve">The Compensaton Commitee consists solely of directors who are independent under the NYSE listng standards (including the enhanced independence requirements for compensaton commitee members). The Compensaton Commitee is authorized to hire such outside advisors as it deems appropriate. The Compensaton Commitee’s charter may be found in the “Investor Relatons/Corporate Governance” secton of our website </w:t>
      </w:r>
      <w:r>
        <w:rPr>
          <w:rFonts w:ascii="Calibri" w:cs="Calibri" w:eastAsia="Calibri" w:hAnsi="Calibri"/>
          <w:sz w:val="18"/>
          <w:szCs w:val="18"/>
          <w:i w:val="1"/>
          <w:iCs w:val="1"/>
          <w:color w:val="auto"/>
        </w:rPr>
        <w:t>www.eaglematerials.com</w:t>
      </w:r>
      <w:r>
        <w:rPr>
          <w:rFonts w:ascii="Calibri" w:cs="Calibri" w:eastAsia="Calibri" w:hAnsi="Calibri"/>
          <w:sz w:val="18"/>
          <w:szCs w:val="18"/>
          <w:color w:val="auto"/>
        </w:rPr>
        <w:t>. This reference to our website is intended to inform investors where they may obtain additonal informaton; the materials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other informaton presented on our website are not incorporated in and should not be considered part of this proxy statement.</w:t>
      </w:r>
    </w:p>
    <w:p>
      <w:pPr>
        <w:spacing w:after="0" w:line="220" w:lineRule="exact"/>
        <w:rPr>
          <w:sz w:val="20"/>
          <w:szCs w:val="20"/>
          <w:color w:val="auto"/>
        </w:rPr>
      </w:pPr>
    </w:p>
    <w:p>
      <w:pPr>
        <w:ind w:right="700" w:firstLine="749"/>
        <w:spacing w:after="0" w:line="235" w:lineRule="auto"/>
        <w:rPr>
          <w:sz w:val="20"/>
          <w:szCs w:val="20"/>
          <w:color w:val="auto"/>
        </w:rPr>
      </w:pPr>
      <w:r>
        <w:rPr>
          <w:rFonts w:ascii="Calibri" w:cs="Calibri" w:eastAsia="Calibri" w:hAnsi="Calibri"/>
          <w:sz w:val="18"/>
          <w:szCs w:val="18"/>
          <w:color w:val="auto"/>
        </w:rPr>
        <w:t>The Compensaton Commitee sets compensaton for the Named Executve Ofcers on an annual basis. In general, the process for setng compensaton involves the following steps:</w:t>
      </w:r>
    </w:p>
    <w:p>
      <w:pPr>
        <w:spacing w:after="0" w:line="21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As early as practcable afer the beginning of each fscal year, the Compensaton Commitee determines:</w:t>
      </w:r>
    </w:p>
    <w:p>
      <w:pPr>
        <w:spacing w:after="0" w:line="9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Eagle Materials Inc. - 2024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8" w:right="399" w:bottom="1440" w:gutter="0" w:footer="0" w:header="0"/>
        </w:sectPr>
      </w:pPr>
    </w:p>
    <w:bookmarkStart w:id="41" w:name="page42"/>
    <w:bookmarkEnd w:id="41"/>
    <w:p>
      <w:pPr>
        <w:ind w:left="1140" w:hanging="383"/>
        <w:spacing w:after="0"/>
        <w:tabs>
          <w:tab w:leader="none" w:pos="11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salary of each Named Executve Ofcer for such fscal year;</w:t>
      </w:r>
    </w:p>
    <w:p>
      <w:pPr>
        <w:spacing w:after="0" w:line="109" w:lineRule="exact"/>
        <w:rPr>
          <w:rFonts w:ascii="Calibri" w:cs="Calibri" w:eastAsia="Calibri" w:hAnsi="Calibri"/>
          <w:sz w:val="18"/>
          <w:szCs w:val="18"/>
          <w:color w:val="auto"/>
        </w:rPr>
      </w:pPr>
    </w:p>
    <w:p>
      <w:pPr>
        <w:ind w:left="1140" w:right="60" w:hanging="383"/>
        <w:spacing w:after="0" w:line="235" w:lineRule="auto"/>
        <w:tabs>
          <w:tab w:leader="none" w:pos="11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overall size of the annual cash incentve award pools based on a percentage of operatng earnings or EBITDA in which the Named Executve Ofcers will have the opportunity to partcipate during such year and the percentage of the pool assigned to each Named Executve Ofcer;</w:t>
      </w:r>
    </w:p>
    <w:p>
      <w:pPr>
        <w:spacing w:after="0" w:line="105" w:lineRule="exact"/>
        <w:rPr>
          <w:rFonts w:ascii="Calibri" w:cs="Calibri" w:eastAsia="Calibri" w:hAnsi="Calibri"/>
          <w:sz w:val="18"/>
          <w:szCs w:val="18"/>
          <w:color w:val="auto"/>
        </w:rPr>
      </w:pPr>
    </w:p>
    <w:p>
      <w:pPr>
        <w:ind w:left="1140" w:hanging="383"/>
        <w:spacing w:after="0"/>
        <w:tabs>
          <w:tab w:leader="none" w:pos="11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whether the Compensaton Commitee will make any long-term incentve compensaton awards in such fscal year;</w:t>
      </w:r>
    </w:p>
    <w:p>
      <w:pPr>
        <w:spacing w:after="0" w:line="109" w:lineRule="exact"/>
        <w:rPr>
          <w:rFonts w:ascii="Calibri" w:cs="Calibri" w:eastAsia="Calibri" w:hAnsi="Calibri"/>
          <w:sz w:val="18"/>
          <w:szCs w:val="18"/>
          <w:color w:val="auto"/>
        </w:rPr>
      </w:pPr>
    </w:p>
    <w:p>
      <w:pPr>
        <w:ind w:left="1140" w:right="80" w:hanging="383"/>
        <w:spacing w:after="0" w:line="235" w:lineRule="auto"/>
        <w:tabs>
          <w:tab w:leader="none" w:pos="11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if the Compensaton Commitee decides to make long-term compensaton awards for such fscal year, the amount, nature of and terms applicable to such awards, including the form any such awards will take (e.g., optons, restricted stock, restricted stock units and/or cash), the performance- or tme-vestng criteria (or both) that will apply to any such awards, and the exercisability or payment schedules that will apply to any such awards if the performance criteria are satsfed; and</w:t>
      </w:r>
    </w:p>
    <w:p>
      <w:pPr>
        <w:spacing w:after="0" w:line="111" w:lineRule="exact"/>
        <w:rPr>
          <w:rFonts w:ascii="Calibri" w:cs="Calibri" w:eastAsia="Calibri" w:hAnsi="Calibri"/>
          <w:sz w:val="18"/>
          <w:szCs w:val="18"/>
          <w:color w:val="auto"/>
        </w:rPr>
      </w:pPr>
    </w:p>
    <w:p>
      <w:pPr>
        <w:ind w:left="1140" w:right="80" w:hanging="383"/>
        <w:spacing w:after="0" w:line="235" w:lineRule="auto"/>
        <w:tabs>
          <w:tab w:leader="none" w:pos="11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Eagle Materials Special Situaton Program (described below) for such fscal year and the overall funding levels for such program based on operatng earnings.</w:t>
      </w:r>
    </w:p>
    <w:p>
      <w:pPr>
        <w:spacing w:after="0" w:line="105"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For fscal 2024, the Compensaton Commitee made these determinatons at two meetngs held early in the fscal year, in May 2023.</w:t>
      </w:r>
    </w:p>
    <w:p>
      <w:pPr>
        <w:spacing w:after="0" w:line="21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Afer the end of the fscal year, the Compensaton Commitee then:</w:t>
      </w:r>
    </w:p>
    <w:p>
      <w:pPr>
        <w:spacing w:after="0" w:line="212" w:lineRule="exact"/>
        <w:rPr>
          <w:sz w:val="20"/>
          <w:szCs w:val="20"/>
          <w:color w:val="auto"/>
        </w:rPr>
      </w:pPr>
    </w:p>
    <w:p>
      <w:pPr>
        <w:ind w:left="1140" w:hanging="383"/>
        <w:spacing w:after="0"/>
        <w:tabs>
          <w:tab w:leader="none" w:pos="11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reviews and approves the annual cash incentve award pools;</w:t>
      </w:r>
    </w:p>
    <w:p>
      <w:pPr>
        <w:spacing w:after="0" w:line="109" w:lineRule="exact"/>
        <w:rPr>
          <w:rFonts w:ascii="Calibri" w:cs="Calibri" w:eastAsia="Calibri" w:hAnsi="Calibri"/>
          <w:sz w:val="18"/>
          <w:szCs w:val="18"/>
          <w:color w:val="auto"/>
        </w:rPr>
      </w:pPr>
    </w:p>
    <w:p>
      <w:pPr>
        <w:ind w:left="1140" w:hanging="383"/>
        <w:spacing w:after="0"/>
        <w:tabs>
          <w:tab w:leader="none" w:pos="1140" w:val="left"/>
        </w:tabs>
        <w:numPr>
          <w:ilvl w:val="0"/>
          <w:numId w:val="33"/>
        </w:numPr>
        <w:rPr>
          <w:rFonts w:ascii="Calibri" w:cs="Calibri" w:eastAsia="Calibri" w:hAnsi="Calibri"/>
          <w:sz w:val="17"/>
          <w:szCs w:val="17"/>
          <w:color w:val="auto"/>
        </w:rPr>
      </w:pPr>
      <w:r>
        <w:rPr>
          <w:rFonts w:ascii="Calibri" w:cs="Calibri" w:eastAsia="Calibri" w:hAnsi="Calibri"/>
          <w:sz w:val="17"/>
          <w:szCs w:val="17"/>
          <w:color w:val="auto"/>
        </w:rPr>
        <w:t>determines the extent to which the performance criteria for the prior fscal year applicable to any long-term incentve awards were satsfed;</w:t>
      </w:r>
    </w:p>
    <w:p>
      <w:pPr>
        <w:spacing w:after="0" w:line="116" w:lineRule="exact"/>
        <w:rPr>
          <w:rFonts w:ascii="Calibri" w:cs="Calibri" w:eastAsia="Calibri" w:hAnsi="Calibri"/>
          <w:sz w:val="17"/>
          <w:szCs w:val="17"/>
          <w:color w:val="auto"/>
        </w:rPr>
      </w:pPr>
    </w:p>
    <w:p>
      <w:pPr>
        <w:ind w:left="1140" w:right="640" w:hanging="383"/>
        <w:spacing w:after="0" w:line="235" w:lineRule="auto"/>
        <w:tabs>
          <w:tab w:leader="none" w:pos="11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determines the amount of the downward adjustment, if any, to be made to the annual cash incentve award payment to each Named Executve Ofcer based on individual performance; and</w:t>
      </w:r>
    </w:p>
    <w:p>
      <w:pPr>
        <w:spacing w:after="0" w:line="104" w:lineRule="exact"/>
        <w:rPr>
          <w:rFonts w:ascii="Calibri" w:cs="Calibri" w:eastAsia="Calibri" w:hAnsi="Calibri"/>
          <w:sz w:val="18"/>
          <w:szCs w:val="18"/>
          <w:color w:val="auto"/>
        </w:rPr>
      </w:pPr>
    </w:p>
    <w:p>
      <w:pPr>
        <w:ind w:left="1140" w:hanging="383"/>
        <w:spacing w:after="0"/>
        <w:tabs>
          <w:tab w:leader="none" w:pos="11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if applicable, makes awards under the Eagle Materials Special Situaton Program.</w:t>
      </w:r>
    </w:p>
    <w:p>
      <w:pPr>
        <w:spacing w:after="0" w:line="21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The Compensaton Commitee made these determinatons for fscal 2024 at two meetngs held afer the completon of the fscal year, in May 2024.</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Role of Management</w:t>
      </w:r>
    </w:p>
    <w:p>
      <w:pPr>
        <w:spacing w:after="0" w:line="109"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Our CEO partcipates in the administraton of our compensaton program for Named Executve Ofcers, other than himself. The CEO is not present during discussions of his own compensaton by the Compensaton Commitee. Following the end of each fscal year, the CEO provides input to the Compensaton Commitee on the performance of each of the other Named Executve Ofcers during the fscal year and recommends compensaton adjustments (salary adjustments for the upcoming fscal year, any downward adjustments to annual cash incentve award levels for the recently completed fscal year, and annual cash incentve award levels for the upcoming fscal year) and, if applicable, long-term incentve award levels for such Named Executve Ofcers. The CEO also provides input on the structure of our long-term incentve awards (if any) for such Named Executve Ofcers, including the long-term incentve award levels and the performance or other criteria that determine vestng and other terms and conditons applicable to the awards. The Compensaton Commitee considers the CEO’s input, along with other informaton presented by its independent compensaton consultants or otherwise available to it, in making its fnal compensaton decisions with respect to the Named Executve Ofcers.</w:t>
      </w:r>
    </w:p>
    <w:p>
      <w:pPr>
        <w:spacing w:after="0" w:line="3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Engagement of an Independent Compensaton Consultant</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In February 2023, the Compensaton Commitee engaged Meridian Compensaton Partners (“Meridian”) to review levels and incentve components of our executves’ compensaton in an efort to align the compensaton of our ofcers compettvely with the market for fscal 2024. The primary role of Meridian was to provide the Compensaton Commitee with market data and informaton regarding compensaton trends in our industry and to make recommendatons regarding base salaries, the design of our incentve programs and executve compensaton levels. The Compensaton Commitee has assessed the independence of Meridian pursuant to SEC and NYSE rules and concluded that no confict of interest exists that would prevent Meridian from independently advising the Compensaton Commitee.</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b w:val="1"/>
          <w:bCs w:val="1"/>
          <w:color w:val="auto"/>
        </w:rPr>
        <w:t>Compensaton Peers</w:t>
      </w:r>
    </w:p>
    <w:p>
      <w:pPr>
        <w:spacing w:after="0" w:line="109"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The data used by Meridian in its survey of compensaton (the “compensaton study”) was from compensaton disclosures included in the proxy statements of members of our peer group, as well as Equilar survey data where available for partcular positons. At the beginning of fscal 2024 (spring 2023), Meridian reviewed the Company’s current peer group for appropriateness and provided the Compensaton Commitee with recommendatons for adjustments. Meridian analyzed the Company’s peer group and potental modifcatons based on industry relevance, revenue (approximate range from 33% to 3 tmes the Company's revenue), market capitalizaton size (approximate range from 33% to 3 tmes the Company's market capitalizaton), EBITDA margin and overlap with other peer groups. Based on Meridian’s analysis and with consideraton to management’s input, the Compensaton Commitee approved utlizing the same peer group that had been used in fscal 2023 to analyze fscal 2024 compensaton (“compensaton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154940</wp:posOffset>
            </wp:positionV>
            <wp:extent cx="2717165" cy="257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71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Primary Elements of Executve Compensaton</w:t>
      </w:r>
    </w:p>
    <w:p>
      <w:pPr>
        <w:spacing w:after="0" w:line="110"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The primary elements of our executve compensaton program are:</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660" w:type="dxa"/>
            <w:vAlign w:val="bottom"/>
            <w:tcBorders>
              <w:top w:val="single" w:sz="8" w:color="auto"/>
              <w:left w:val="single" w:sz="8" w:color="auto"/>
            </w:tcBorders>
          </w:tcPr>
          <w:p>
            <w:pPr>
              <w:spacing w:after="0"/>
              <w:rPr>
                <w:sz w:val="15"/>
                <w:szCs w:val="15"/>
                <w:color w:val="auto"/>
              </w:rPr>
            </w:pPr>
          </w:p>
        </w:tc>
        <w:tc>
          <w:tcPr>
            <w:tcW w:w="1200" w:type="dxa"/>
            <w:vAlign w:val="bottom"/>
            <w:tcBorders>
              <w:top w:val="single" w:sz="8" w:color="auto"/>
            </w:tcBorders>
            <w:gridSpan w:val="2"/>
          </w:tcPr>
          <w:p>
            <w:pPr>
              <w:spacing w:after="0" w:line="175" w:lineRule="exact"/>
              <w:rPr>
                <w:sz w:val="20"/>
                <w:szCs w:val="20"/>
                <w:color w:val="auto"/>
              </w:rPr>
            </w:pPr>
            <w:r>
              <w:rPr>
                <w:rFonts w:ascii="Calibri" w:cs="Calibri" w:eastAsia="Calibri" w:hAnsi="Calibri"/>
                <w:sz w:val="18"/>
                <w:szCs w:val="18"/>
                <w:b w:val="1"/>
                <w:bCs w:val="1"/>
                <w:color w:val="auto"/>
              </w:rPr>
              <w:t>Element</w:t>
            </w:r>
          </w:p>
        </w:tc>
        <w:tc>
          <w:tcPr>
            <w:tcW w:w="194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gridSpan w:val="2"/>
          </w:tcPr>
          <w:p>
            <w:pPr>
              <w:spacing w:after="0" w:line="175" w:lineRule="exact"/>
              <w:rPr>
                <w:sz w:val="20"/>
                <w:szCs w:val="20"/>
                <w:color w:val="auto"/>
              </w:rPr>
            </w:pPr>
            <w:r>
              <w:rPr>
                <w:rFonts w:ascii="Calibri" w:cs="Calibri" w:eastAsia="Calibri" w:hAnsi="Calibri"/>
                <w:sz w:val="18"/>
                <w:szCs w:val="18"/>
                <w:b w:val="1"/>
                <w:bCs w:val="1"/>
                <w:color w:val="auto"/>
              </w:rPr>
              <w:t>Key Characteristcs</w:t>
            </w:r>
          </w:p>
        </w:tc>
        <w:tc>
          <w:tcPr>
            <w:tcW w:w="1600" w:type="dxa"/>
            <w:vAlign w:val="bottom"/>
            <w:tcBorders>
              <w:top w:val="single" w:sz="8" w:color="auto"/>
            </w:tcBorders>
          </w:tcPr>
          <w:p>
            <w:pPr>
              <w:spacing w:after="0"/>
              <w:rPr>
                <w:sz w:val="15"/>
                <w:szCs w:val="15"/>
                <w:color w:val="auto"/>
              </w:rPr>
            </w:pPr>
          </w:p>
        </w:tc>
        <w:tc>
          <w:tcPr>
            <w:tcW w:w="2700" w:type="dxa"/>
            <w:vAlign w:val="bottom"/>
            <w:tcBorders>
              <w:top w:val="single" w:sz="8" w:color="auto"/>
              <w:right w:val="single" w:sz="8" w:color="auto"/>
            </w:tcBorders>
            <w:gridSpan w:val="2"/>
          </w:tcPr>
          <w:p>
            <w:pPr>
              <w:spacing w:after="0" w:line="175" w:lineRule="exact"/>
              <w:rPr>
                <w:sz w:val="20"/>
                <w:szCs w:val="20"/>
                <w:color w:val="auto"/>
              </w:rPr>
            </w:pPr>
            <w:r>
              <w:rPr>
                <w:rFonts w:ascii="Calibri" w:cs="Calibri" w:eastAsia="Calibri" w:hAnsi="Calibri"/>
                <w:sz w:val="18"/>
                <w:szCs w:val="18"/>
                <w:b w:val="1"/>
                <w:bCs w:val="1"/>
                <w:color w:val="auto"/>
              </w:rPr>
              <w:t>Primary Purpose</w:t>
            </w: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r>
      <w:tr>
        <w:trPr>
          <w:trHeight w:val="456"/>
        </w:trPr>
        <w:tc>
          <w:tcPr>
            <w:tcW w:w="1860" w:type="dxa"/>
            <w:vAlign w:val="bottom"/>
            <w:tcBorders>
              <w:left w:val="single" w:sz="8" w:color="auto"/>
            </w:tcBorders>
            <w:gridSpan w:val="3"/>
          </w:tcPr>
          <w:p>
            <w:pPr>
              <w:ind w:left="40"/>
              <w:spacing w:after="0"/>
              <w:rPr>
                <w:sz w:val="20"/>
                <w:szCs w:val="20"/>
                <w:color w:val="auto"/>
              </w:rPr>
            </w:pPr>
            <w:r>
              <w:rPr>
                <w:rFonts w:ascii="Calibri" w:cs="Calibri" w:eastAsia="Calibri" w:hAnsi="Calibri"/>
                <w:sz w:val="18"/>
                <w:szCs w:val="18"/>
                <w:color w:val="auto"/>
              </w:rPr>
              <w:t>Base salary</w:t>
            </w:r>
          </w:p>
        </w:tc>
        <w:tc>
          <w:tcPr>
            <w:tcW w:w="5080" w:type="dxa"/>
            <w:vAlign w:val="bottom"/>
            <w:gridSpan w:val="3"/>
          </w:tcPr>
          <w:p>
            <w:pPr>
              <w:ind w:left="280"/>
              <w:spacing w:after="0"/>
              <w:rPr>
                <w:sz w:val="20"/>
                <w:szCs w:val="20"/>
                <w:color w:val="auto"/>
              </w:rPr>
            </w:pPr>
            <w:r>
              <w:rPr>
                <w:rFonts w:ascii="Calibri" w:cs="Calibri" w:eastAsia="Calibri" w:hAnsi="Calibri"/>
                <w:sz w:val="18"/>
                <w:szCs w:val="18"/>
                <w:color w:val="auto"/>
              </w:rPr>
              <w:t>Fixed compensaton that is reviewed annually</w:t>
            </w:r>
          </w:p>
        </w:tc>
        <w:tc>
          <w:tcPr>
            <w:tcW w:w="4300" w:type="dxa"/>
            <w:vAlign w:val="bottom"/>
            <w:tcBorders>
              <w:right w:val="single" w:sz="8" w:color="auto"/>
            </w:tcBorders>
            <w:gridSpan w:val="3"/>
          </w:tcPr>
          <w:p>
            <w:pPr>
              <w:ind w:left="140"/>
              <w:spacing w:after="0"/>
              <w:rPr>
                <w:sz w:val="20"/>
                <w:szCs w:val="20"/>
                <w:color w:val="auto"/>
              </w:rPr>
            </w:pPr>
            <w:r>
              <w:rPr>
                <w:rFonts w:ascii="Calibri" w:cs="Calibri" w:eastAsia="Calibri" w:hAnsi="Calibri"/>
                <w:sz w:val="18"/>
                <w:szCs w:val="18"/>
                <w:color w:val="auto"/>
              </w:rPr>
              <w:t>To atract and retain executves by providing a market-</w:t>
            </w:r>
          </w:p>
        </w:tc>
      </w:tr>
      <w:tr>
        <w:trPr>
          <w:trHeight w:val="216"/>
        </w:trPr>
        <w:tc>
          <w:tcPr>
            <w:tcW w:w="66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300" w:type="dxa"/>
            <w:vAlign w:val="bottom"/>
            <w:tcBorders>
              <w:right w:val="single" w:sz="8" w:color="auto"/>
            </w:tcBorders>
            <w:gridSpan w:val="3"/>
          </w:tcPr>
          <w:p>
            <w:pPr>
              <w:ind w:left="140"/>
              <w:spacing w:after="0" w:line="216" w:lineRule="exact"/>
              <w:rPr>
                <w:sz w:val="20"/>
                <w:szCs w:val="20"/>
                <w:color w:val="auto"/>
              </w:rPr>
            </w:pPr>
            <w:r>
              <w:rPr>
                <w:rFonts w:ascii="Calibri" w:cs="Calibri" w:eastAsia="Calibri" w:hAnsi="Calibri"/>
                <w:sz w:val="18"/>
                <w:szCs w:val="18"/>
                <w:color w:val="auto"/>
              </w:rPr>
              <w:t>compettve level of fxed compensaton</w:t>
            </w:r>
          </w:p>
        </w:tc>
      </w:tr>
      <w:tr>
        <w:trPr>
          <w:trHeight w:val="445"/>
        </w:trPr>
        <w:tc>
          <w:tcPr>
            <w:tcW w:w="1860" w:type="dxa"/>
            <w:vAlign w:val="bottom"/>
            <w:tcBorders>
              <w:left w:val="single" w:sz="8" w:color="auto"/>
            </w:tcBorders>
            <w:gridSpan w:val="3"/>
          </w:tcPr>
          <w:p>
            <w:pPr>
              <w:ind w:left="40"/>
              <w:spacing w:after="0"/>
              <w:rPr>
                <w:sz w:val="20"/>
                <w:szCs w:val="20"/>
                <w:color w:val="auto"/>
              </w:rPr>
            </w:pPr>
            <w:r>
              <w:rPr>
                <w:rFonts w:ascii="Calibri" w:cs="Calibri" w:eastAsia="Calibri" w:hAnsi="Calibri"/>
                <w:sz w:val="18"/>
                <w:szCs w:val="18"/>
                <w:color w:val="auto"/>
              </w:rPr>
              <w:t>Annual cash incentve</w:t>
            </w:r>
          </w:p>
        </w:tc>
        <w:tc>
          <w:tcPr>
            <w:tcW w:w="5080" w:type="dxa"/>
            <w:vAlign w:val="bottom"/>
            <w:gridSpan w:val="3"/>
          </w:tcPr>
          <w:p>
            <w:pPr>
              <w:ind w:left="280"/>
              <w:spacing w:after="0"/>
              <w:rPr>
                <w:sz w:val="20"/>
                <w:szCs w:val="20"/>
                <w:color w:val="auto"/>
              </w:rPr>
            </w:pPr>
            <w:r>
              <w:rPr>
                <w:rFonts w:ascii="Calibri" w:cs="Calibri" w:eastAsia="Calibri" w:hAnsi="Calibri"/>
                <w:sz w:val="18"/>
                <w:szCs w:val="18"/>
                <w:color w:val="auto"/>
              </w:rPr>
              <w:t>Variable compensaton component payable from pool funded by</w:t>
            </w:r>
          </w:p>
        </w:tc>
        <w:tc>
          <w:tcPr>
            <w:tcW w:w="4300" w:type="dxa"/>
            <w:vAlign w:val="bottom"/>
            <w:tcBorders>
              <w:right w:val="single" w:sz="8" w:color="auto"/>
            </w:tcBorders>
            <w:gridSpan w:val="3"/>
          </w:tcPr>
          <w:p>
            <w:pPr>
              <w:ind w:left="140"/>
              <w:spacing w:after="0"/>
              <w:rPr>
                <w:sz w:val="20"/>
                <w:szCs w:val="20"/>
                <w:color w:val="auto"/>
              </w:rPr>
            </w:pPr>
            <w:r>
              <w:rPr>
                <w:rFonts w:ascii="Calibri" w:cs="Calibri" w:eastAsia="Calibri" w:hAnsi="Calibri"/>
                <w:sz w:val="18"/>
                <w:szCs w:val="18"/>
                <w:color w:val="auto"/>
              </w:rPr>
              <w:t>To motvate and reward organizatonal and individual</w:t>
            </w:r>
          </w:p>
        </w:tc>
      </w:tr>
      <w:tr>
        <w:trPr>
          <w:trHeight w:val="216"/>
        </w:trPr>
        <w:tc>
          <w:tcPr>
            <w:tcW w:w="1860" w:type="dxa"/>
            <w:vAlign w:val="bottom"/>
            <w:tcBorders>
              <w:left w:val="single" w:sz="8" w:color="auto"/>
            </w:tcBorders>
            <w:gridSpan w:val="3"/>
          </w:tcPr>
          <w:p>
            <w:pPr>
              <w:ind w:left="40"/>
              <w:spacing w:after="0" w:line="216" w:lineRule="exact"/>
              <w:rPr>
                <w:sz w:val="20"/>
                <w:szCs w:val="20"/>
                <w:color w:val="auto"/>
              </w:rPr>
            </w:pPr>
            <w:r>
              <w:rPr>
                <w:rFonts w:ascii="Calibri" w:cs="Calibri" w:eastAsia="Calibri" w:hAnsi="Calibri"/>
                <w:sz w:val="18"/>
                <w:szCs w:val="18"/>
                <w:color w:val="auto"/>
              </w:rPr>
              <w:t>award</w:t>
            </w:r>
          </w:p>
        </w:tc>
        <w:tc>
          <w:tcPr>
            <w:tcW w:w="5080" w:type="dxa"/>
            <w:vAlign w:val="bottom"/>
            <w:gridSpan w:val="3"/>
          </w:tcPr>
          <w:p>
            <w:pPr>
              <w:ind w:left="280"/>
              <w:spacing w:after="0" w:line="216" w:lineRule="exact"/>
              <w:rPr>
                <w:sz w:val="20"/>
                <w:szCs w:val="20"/>
                <w:color w:val="auto"/>
              </w:rPr>
            </w:pPr>
            <w:r>
              <w:rPr>
                <w:rFonts w:ascii="Calibri" w:cs="Calibri" w:eastAsia="Calibri" w:hAnsi="Calibri"/>
                <w:sz w:val="18"/>
                <w:szCs w:val="18"/>
                <w:color w:val="auto"/>
              </w:rPr>
              <w:t>operatng earnings or EBITDA and further subject to the</w:t>
            </w:r>
          </w:p>
        </w:tc>
        <w:tc>
          <w:tcPr>
            <w:tcW w:w="4300" w:type="dxa"/>
            <w:vAlign w:val="bottom"/>
            <w:tcBorders>
              <w:right w:val="single" w:sz="8" w:color="auto"/>
            </w:tcBorders>
            <w:gridSpan w:val="3"/>
          </w:tcPr>
          <w:p>
            <w:pPr>
              <w:ind w:left="140"/>
              <w:spacing w:after="0" w:line="216" w:lineRule="exact"/>
              <w:rPr>
                <w:sz w:val="20"/>
                <w:szCs w:val="20"/>
                <w:color w:val="auto"/>
              </w:rPr>
            </w:pPr>
            <w:r>
              <w:rPr>
                <w:rFonts w:ascii="Calibri" w:cs="Calibri" w:eastAsia="Calibri" w:hAnsi="Calibri"/>
                <w:sz w:val="18"/>
                <w:szCs w:val="18"/>
                <w:color w:val="auto"/>
              </w:rPr>
              <w:t>achievement of objectves</w:t>
            </w:r>
          </w:p>
        </w:tc>
      </w:tr>
      <w:tr>
        <w:trPr>
          <w:trHeight w:val="216"/>
        </w:trPr>
        <w:tc>
          <w:tcPr>
            <w:tcW w:w="66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80" w:type="dxa"/>
            <w:vAlign w:val="bottom"/>
            <w:gridSpan w:val="3"/>
          </w:tcPr>
          <w:p>
            <w:pPr>
              <w:ind w:left="280"/>
              <w:spacing w:after="0" w:line="216" w:lineRule="exact"/>
              <w:rPr>
                <w:sz w:val="20"/>
                <w:szCs w:val="20"/>
                <w:color w:val="auto"/>
              </w:rPr>
            </w:pPr>
            <w:r>
              <w:rPr>
                <w:rFonts w:ascii="Calibri" w:cs="Calibri" w:eastAsia="Calibri" w:hAnsi="Calibri"/>
                <w:sz w:val="18"/>
                <w:szCs w:val="18"/>
                <w:color w:val="auto"/>
              </w:rPr>
              <w:t>achievement of personal performance goals</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445"/>
        </w:trPr>
        <w:tc>
          <w:tcPr>
            <w:tcW w:w="1860" w:type="dxa"/>
            <w:vAlign w:val="bottom"/>
            <w:tcBorders>
              <w:left w:val="single" w:sz="8" w:color="auto"/>
            </w:tcBorders>
            <w:gridSpan w:val="3"/>
          </w:tcPr>
          <w:p>
            <w:pPr>
              <w:ind w:left="40"/>
              <w:spacing w:after="0"/>
              <w:rPr>
                <w:sz w:val="20"/>
                <w:szCs w:val="20"/>
                <w:color w:val="auto"/>
              </w:rPr>
            </w:pPr>
            <w:r>
              <w:rPr>
                <w:rFonts w:ascii="Calibri" w:cs="Calibri" w:eastAsia="Calibri" w:hAnsi="Calibri"/>
                <w:sz w:val="18"/>
                <w:szCs w:val="18"/>
                <w:color w:val="auto"/>
              </w:rPr>
              <w:t>Long-term incentve</w:t>
            </w:r>
          </w:p>
        </w:tc>
        <w:tc>
          <w:tcPr>
            <w:tcW w:w="5080" w:type="dxa"/>
            <w:vAlign w:val="bottom"/>
            <w:gridSpan w:val="3"/>
          </w:tcPr>
          <w:p>
            <w:pPr>
              <w:ind w:left="280"/>
              <w:spacing w:after="0"/>
              <w:rPr>
                <w:sz w:val="20"/>
                <w:szCs w:val="20"/>
                <w:color w:val="auto"/>
              </w:rPr>
            </w:pPr>
            <w:r>
              <w:rPr>
                <w:rFonts w:ascii="Calibri" w:cs="Calibri" w:eastAsia="Calibri" w:hAnsi="Calibri"/>
                <w:sz w:val="18"/>
                <w:szCs w:val="18"/>
                <w:color w:val="auto"/>
              </w:rPr>
              <w:t>Variable compensaton component, with half of grant value</w:t>
            </w:r>
          </w:p>
        </w:tc>
        <w:tc>
          <w:tcPr>
            <w:tcW w:w="4300" w:type="dxa"/>
            <w:vAlign w:val="bottom"/>
            <w:tcBorders>
              <w:right w:val="single" w:sz="8" w:color="auto"/>
            </w:tcBorders>
            <w:gridSpan w:val="3"/>
          </w:tcPr>
          <w:p>
            <w:pPr>
              <w:ind w:left="140"/>
              <w:spacing w:after="0"/>
              <w:rPr>
                <w:sz w:val="20"/>
                <w:szCs w:val="20"/>
                <w:color w:val="auto"/>
              </w:rPr>
            </w:pPr>
            <w:r>
              <w:rPr>
                <w:rFonts w:ascii="Calibri" w:cs="Calibri" w:eastAsia="Calibri" w:hAnsi="Calibri"/>
                <w:sz w:val="18"/>
                <w:szCs w:val="18"/>
                <w:color w:val="auto"/>
                <w:w w:val="97"/>
              </w:rPr>
              <w:t>To align executves with stockholder interests, to reinforce</w:t>
            </w:r>
          </w:p>
        </w:tc>
      </w:tr>
      <w:tr>
        <w:trPr>
          <w:trHeight w:val="216"/>
        </w:trPr>
        <w:tc>
          <w:tcPr>
            <w:tcW w:w="1860" w:type="dxa"/>
            <w:vAlign w:val="bottom"/>
            <w:tcBorders>
              <w:left w:val="single" w:sz="8" w:color="auto"/>
            </w:tcBorders>
            <w:gridSpan w:val="3"/>
          </w:tcPr>
          <w:p>
            <w:pPr>
              <w:ind w:left="40"/>
              <w:spacing w:after="0" w:line="216" w:lineRule="exact"/>
              <w:rPr>
                <w:sz w:val="20"/>
                <w:szCs w:val="20"/>
                <w:color w:val="auto"/>
              </w:rPr>
            </w:pPr>
            <w:r>
              <w:rPr>
                <w:rFonts w:ascii="Calibri" w:cs="Calibri" w:eastAsia="Calibri" w:hAnsi="Calibri"/>
                <w:sz w:val="18"/>
                <w:szCs w:val="18"/>
                <w:color w:val="auto"/>
              </w:rPr>
              <w:t>compensaton</w:t>
            </w:r>
          </w:p>
        </w:tc>
        <w:tc>
          <w:tcPr>
            <w:tcW w:w="5080" w:type="dxa"/>
            <w:vAlign w:val="bottom"/>
            <w:gridSpan w:val="3"/>
          </w:tcPr>
          <w:p>
            <w:pPr>
              <w:ind w:left="280"/>
              <w:spacing w:after="0" w:line="216" w:lineRule="exact"/>
              <w:rPr>
                <w:sz w:val="20"/>
                <w:szCs w:val="20"/>
                <w:color w:val="auto"/>
              </w:rPr>
            </w:pPr>
            <w:r>
              <w:rPr>
                <w:rFonts w:ascii="Calibri" w:cs="Calibri" w:eastAsia="Calibri" w:hAnsi="Calibri"/>
                <w:sz w:val="18"/>
                <w:szCs w:val="18"/>
                <w:color w:val="auto"/>
              </w:rPr>
              <w:t>subject to the Company's achievement of a fnancial goal and half</w:t>
            </w:r>
          </w:p>
        </w:tc>
        <w:tc>
          <w:tcPr>
            <w:tcW w:w="4300" w:type="dxa"/>
            <w:vAlign w:val="bottom"/>
            <w:tcBorders>
              <w:right w:val="single" w:sz="8" w:color="auto"/>
            </w:tcBorders>
            <w:gridSpan w:val="3"/>
          </w:tcPr>
          <w:p>
            <w:pPr>
              <w:ind w:left="140"/>
              <w:spacing w:after="0" w:line="216" w:lineRule="exact"/>
              <w:rPr>
                <w:sz w:val="20"/>
                <w:szCs w:val="20"/>
                <w:color w:val="auto"/>
              </w:rPr>
            </w:pPr>
            <w:r>
              <w:rPr>
                <w:rFonts w:ascii="Calibri" w:cs="Calibri" w:eastAsia="Calibri" w:hAnsi="Calibri"/>
                <w:sz w:val="18"/>
                <w:szCs w:val="18"/>
                <w:color w:val="auto"/>
              </w:rPr>
              <w:t>long-term value creaton and to provide a balanced</w:t>
            </w:r>
          </w:p>
        </w:tc>
      </w:tr>
      <w:tr>
        <w:trPr>
          <w:trHeight w:val="216"/>
        </w:trPr>
        <w:tc>
          <w:tcPr>
            <w:tcW w:w="66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80" w:type="dxa"/>
            <w:vAlign w:val="bottom"/>
            <w:gridSpan w:val="3"/>
          </w:tcPr>
          <w:p>
            <w:pPr>
              <w:ind w:left="280"/>
              <w:spacing w:after="0" w:line="216" w:lineRule="exact"/>
              <w:rPr>
                <w:sz w:val="20"/>
                <w:szCs w:val="20"/>
                <w:color w:val="auto"/>
              </w:rPr>
            </w:pPr>
            <w:r>
              <w:rPr>
                <w:rFonts w:ascii="Calibri" w:cs="Calibri" w:eastAsia="Calibri" w:hAnsi="Calibri"/>
                <w:sz w:val="18"/>
                <w:szCs w:val="18"/>
                <w:color w:val="auto"/>
              </w:rPr>
              <w:t>subject to tme-vestng</w:t>
            </w:r>
          </w:p>
        </w:tc>
        <w:tc>
          <w:tcPr>
            <w:tcW w:w="4300" w:type="dxa"/>
            <w:vAlign w:val="bottom"/>
            <w:tcBorders>
              <w:right w:val="single" w:sz="8" w:color="auto"/>
            </w:tcBorders>
            <w:gridSpan w:val="3"/>
          </w:tcPr>
          <w:p>
            <w:pPr>
              <w:ind w:left="140"/>
              <w:spacing w:after="0" w:line="216" w:lineRule="exact"/>
              <w:rPr>
                <w:sz w:val="20"/>
                <w:szCs w:val="20"/>
                <w:color w:val="auto"/>
              </w:rPr>
            </w:pPr>
            <w:r>
              <w:rPr>
                <w:rFonts w:ascii="Calibri" w:cs="Calibri" w:eastAsia="Calibri" w:hAnsi="Calibri"/>
                <w:sz w:val="18"/>
                <w:szCs w:val="18"/>
                <w:color w:val="auto"/>
              </w:rPr>
              <w:t>portolio of long-term incentve opportunites</w:t>
            </w:r>
          </w:p>
        </w:tc>
      </w:tr>
      <w:tr>
        <w:trPr>
          <w:trHeight w:val="37"/>
        </w:trPr>
        <w:tc>
          <w:tcPr>
            <w:tcW w:w="66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Base Salary</w:t>
      </w:r>
    </w:p>
    <w:p>
      <w:pPr>
        <w:spacing w:after="0" w:line="109" w:lineRule="exact"/>
        <w:rPr>
          <w:sz w:val="20"/>
          <w:szCs w:val="20"/>
          <w:color w:val="auto"/>
        </w:rPr>
      </w:pPr>
    </w:p>
    <w:p>
      <w:pPr>
        <w:ind w:right="520" w:firstLine="749"/>
        <w:spacing w:after="0" w:line="235" w:lineRule="auto"/>
        <w:rPr>
          <w:sz w:val="20"/>
          <w:szCs w:val="20"/>
          <w:color w:val="auto"/>
        </w:rPr>
      </w:pPr>
      <w:r>
        <w:rPr>
          <w:rFonts w:ascii="Calibri" w:cs="Calibri" w:eastAsia="Calibri" w:hAnsi="Calibri"/>
          <w:sz w:val="18"/>
          <w:szCs w:val="18"/>
          <w:color w:val="auto"/>
        </w:rPr>
        <w:t>Salaries of the Named Executve Ofcers are reviewed annually as well as at the tme of a promoton or signifcant change in responsibilites. Consideratons that may infuence the salary level for a Named Executve Ofcer include individual performance, the Named</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43" w:name="page44"/>
    <w:bookmarkEnd w:id="43"/>
    <w:p>
      <w:pPr>
        <w:ind w:right="80"/>
        <w:spacing w:after="0" w:line="235" w:lineRule="auto"/>
        <w:rPr>
          <w:sz w:val="20"/>
          <w:szCs w:val="20"/>
          <w:color w:val="auto"/>
        </w:rPr>
      </w:pPr>
      <w:r>
        <w:rPr>
          <w:rFonts w:ascii="Calibri" w:cs="Calibri" w:eastAsia="Calibri" w:hAnsi="Calibri"/>
          <w:sz w:val="18"/>
          <w:szCs w:val="18"/>
          <w:color w:val="auto"/>
        </w:rPr>
        <w:t>Executve Ofcer’s skills or experience, the Meridian compensaton study, our operatng performance and the nature and responsibilites of the positon. The fscal 2024 base salary rates for the Named Executve Ofcers were efectve April 1, 2023 as follows:</w:t>
      </w:r>
    </w:p>
    <w:p>
      <w:pPr>
        <w:spacing w:after="0" w:line="34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8"/>
              </w:rPr>
              <w:t>Percent</w:t>
            </w:r>
          </w:p>
        </w:tc>
      </w:tr>
      <w:tr>
        <w:trPr>
          <w:trHeight w:val="175"/>
        </w:trPr>
        <w:tc>
          <w:tcPr>
            <w:tcW w:w="3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Increase</w:t>
            </w:r>
          </w:p>
        </w:tc>
      </w:tr>
      <w:tr>
        <w:trPr>
          <w:trHeight w:val="176"/>
        </w:trPr>
        <w:tc>
          <w:tcPr>
            <w:tcW w:w="3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60" w:type="dxa"/>
            <w:vAlign w:val="bottom"/>
          </w:tcPr>
          <w:p>
            <w:pPr>
              <w:jc w:val="right"/>
              <w:ind w:right="294"/>
              <w:spacing w:after="0"/>
              <w:rPr>
                <w:sz w:val="20"/>
                <w:szCs w:val="20"/>
                <w:color w:val="auto"/>
              </w:rPr>
            </w:pPr>
            <w:r>
              <w:rPr>
                <w:rFonts w:ascii="Calibri" w:cs="Calibri" w:eastAsia="Calibri" w:hAnsi="Calibri"/>
                <w:sz w:val="14"/>
                <w:szCs w:val="14"/>
                <w:b w:val="1"/>
                <w:bCs w:val="1"/>
                <w:color w:val="auto"/>
              </w:rPr>
              <w:t>Base</w:t>
            </w:r>
          </w:p>
        </w:tc>
        <w:tc>
          <w:tcPr>
            <w:tcW w:w="180" w:type="dxa"/>
            <w:vAlign w:val="bottom"/>
          </w:tcPr>
          <w:p>
            <w:pPr>
              <w:spacing w:after="0"/>
              <w:rPr>
                <w:sz w:val="15"/>
                <w:szCs w:val="15"/>
                <w:color w:val="auto"/>
              </w:rPr>
            </w:pPr>
          </w:p>
        </w:tc>
        <w:tc>
          <w:tcPr>
            <w:tcW w:w="110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from Prior</w:t>
            </w:r>
          </w:p>
        </w:tc>
      </w:tr>
      <w:tr>
        <w:trPr>
          <w:trHeight w:val="168"/>
        </w:trPr>
        <w:tc>
          <w:tcPr>
            <w:tcW w:w="4400" w:type="dxa"/>
            <w:vAlign w:val="bottom"/>
            <w:gridSpan w:val="2"/>
          </w:tcPr>
          <w:p>
            <w:pPr>
              <w:spacing w:after="0" w:line="169" w:lineRule="exact"/>
              <w:rPr>
                <w:sz w:val="20"/>
                <w:szCs w:val="20"/>
                <w:color w:val="auto"/>
              </w:rPr>
            </w:pPr>
            <w:r>
              <w:rPr>
                <w:rFonts w:ascii="Calibri" w:cs="Calibri" w:eastAsia="Calibri" w:hAnsi="Calibri"/>
                <w:sz w:val="14"/>
                <w:szCs w:val="14"/>
                <w:b w:val="1"/>
                <w:bCs w:val="1"/>
                <w:color w:val="auto"/>
              </w:rPr>
              <w:t>Name</w:t>
            </w:r>
          </w:p>
        </w:tc>
        <w:tc>
          <w:tcPr>
            <w:tcW w:w="1060" w:type="dxa"/>
            <w:vAlign w:val="bottom"/>
          </w:tcPr>
          <w:p>
            <w:pPr>
              <w:jc w:val="right"/>
              <w:ind w:right="134"/>
              <w:spacing w:after="0" w:line="169" w:lineRule="exact"/>
              <w:rPr>
                <w:sz w:val="20"/>
                <w:szCs w:val="20"/>
                <w:color w:val="auto"/>
              </w:rPr>
            </w:pPr>
            <w:r>
              <w:rPr>
                <w:rFonts w:ascii="Calibri" w:cs="Calibri" w:eastAsia="Calibri" w:hAnsi="Calibri"/>
                <w:sz w:val="14"/>
                <w:szCs w:val="14"/>
                <w:b w:val="1"/>
                <w:bCs w:val="1"/>
                <w:color w:val="auto"/>
              </w:rPr>
              <w:t>Salary  ($)</w:t>
            </w:r>
          </w:p>
        </w:tc>
        <w:tc>
          <w:tcPr>
            <w:tcW w:w="180" w:type="dxa"/>
            <w:vAlign w:val="bottom"/>
          </w:tcPr>
          <w:p>
            <w:pPr>
              <w:spacing w:after="0"/>
              <w:rPr>
                <w:sz w:val="14"/>
                <w:szCs w:val="14"/>
                <w:color w:val="auto"/>
              </w:rPr>
            </w:pPr>
          </w:p>
        </w:tc>
        <w:tc>
          <w:tcPr>
            <w:tcW w:w="1100" w:type="dxa"/>
            <w:vAlign w:val="bottom"/>
            <w:gridSpan w:val="2"/>
          </w:tcPr>
          <w:p>
            <w:pPr>
              <w:jc w:val="center"/>
              <w:ind w:right="80"/>
              <w:spacing w:after="0" w:line="169" w:lineRule="exact"/>
              <w:rPr>
                <w:sz w:val="20"/>
                <w:szCs w:val="20"/>
                <w:color w:val="auto"/>
              </w:rPr>
            </w:pPr>
            <w:r>
              <w:rPr>
                <w:rFonts w:ascii="Calibri" w:cs="Calibri" w:eastAsia="Calibri" w:hAnsi="Calibri"/>
                <w:sz w:val="14"/>
                <w:szCs w:val="14"/>
                <w:b w:val="1"/>
                <w:bCs w:val="1"/>
                <w:color w:val="auto"/>
                <w:w w:val="99"/>
              </w:rPr>
              <w:t>Year</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40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Michael R. Haack</w:t>
            </w:r>
          </w:p>
        </w:tc>
        <w:tc>
          <w:tcPr>
            <w:tcW w:w="10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1,040,000</w:t>
            </w:r>
          </w:p>
        </w:tc>
        <w:tc>
          <w:tcPr>
            <w:tcW w:w="122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5"/>
        </w:trPr>
        <w:tc>
          <w:tcPr>
            <w:tcW w:w="4400" w:type="dxa"/>
            <w:vAlign w:val="bottom"/>
            <w:gridSpan w:val="2"/>
          </w:tcPr>
          <w:p>
            <w:pPr>
              <w:spacing w:after="0" w:line="215" w:lineRule="exact"/>
              <w:rPr>
                <w:sz w:val="20"/>
                <w:szCs w:val="20"/>
                <w:color w:val="auto"/>
              </w:rPr>
            </w:pPr>
            <w:r>
              <w:rPr>
                <w:rFonts w:ascii="Calibri" w:cs="Calibri" w:eastAsia="Calibri" w:hAnsi="Calibri"/>
                <w:sz w:val="18"/>
                <w:szCs w:val="18"/>
                <w:color w:val="auto"/>
              </w:rPr>
              <w:t>D. Craig Kesler</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590,000</w:t>
            </w:r>
          </w:p>
        </w:tc>
        <w:tc>
          <w:tcPr>
            <w:tcW w:w="12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14.6</w:t>
            </w:r>
          </w:p>
        </w:tc>
        <w:tc>
          <w:tcPr>
            <w:tcW w:w="60" w:type="dxa"/>
            <w:vAlign w:val="bottom"/>
          </w:tcPr>
          <w:p>
            <w:pPr>
              <w:spacing w:after="0"/>
              <w:rPr>
                <w:sz w:val="18"/>
                <w:szCs w:val="18"/>
                <w:color w:val="auto"/>
              </w:rPr>
            </w:pPr>
          </w:p>
        </w:tc>
      </w:tr>
      <w:tr>
        <w:trPr>
          <w:trHeight w:val="28"/>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440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Mat Newby</w:t>
            </w: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475,000</w:t>
            </w:r>
          </w:p>
        </w:tc>
        <w:tc>
          <w:tcPr>
            <w:tcW w:w="12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15"/>
        </w:trPr>
        <w:tc>
          <w:tcPr>
            <w:tcW w:w="4400" w:type="dxa"/>
            <w:vAlign w:val="bottom"/>
            <w:gridSpan w:val="2"/>
          </w:tcPr>
          <w:p>
            <w:pPr>
              <w:spacing w:after="0" w:line="215" w:lineRule="exact"/>
              <w:rPr>
                <w:sz w:val="20"/>
                <w:szCs w:val="20"/>
                <w:color w:val="auto"/>
              </w:rPr>
            </w:pPr>
            <w:r>
              <w:rPr>
                <w:rFonts w:ascii="Calibri" w:cs="Calibri" w:eastAsia="Calibri" w:hAnsi="Calibri"/>
                <w:sz w:val="18"/>
                <w:szCs w:val="18"/>
                <w:color w:val="auto"/>
              </w:rPr>
              <w:t>Eric Cribbs</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346,286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440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Tony Thompson</w:t>
            </w: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323,912</w:t>
            </w:r>
          </w:p>
        </w:tc>
        <w:tc>
          <w:tcPr>
            <w:tcW w:w="12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15"/>
        </w:trPr>
        <w:tc>
          <w:tcPr>
            <w:tcW w:w="4400" w:type="dxa"/>
            <w:vAlign w:val="bottom"/>
            <w:gridSpan w:val="2"/>
          </w:tcPr>
          <w:p>
            <w:pPr>
              <w:spacing w:after="0" w:line="215" w:lineRule="exact"/>
              <w:rPr>
                <w:sz w:val="20"/>
                <w:szCs w:val="20"/>
                <w:color w:val="auto"/>
              </w:rPr>
            </w:pPr>
            <w:r>
              <w:rPr>
                <w:rFonts w:ascii="Calibri" w:cs="Calibri" w:eastAsia="Calibri" w:hAnsi="Calibri"/>
                <w:sz w:val="18"/>
                <w:szCs w:val="18"/>
                <w:color w:val="auto"/>
              </w:rPr>
              <w:t>Robert S. Stewart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494,833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4400" w:type="dxa"/>
            <w:vAlign w:val="bottom"/>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Steven L. Wentzel</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350,100</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360" w:type="dxa"/>
            <w:vAlign w:val="bottom"/>
            <w:shd w:val="clear" w:color="auto" w:fill="CFF0FC"/>
          </w:tcPr>
          <w:p>
            <w:pPr>
              <w:spacing w:after="0"/>
              <w:rPr>
                <w:sz w:val="2"/>
                <w:szCs w:val="2"/>
                <w:color w:val="auto"/>
              </w:rPr>
            </w:pPr>
          </w:p>
        </w:tc>
        <w:tc>
          <w:tcPr>
            <w:tcW w:w="40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Annual Cash Incentve Award</w:t>
      </w:r>
    </w:p>
    <w:p>
      <w:pPr>
        <w:spacing w:after="0" w:line="10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The Compensaton Commitee is responsible for approving the annual cash incentve award for our CEO and the other Named Executve Ofcers. Messrs. Stewart and Wentzel retred early in the fscal year, and they did not partcipate in any annual cash incentve award programs for the year. Annual cash incentve awards paid to our contnuing Named Executve Ofcers for fscal 2024 (other than Messrs. Cribbs and Thompson) were made under the Eagle Materials Inc. Salaried Incentve Compensaton Program for Fiscal Year 2024 (the “Eagle Annual Incentve Program”). The Eagle Annual Incentve Program and the Company’s other incentve programs for fscal 2024 were structured to create fnancial incentves and rewards that are directly related to corporate performance and the partcipatng Named Executve Ofcer’s individual performance during the fscal year.</w:t>
      </w:r>
    </w:p>
    <w:p>
      <w:pPr>
        <w:spacing w:after="0" w:line="221"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Compensaton Commitee believes these programs are consistent with our pay-for-performance compensaton philosophy in that they place a signifcant porton of the executve’s compensaton “at risk.” Generally, under these programs, a signifcant porton of the executve’s total compensaton is dependent upon the performance of the Company as well as the individual’s performance. The Company’s annual cash incentve award programs also refect the Compensaton Commitee’s philosophy of aligning the interests of our executves with those of the stockholders. These programs create this alignment by providing that an ofcer’s annual cash incentve award potental varies directly with operatng earnings (Eagle program) or EBITDA (divisional programs). In additon, individual performance and achievement of goals (as discussed in more detail below under “Approving the Annual Cash Incentve Award”) may afect the actual cash incentve award amount through the exercise of “negatve discreton.” The Compensaton Commitee believes that operatng earnings or EBITDA is an appropriate metric for annual cash incentve awards because it is ted closely to operatons, can be directly impacted by the eforts of the pool partcipants, and is a measure that our stockholders have indicated they track and value.</w:t>
      </w:r>
    </w:p>
    <w:p>
      <w:pPr>
        <w:spacing w:after="0" w:line="327"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Eagle Annual Incentve Program</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For fscal 2024, Messrs. Haack, Kesler and Newby (whose dutes extend across all of the Company's business units) were partcipants in the Eagle Annual Incentve Program. Under this program, during the frst quarter of the fscal year, a percentage of our operatng earnings is designated by the Compensaton Commitee as a pool for annual cash incentve awards, and each partcipatng Named Executve Ofcer is assigned a share of such pool, representng the executve’s maximum award opportunity. At the end of the fscal year, the size of the pool is determined, based on the amount of operatng earnings generated during such fscal year, and annual cash incentve awards are paid to each partcipatng executve in the form of a lump sum cash payment refectng each executve’s share of the pool, subject to the exercise of “negatve discreton” by the Compensaton Commitee to reduce (but not increase) the amount of the cash payment based on the executve’s individual performance during the fscal year. The amount of the annual cash incentve award paid to an executve is based on the level of our operatng earnings, the share of the pool designated for such executve, and an assessment of such executve’s individual performance.</w:t>
      </w:r>
    </w:p>
    <w:p>
      <w:pPr>
        <w:spacing w:after="0" w:line="224"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The Eagle Annual Incentve Program for Fiscal 2024 was adopted by the Compensaton Commitee in May 2023 and it mirrored the structure of the fscal 2023 program, except for the following limitatons, which were included following a comprehensive review of the Company’s compensaton programs during the course of the previous fscal year and taking into consideraton stockholder feedback: the fscal 2024 program (i) provides for threshold fnancial performance against budget and (ii) contains an individual cap on award payments. If the Company’s operatng earnings for fscal 2024 were less than 50% of budget, no funds would be available for the corporate annual cash incentve award pool. None of the partcipants in the program (including Messrs. Haack, Kesler and Newby) would be able to receive an</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4" w:name="page45"/>
    <w:bookmarkEnd w:id="44"/>
    <w:p>
      <w:pPr>
        <w:ind w:right="100"/>
        <w:spacing w:after="0" w:line="235" w:lineRule="auto"/>
        <w:rPr>
          <w:sz w:val="20"/>
          <w:szCs w:val="20"/>
          <w:color w:val="auto"/>
        </w:rPr>
      </w:pPr>
      <w:r>
        <w:rPr>
          <w:rFonts w:ascii="Calibri" w:cs="Calibri" w:eastAsia="Calibri" w:hAnsi="Calibri"/>
          <w:sz w:val="18"/>
          <w:szCs w:val="18"/>
          <w:color w:val="auto"/>
        </w:rPr>
        <w:t>award under the program in excess of three tmes (3X) such partcipant’s annual base salary. Similar to the fscal 2023 Eagle Annual Incentve Program, the fscal 2024 program was to be funded with 1.2% of the Company’s operatng earnings. In setng the percentage of operatng earnings which would fund the pool for the Eagle Annual Incentve Program, the Compensaton Commitee considered several factors, including our compensaton philosophy that a signifcant porton of the executve’s compensaton should be “at risk” and subject to the Company’s success (level of operatng earnings), as well as the antcipated operatng earnings for fscal 2024.</w:t>
      </w:r>
    </w:p>
    <w:p>
      <w:pPr>
        <w:spacing w:after="0" w:line="220"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In allocatng each Named Executve Ofcer’s opportunity under the pool, the Compensaton Commitee considered the amount of annual cash incentve award compensaton opportunites of executves in other companies who fulfll similar roles as illustrated in the compensaton study prepared by Meridian, the share of the pool historically allocated to ofcers in such roles by the Company, the recommendaton of Mr. Haack for each partcipant (other than himself), as well as the Compensaton Commitee’s assessment of the executve’s importance and contributon to the organizaton, the executve’s importance in driving the achievement of Company goals and proftability, the executve’s level of responsibility, and the antcipated operatng earnings for fscal 2024. The percentage of the fscal 2024 award pool available for payment of the annual cash incentve award to the Named Executve Ofcers partcipatng in the pool was set as follows: Mr. Haack, 28.0%; Mr. Kesler, 13.5%; and Mr. Newby, 7.5% (in each case subject to the limitatons in the Program related to threshold fnancial performance and individual caps).</w:t>
      </w:r>
    </w:p>
    <w:p>
      <w:pPr>
        <w:spacing w:after="0" w:line="223"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At the beginning of fscal 2024, the Compensaton Commitee developed annual incentve goals and objectves for Mr. Haack. Fify percent of such goals were objectve, 10% related to ataining budgeted earnings and 40% were discretonary. Mr. Haack then developed goals and objectves for the other ofcers partcipatng in the Eagle Annual Incentve Program, with a similar distributon among objectve, budget and discretonary goals and objectves. The partcipants’ individual performance against these goals would be evaluated by the Commitee in the exercise of “negatve discreton” to reduce (but not increase) the amount of the porton of the pool that would be paid to the partcipant at the end of the fscal year.</w:t>
      </w:r>
    </w:p>
    <w:p>
      <w:pPr>
        <w:spacing w:after="0" w:line="220"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The Eagle Annual Incentve Program pool was not quantfable untl the end of fscal 2024, at which tme the Compensaton Commitee determined that due to the Company's fscal 2024 operatng earnings of $660,194,452, the aggregate amount available for the Eagle Annual Incentve Program pool for fscal 2024 was $7,922,333 (a maximum of $3,881,943 of which could be paid out to Named Executve Ofcers). For comparison purposes, the equivalent pool amount in fscal 2023 was $7,485,172 (a maximum of $5,015,066 of which could be paid out to that year's Named Executve Ofcers).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Divisional Annual Incentve Program</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For certain employees who do not partcipate in the Eagle Annual Incentve Program, the Company maintains divisional annual incentve plans, which the Compensaton Commitee believes beter te such employees’ annual incentve compensaton to metrics that they can directly infuence than a Company-wide program. Under these programs, a percentage of a division’s EBITDA is allocated to the award pool and each partcipatng employee is assigned a share of the pool, representng the employee’s maximum award opportunity. At the end of the fscal year, the size of the pool is determined and annual cash incentve awards are paid to partcipatng employees in the form of a lump sum cash payment in accordance with their shares of the pool, subject to the exercise of negatve discreton by our CEO (or, in the case of awards paid to Named Executve Ofcers, the Compensaton Commitee) based on the employee’s individual performance during the fscal year.</w:t>
      </w:r>
    </w:p>
    <w:p>
      <w:pPr>
        <w:spacing w:after="0" w:line="222" w:lineRule="exact"/>
        <w:rPr>
          <w:sz w:val="20"/>
          <w:szCs w:val="20"/>
          <w:color w:val="auto"/>
        </w:rPr>
      </w:pPr>
    </w:p>
    <w:p>
      <w:pPr>
        <w:ind w:right="120" w:firstLine="749"/>
        <w:spacing w:after="0" w:line="235" w:lineRule="auto"/>
        <w:rPr>
          <w:sz w:val="20"/>
          <w:szCs w:val="20"/>
          <w:color w:val="auto"/>
        </w:rPr>
      </w:pPr>
      <w:r>
        <w:rPr>
          <w:rFonts w:ascii="Calibri" w:cs="Calibri" w:eastAsia="Calibri" w:hAnsi="Calibri"/>
          <w:sz w:val="18"/>
          <w:szCs w:val="18"/>
          <w:color w:val="auto"/>
        </w:rPr>
        <w:t>For fscal 2024, each of Messrs. Cribbs and Thompson (whose dutes relate to a partcular business unit) partcipated in a divisional annual cash incentve award program. Mr. Cribbs partcipated in the Eagle Materials Inc. American Gypsum Company Salaried Incentve Compensaton Program for Fiscal Year 2024 (the "American Gypsum Annual Incentve Program"), and Mr. Thompson partcipated in the Eagle Materials Inc. Cement Companies Salaried Incentve Compensaton Program for Fiscal Year 2024 (the "Cement Annual Incentve Program"). The fscal 2024 plans were adopted by the Compensaton Commitee in May 2023, and they mirrored the structure of the fscal 2023 programs, except for the following limitatons, which were included following a comprehensive review of the Company’s compensaton programs during the course of the previous fscal year and taking into consideraton stockholder feedback: the fscal 2024 program (i) provides for threshold fnancial performance against budget and (ii) contains an individual cap on award payments. If a division's EBITDA for fscal 2024 was less than 50% of budget, no funds would be available for that divisional award pool. None of the partcipants in the programs (including Messrs. Cribbs and Thompson) would be able to receive an annual cash incentve award in excess of the lesser of (i) two tmes (2X) such partcipant’s annual base salary and (ii) a maximum dollar amount established by the Compensaton Commitee.</w:t>
      </w:r>
    </w:p>
    <w:p>
      <w:pPr>
        <w:spacing w:after="0" w:line="224"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Under these programs, the annual cash incentve award pools were to be funded with 2.0% of the EBITDA of American Gypsum (with respect to the American Gypsum Annual Incentve Program) and 1.9% of the consolidated EBITDA for all of the Company's cement</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ind w:right="40"/>
        <w:spacing w:after="0" w:line="235" w:lineRule="auto"/>
        <w:rPr>
          <w:sz w:val="20"/>
          <w:szCs w:val="20"/>
          <w:color w:val="auto"/>
        </w:rPr>
      </w:pPr>
      <w:r>
        <w:rPr>
          <w:rFonts w:ascii="Calibri" w:cs="Calibri" w:eastAsia="Calibri" w:hAnsi="Calibri"/>
          <w:sz w:val="18"/>
          <w:szCs w:val="18"/>
          <w:color w:val="auto"/>
        </w:rPr>
        <w:t>companies, as adjusted with respect to our 50% owned cement joint venture (with respect to the Cement Annual Incentve Program), which are the same percentages the Compensaton Commitee has set for the past several years. In deciding to keep the percentage of EBITDA used to fund these award pools the same as the prior year, the Compensaton Commitee considered several factors, including our compensaton philosophy that a signifcant porton of each executve’s compensaton should be “at risk” and subject to the Company’s success (level of earnings).</w:t>
      </w:r>
    </w:p>
    <w:p>
      <w:pPr>
        <w:spacing w:after="0" w:line="219" w:lineRule="exact"/>
        <w:rPr>
          <w:sz w:val="20"/>
          <w:szCs w:val="20"/>
          <w:color w:val="auto"/>
        </w:rPr>
      </w:pPr>
    </w:p>
    <w:p>
      <w:pPr>
        <w:ind w:right="40" w:firstLine="749"/>
        <w:spacing w:after="0" w:line="250" w:lineRule="auto"/>
        <w:rPr>
          <w:sz w:val="20"/>
          <w:szCs w:val="20"/>
          <w:color w:val="auto"/>
        </w:rPr>
      </w:pPr>
      <w:r>
        <w:rPr>
          <w:rFonts w:ascii="Calibri" w:cs="Calibri" w:eastAsia="Calibri" w:hAnsi="Calibri"/>
          <w:sz w:val="17"/>
          <w:szCs w:val="17"/>
          <w:color w:val="auto"/>
        </w:rPr>
        <w:t>At the beginning of fscal 2024, Mr. Haack developed goals and objectves for the ofcers partcipatng in the divisional annual incentve programs. Fify percent of such goals were objectve, 10% related to ataining budgeted earnings and 40% were discretonary. The partcipants’ individual performance against these goals would be evaluated by the Commitee in the exercise of “negatve discreton” to reduce (but not increase) the amount of the porton of the pool that would be paid to the partcipant at the end of the fscal year. The Compensaton Commitee also set the annual cash incentve award potental for Messrs. Cribbs and Thompson under these programs. In determining their respectve allocaton of the pool, the Compensaton Commitee considered the recommendaton of Mr. Haack, the amount of annual cash incentve award compensaton payable to executves in other companies who fulfll similar roles as illustrated in the compensaton study prepared by Meridian, the porton of the pool historically allocated to their respectve positons and the Compensaton Commitee’s assessment of their importance and contributon to their respectve divisions' performance, their importance as an ofcer within the respectve divisions in driving the achievement of divisional goals and proftability and their respectve levels of responsibility. The Compensaton Commitee set Mr. Cribbs’s annual cash incentve award potental at 6.36% of his divisional pool (subject to a cap of $450,000 established by the Compensaton Commitee), and the Compensaton Commitee set Mr. Thompson's annual cash incentve award potental at 5.0% of his divisional pool (subject to a cap of $350,000 established by the Compensaton Commitee)—in each case subject to the limitaton in their respectve Programs related to threshold fnancial performance.</w:t>
      </w:r>
    </w:p>
    <w:p>
      <w:pPr>
        <w:spacing w:after="0" w:line="214"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The divisional annual incentve program pools pool were not quantfable untl the end of fscal 2024, at which tme the Compensaton Commitee determined that the aggregate amounts available for these programs for fscal 2024 were as follows: $7,259,885 (American Gypsum) as a result of fscal 2024 EBITDA of $362,994,238 for American Gypsum; and $7,155,859 (Cement) as a result of fscal 2024 EBITDA of $401,289,311 on a consolidated basis for all of the Company's cement companies, as adjusted; which in each case was not quantfable untl the end of fscal 2024 and includes amounts available for payment to ofcers and employees other than the Named Executve Ofcers. For comparison purposes, the equivalent amounts in fscal 2023 were $7,561,204 (American Gypsum) and $5,987,848 (Cement).</w:t>
      </w: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Special Situaton Program</w:t>
      </w:r>
    </w:p>
    <w:p>
      <w:pPr>
        <w:spacing w:after="0" w:line="109"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In the frst quarter of fscal 2024 (May 2023), the Compensaton Commitee approved the Eagle Materials Inc. Special Situaton Program for Fiscal Year 2024 (the “SSP”), which is a special annual cash incentve program intended to recognize outstanding individual performance during the fscal year. The SSP also provides fexibility to reward performance when special circumstances arise in which our CEO determines that an individual has performed well but not been adequately compensated pursuant to other components of compensaton, including instances where an individual’s compensaton has been adversely afected by unexpected changes in market conditons such as a cyclical downturn or in recogniton of transactons and events not contemplated at the tme the Compensaton Commitee set compensaton for the applicable year.</w:t>
      </w:r>
    </w:p>
    <w:p>
      <w:pPr>
        <w:spacing w:after="0" w:line="221"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SSP awards are made by our CEO, except that awards to senior executve ofcers require Compensaton Commitee approval (and our CEO does not have a role in the determinaton of any SSP award to himself). Awards under the SSP are not predetermined for any individuals at the beginning of the fscal year. All full-tme employees of the Company or any of our subsidiaries are eligible to receive cash awards under this program. At the beginning of fscal 2024, the Compensaton Commitee determined that 0.20% of the Company’s EBITDA for the ensuing fscal year would fund the SSP, along with the portons of the Eagle and divisional incentve compensaton plans and divisional long-term cash compensaton plans not paid out. In setng the percentage of EBITDA which would fund the SSP, the Compensaton Commitee considered several factors, including the antcipated EBITDA for fscal 2024. All of our Named Executve Ofcers are eligible to partcipate in the SSP; however, no SSP awards were paid to Named Executve Ofcers in fscal 2024.</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Approving the Annual Cash Incentve Award</w:t>
      </w:r>
    </w:p>
    <w:p>
      <w:pPr>
        <w:spacing w:after="0" w:line="109"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In May 2024, the Compensaton Commitee approved the annual cash incentve award pool for fscal 2024 for the Company. In additon, at the end of fscal 2024, Mr. Haack provided performance evaluatons of each Named Executve Ofcer (other than himself) to the Compensaton Commitee, which evaluatons included an assessment of the achievement of their individual goals and objectves, along with his recommendaton for the annual cash incentve award for each such Named Executve Ofcer. With respect to Mr. Haack, the</w:t>
      </w:r>
    </w:p>
    <w:p>
      <w:pPr>
        <w:spacing w:after="0" w:line="100"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ind w:right="280"/>
        <w:spacing w:after="0" w:line="235" w:lineRule="auto"/>
        <w:rPr>
          <w:sz w:val="20"/>
          <w:szCs w:val="20"/>
          <w:color w:val="auto"/>
        </w:rPr>
      </w:pPr>
      <w:r>
        <w:rPr>
          <w:rFonts w:ascii="Calibri" w:cs="Calibri" w:eastAsia="Calibri" w:hAnsi="Calibri"/>
          <w:sz w:val="18"/>
          <w:szCs w:val="18"/>
          <w:color w:val="auto"/>
        </w:rPr>
        <w:t>Compensaton Commitee performed its own evaluaton of his performance and the extent to which the goals and objectves established for him for fscal 2024 had been achieved.</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Haack</w:t>
      </w:r>
    </w:p>
    <w:p>
      <w:pPr>
        <w:spacing w:after="0" w:line="109" w:lineRule="exact"/>
        <w:rPr>
          <w:sz w:val="20"/>
          <w:szCs w:val="20"/>
          <w:color w:val="auto"/>
        </w:rPr>
      </w:pPr>
    </w:p>
    <w:p>
      <w:pPr>
        <w:ind w:right="20" w:firstLine="374"/>
        <w:spacing w:after="0" w:line="235" w:lineRule="auto"/>
        <w:rPr>
          <w:sz w:val="20"/>
          <w:szCs w:val="20"/>
          <w:color w:val="auto"/>
        </w:rPr>
      </w:pPr>
      <w:r>
        <w:rPr>
          <w:rFonts w:ascii="Calibri" w:cs="Calibri" w:eastAsia="Calibri" w:hAnsi="Calibri"/>
          <w:sz w:val="18"/>
          <w:szCs w:val="18"/>
          <w:color w:val="auto"/>
        </w:rPr>
        <w:t>At the end of fscal 2024, the Compensaton Commitee conducted its performance evaluaton of Mr. Haack afer receiving input from the entre Board. Mr. Haack also provided informaton used by the Compensaton Commitee to evaluate the achievement of his objectve, budget and discretonary goals and objectves for fscal 2024 under the Eagle Annual Incentve Program. Based on this evaluaton, the Compensaton Commitee believes Mr. Haack performed at a high level during fscal 2024 and his goals and objectves were substantally met. The Compensaton Commitee’s evaluaton resulted in Mr. Haack receiving 95% of his annual cash incentve award potental for fscal 2024. The Compensaton Commitee approved an annual cash incentve award for Mr. Haack under the Eagle Annual Incentve Program of $2,107,341. In making this determinaton, the Compensaton Commitee used its judgment to determine the appropriate award level afer consideraton of several factors, including his achievement of his goals related to the following areas (among others) over the past fscal year; approximately half of Mr. Haack’s award related to factors advancing the Company’s sustainability priorites.</w:t>
      </w:r>
    </w:p>
    <w:p>
      <w:pPr>
        <w:spacing w:after="0" w:line="123" w:lineRule="exact"/>
        <w:rPr>
          <w:sz w:val="20"/>
          <w:szCs w:val="20"/>
          <w:color w:val="auto"/>
        </w:rPr>
      </w:pPr>
    </w:p>
    <w:p>
      <w:pPr>
        <w:ind w:left="1500" w:hanging="369"/>
        <w:spacing w:after="0"/>
        <w:tabs>
          <w:tab w:leader="none" w:pos="15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overall fnancial performance versus plan, achieving record proftability levels;</w:t>
      </w:r>
    </w:p>
    <w:p>
      <w:pPr>
        <w:spacing w:after="0" w:line="122" w:lineRule="exact"/>
        <w:rPr>
          <w:rFonts w:ascii="Times New Roman" w:cs="Times New Roman" w:eastAsia="Times New Roman" w:hAnsi="Times New Roman"/>
          <w:sz w:val="18"/>
          <w:szCs w:val="18"/>
          <w:color w:val="auto"/>
        </w:rPr>
      </w:pPr>
    </w:p>
    <w:p>
      <w:pPr>
        <w:ind w:left="1500" w:right="100" w:hanging="369"/>
        <w:spacing w:after="0" w:line="235" w:lineRule="auto"/>
        <w:tabs>
          <w:tab w:leader="none" w:pos="15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leadership on ESG initatves, including the publicaton of the Company’s updated Sustainability Report and the ongoing development and implementaton of strategies to reduce greenhouse gas emissions (e.g., entry into the Terra CO2 agreement regarding potental producton of low-carbon cementtous material, contnued development of the Portland Limestone Cement product and increased use of alternatve fuels);</w:t>
      </w:r>
    </w:p>
    <w:p>
      <w:pPr>
        <w:spacing w:after="0" w:line="120"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integraton of acquired businesses;</w:t>
      </w:r>
    </w:p>
    <w:p>
      <w:pPr>
        <w:spacing w:after="0" w:line="122" w:lineRule="exact"/>
        <w:rPr>
          <w:rFonts w:ascii="Times New Roman" w:cs="Times New Roman" w:eastAsia="Times New Roman" w:hAnsi="Times New Roman"/>
          <w:sz w:val="18"/>
          <w:szCs w:val="18"/>
          <w:color w:val="auto"/>
        </w:rPr>
      </w:pPr>
    </w:p>
    <w:p>
      <w:pPr>
        <w:ind w:left="1500" w:right="840" w:hanging="369"/>
        <w:spacing w:after="0" w:line="235" w:lineRule="auto"/>
        <w:tabs>
          <w:tab w:leader="none" w:pos="15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development and implementaton of M&amp;A strategies to optmize and grow the Company’s asset portolio, as well as strategic investments in the Company’s existng asset portolio; and</w:t>
      </w:r>
    </w:p>
    <w:p>
      <w:pPr>
        <w:spacing w:after="0" w:line="11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promoton of a safety performance culture.</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Kesler</w:t>
      </w:r>
    </w:p>
    <w:p>
      <w:pPr>
        <w:spacing w:after="0" w:line="109"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At the end of fscal 2024, Mr. Haack reviewed Mr. Kesler’s performance against his objectve, budget and discretonary goals and objectves for fscal 2024 under the Eagle Annual Incentve Program. Based in part on this review, the Compensaton Commitee determined that Mr. Kesler had substantally met his goals and awarded Mr. Kesler 95% of his annual cash incentve award potental, approving an annual cash incentve award for Mr. Kesler under the Eagle Annual Incentve Program of $1,016,039. In making this determinaton, the Compensaton Commitee used its judgment to determine the appropriate award level afer consideraton of several factors, including the input of Mr. Haack regarding Mr. Kesler’s performance and his achievement of his goals related to his areas of responsibility, including: Mr. Kesler’s work ERP implementaton, cyber security enhancements, capital management and the additon of procurement oversight.</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Newby</w:t>
      </w:r>
    </w:p>
    <w:p>
      <w:pPr>
        <w:spacing w:after="0" w:line="109"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At the end of fscal 2024, Mr. Haack reviewed Mr. Newby's performance against his objectve, budget and discretonary goals and objectves for fscal 2024 under the Eagle Annual Incentve Program. Based in part on this review, the Compensaton Commitee determined that Mr. Newby had substantally met his goals and awarded Mr. Newby 95% of his annual cash incentve award potental, approving an annual cash incentve award for Mr. Newby under the Eagle Annual Incentve Program of $564,466. In making this determinaton, the Compensaton Commitee used its judgment to determine the appropriate award level afer consideraton of several factors, including his achievement of his goals related to his areas of responsibility, the input of Mr. Haack regarding the performance of Mr. Newby, and the following areas (among others) over the past fscal year: Mr. Newby’s work on the Company’s Sustainability Report, legal support on environmental regulatory maters and oversight of the Company’s employee hotline.</w:t>
      </w: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Cribbs</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At the end of fscal 2024, Mr. Haack reviewed the performance of Mr. Cribbs against his objectve, budget and discretonary goals and objectves for fscal 2024 under the American Gypsum Annual Incentve Program. Based in part on this review, the Compensaton Commitee determined that Mr. Cribbs had met his goals and awarded Mr. Cribbs 96% of his annual cash incentve award potental (as capped by the Compensaton Commitee), approving an annual cash incentve award for Mr. Cribbs under the American Gypsum Annual Incentve Program of $443,260. In making this determinaton, the Compensaton Commitee used its judgment to determine the appropriate award level afer consideraton of several factors, including his achievement of his goals related to his areas of responsibility, the input of Mr.</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7" w:name="page48"/>
    <w:bookmarkEnd w:id="47"/>
    <w:p>
      <w:pPr>
        <w:ind w:right="140"/>
        <w:spacing w:after="0" w:line="235" w:lineRule="auto"/>
        <w:rPr>
          <w:sz w:val="20"/>
          <w:szCs w:val="20"/>
          <w:color w:val="auto"/>
        </w:rPr>
      </w:pPr>
      <w:r>
        <w:rPr>
          <w:rFonts w:ascii="Calibri" w:cs="Calibri" w:eastAsia="Calibri" w:hAnsi="Calibri"/>
          <w:sz w:val="18"/>
          <w:szCs w:val="18"/>
          <w:color w:val="auto"/>
        </w:rPr>
        <w:t>Haack regarding the performance of Mr. Cribbs, and the following areas (among others) over the past fscal year: Mr. Cribbs’s promoton of a safety performance culture, engineering project management to increase fexibility and capacity at plants, and succession planning and management and work on the Sustainability Report.</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Mr. Thompson</w:t>
      </w:r>
    </w:p>
    <w:p>
      <w:pPr>
        <w:spacing w:after="0" w:line="109" w:lineRule="exact"/>
        <w:rPr>
          <w:sz w:val="20"/>
          <w:szCs w:val="20"/>
          <w:color w:val="auto"/>
        </w:rPr>
      </w:pPr>
    </w:p>
    <w:p>
      <w:pPr>
        <w:ind w:right="40" w:firstLine="749"/>
        <w:spacing w:after="0" w:line="251" w:lineRule="auto"/>
        <w:rPr>
          <w:sz w:val="20"/>
          <w:szCs w:val="20"/>
          <w:color w:val="auto"/>
        </w:rPr>
      </w:pPr>
      <w:r>
        <w:rPr>
          <w:rFonts w:ascii="Calibri" w:cs="Calibri" w:eastAsia="Calibri" w:hAnsi="Calibri"/>
          <w:sz w:val="17"/>
          <w:szCs w:val="17"/>
          <w:color w:val="auto"/>
        </w:rPr>
        <w:t>At the end of fscal 2024, Mr. Haack reviewed the performance of Mr. Thompson against his objectve, budget and discretonary goals and objectves for fscal 2024 under the Cement Annual Incentve Program. Based in part on this review, the Compensaton Commitee determined that Mr. Thompson had met his goals and awarded Mr. Thompson 92% of his annual cash incentve award potental (as capped by the Compensaton Commitee), approving an annual cash incentve award for Mr. Thompson under the Cement Annual Incentve Program of $329,169. In making this determinaton, the Compensaton Commitee used its judgment to determine the appropriate award level afer consideraton of several factors, including his achievement of his goals related to his areas of responsibility, the input of Mr. Haack regarding the performance of Mr. Thompson, and the following areas (among others) over the past fscal year: Mr. Thompson’s strategic work on cement networks, slag cement project leadership and work on the Sustainability Report.</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Long-Term Incentve Compensaton</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Consistent with the Compensaton Commitee’s philosophy of linking compensaton to performance, 50% of our long-term incentve compensaton program for fscal 2024 has been structured to te executves’ ability to earn equity awards to the achievement of specifc Company performance levels. The remaining 50% of our long-term compensaton program has been structured as purely tme-vestng, which the Compensaton Commitee believes, based on the input of Meridian, is in-line with the practce of our peers and enhances the retenton of key employees. A more detailed descripton of the fscal 2024 awards is found below.</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Value-Adjusted Burn Rate</w:t>
      </w:r>
    </w:p>
    <w:p>
      <w:pPr>
        <w:spacing w:after="0" w:line="217"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The Compensaton Commitee strives to be a good steward of the equity available for award under our equity incentve plans. Our three-year average value-adjusted burn rate (a measure of historical diluton as calculated by ISS) is well below our industry norms. The Company’s three-year average value-adjusted burn rate (which is based on the number of optons granted in each fscal year tmes a Black-Scholes value plus the number of shares granted in such fscal year tmes the stock price, divided by the weighted-average common shares outstanding for such fscal year tmes the stock price) is 0.32%. The 2024 benchmark of this measure for our industry published by ISS is 1.48%.</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Grant Practce</w:t>
      </w:r>
    </w:p>
    <w:p>
      <w:pPr>
        <w:spacing w:after="0" w:line="217"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All of the Named Executve Ofcers partcipate in our long-term incentve compensaton program. In fscal 2024, the Compensaton Commitee approved equity grants as described below. The date on which an equity award is granted is the date specifed in the resolutons of the Compensaton Commitee authorizing the grant. The grant date must fall on or afer the date on which the resolutons are adopted by the Compensaton Commitee. As provided in the Amended and Restated Incentve Plan ("2013 Incentve Plan") and the 2023 Incentve Plan, for stock optons, the exercise price is the closing price of our Common Stock on the grant date, as reported by the NYSE.</w:t>
      </w:r>
    </w:p>
    <w:p>
      <w:pPr>
        <w:spacing w:after="0" w:line="220" w:lineRule="exact"/>
        <w:rPr>
          <w:sz w:val="20"/>
          <w:szCs w:val="20"/>
          <w:color w:val="auto"/>
        </w:rPr>
      </w:pPr>
    </w:p>
    <w:p>
      <w:pPr>
        <w:jc w:val="both"/>
        <w:ind w:right="60" w:firstLine="749"/>
        <w:spacing w:after="0" w:line="235" w:lineRule="auto"/>
        <w:rPr>
          <w:sz w:val="20"/>
          <w:szCs w:val="20"/>
          <w:color w:val="auto"/>
        </w:rPr>
      </w:pPr>
      <w:r>
        <w:rPr>
          <w:rFonts w:ascii="Calibri" w:cs="Calibri" w:eastAsia="Calibri" w:hAnsi="Calibri"/>
          <w:sz w:val="18"/>
          <w:szCs w:val="18"/>
          <w:color w:val="auto"/>
        </w:rPr>
        <w:t>During fscal year 2024, the Company did not award stock optons within four business days before or one business day afer the release of a Form 10-Q, 10-K, or 8-K that discloses material nonpublic informaton. The Company has no specifc policy on the tming of awards of such instruments in relaton to the release of a Form 10-Q, 10-K, or 8-K that discloses material nonpublic informaton.</w:t>
      </w:r>
    </w:p>
    <w:p>
      <w:pPr>
        <w:spacing w:after="0" w:line="9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i w:val="1"/>
          <w:iCs w:val="1"/>
          <w:u w:val="single" w:color="auto"/>
          <w:color w:val="auto"/>
        </w:rPr>
        <w:t>Fiscal 2024 Grants</w:t>
      </w:r>
    </w:p>
    <w:p>
      <w:pPr>
        <w:spacing w:after="0" w:line="217"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In structuring the long-term incentve program for fscal 2024, the Compensaton Commitee worked with Mr. Haack to establish a mix of performance-based and tme-vestng awards. Consistent with prior years, the performance metric selected was return on equity (“ROE”), which represents our earnings as a percentage of our stockholders’ equity, a performance metric that our stockholders have told us they fnd meaningful and that the Compensaton Commitee views as a measure of the Company’s prudent deployment of capital. ROE for a given fscal year is defned as the net earnings of the Company for such fscal year; divided by the Company’s average stockholders’ equity for such fscal year (which is defned for any period to mean the Company’s total stockholders’ equity as of the beginning of such period plus the Company’s total stockholders’ equity at the end of such period; divided by 2). In calculatng ROE, the impact of certain extraordinary items not related to operatng performance, including downward adjustment for the gain from the sale of non-core businesses, are excluded.</w:t>
      </w:r>
    </w:p>
    <w:p>
      <w:pPr>
        <w:spacing w:after="0" w:line="223"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Following a comprehensive review of the Company’s compensaton programs during the course of the previous fscal year and taking into consideraton stockholder feedback, the fscal 2024 awards difered from the fscal 2023 awards in the following ways: (i) the performance awards are subject to multple performance periods described below and (ii) the tme-vestng awards vest ratably over the three fscal year-ends following the date of grant (assuming contnued service by the relevant ofcer). For the performance-vestng restricted stock to be earned, the Company must achieve performance vestng criteria based on the Company’s average ROE measured at the end of fscal 2024, 2025 and 2026. Twenty-fve percent of the target performance shares are subject to a one-year performance period, 25% are subject to a two-year performance period, and 50% are subject to a three-year performance period. Any earned restricted stock will vest immediately upon the determinaton of the achievement of the performance vestng criterion for the relevant performance period, and any unearned restricted stock from such performance period will be forfeited. Staggered performance periods were used in fscal 2024 in connecton with the transiton to 100% of long-term incentve performance awards being subject to a three-year performance period in fscal 2025, which is refected below in "Fiscal 2025 Compensaton Developments."</w:t>
      </w:r>
    </w:p>
    <w:p>
      <w:pPr>
        <w:spacing w:after="0" w:line="224"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Target award amounts were allocated equally (based on target grant date fair values as described below) between performance-vestng and tme-vestng awards, and the Commitee allocated such awards between restricted stock and stock optons based in part on the stated preference of the recipient. With respect to performance-based equity awards, the Commitee determined a target award value that would be received upon the achievement during the relevant performance period of a strong average ROE (15.0%), with up to 120% of the target value earned if exceptonal average ROE (20.0%) is achieved and 80% of the target value earned if acceptable average ROE (10.0%) is achieved. None of the performance-based equity awards would be earned if the return on equity were below this acceptable level.</w:t>
      </w:r>
    </w:p>
    <w:p>
      <w:pPr>
        <w:spacing w:after="0" w:line="221"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Efectve May 23, 2023, the Compensaton Commitee approved equity awards under the 2013 Incentve Plan to a group of key employees, including the Named Executve Ofcers, in alignment with the above structure. As part of the compensaton study delivered to the Compensaton Commitee in May 2023, Meridian had provided informaton regarding long-term compensaton as well as total direct compensaton paid to the compensaton peer group. In determining the value of the equity to be granted, the Compensaton Commitee took into consideraton the Meridian compensaton study, the input of Mr. Haack, the Compensaton Commitee’s assessment of the executve’s importance and contributon to the organizaton, and the executve’s level of responsibility. The target grant date fair value was allocated 50% to performance-based equity (with one-, two- and three-year ROE fnancial metrics as outlined above) and 50% to tme-vestng equity.</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The following table shows the restricted stock granted to each of the Company’s Named Executve Ofcers (other than Messrs. Stewart and</w:t>
      </w:r>
    </w:p>
    <w:p>
      <w:pPr>
        <w:spacing w:after="0" w:line="235" w:lineRule="auto"/>
        <w:rPr>
          <w:sz w:val="20"/>
          <w:szCs w:val="20"/>
          <w:color w:val="auto"/>
        </w:rPr>
      </w:pPr>
      <w:r>
        <w:rPr>
          <w:rFonts w:ascii="Calibri" w:cs="Calibri" w:eastAsia="Calibri" w:hAnsi="Calibri"/>
          <w:sz w:val="18"/>
          <w:szCs w:val="18"/>
          <w:color w:val="auto"/>
        </w:rPr>
        <w:t>Wentzel, who were nearing retrement at the tme of the awards and did not receive an award) efectve May 23, 2023:</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Target Shares of</w:t>
            </w:r>
          </w:p>
        </w:tc>
        <w:tc>
          <w:tcPr>
            <w:tcW w:w="260" w:type="dxa"/>
            <w:vAlign w:val="bottom"/>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Shares of</w:t>
            </w:r>
          </w:p>
        </w:tc>
      </w:tr>
      <w:tr>
        <w:trPr>
          <w:trHeight w:val="176"/>
        </w:trPr>
        <w:tc>
          <w:tcPr>
            <w:tcW w:w="3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Performance</w:t>
            </w:r>
          </w:p>
        </w:tc>
        <w:tc>
          <w:tcPr>
            <w:tcW w:w="26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Time Vestng</w:t>
            </w:r>
          </w:p>
        </w:tc>
      </w:tr>
      <w:tr>
        <w:trPr>
          <w:trHeight w:val="159"/>
        </w:trPr>
        <w:tc>
          <w:tcPr>
            <w:tcW w:w="3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600" w:type="dxa"/>
            <w:vAlign w:val="bottom"/>
          </w:tcPr>
          <w:p>
            <w:pPr>
              <w:jc w:val="right"/>
              <w:ind w:right="75"/>
              <w:spacing w:after="0" w:line="159" w:lineRule="exact"/>
              <w:rPr>
                <w:sz w:val="20"/>
                <w:szCs w:val="20"/>
                <w:color w:val="auto"/>
              </w:rPr>
            </w:pPr>
            <w:r>
              <w:rPr>
                <w:rFonts w:ascii="Calibri" w:cs="Calibri" w:eastAsia="Calibri" w:hAnsi="Calibri"/>
                <w:sz w:val="14"/>
                <w:szCs w:val="14"/>
                <w:b w:val="1"/>
                <w:bCs w:val="1"/>
                <w:color w:val="auto"/>
              </w:rPr>
              <w:t>Target Value of Equity</w:t>
            </w:r>
          </w:p>
        </w:tc>
        <w:tc>
          <w:tcPr>
            <w:tcW w:w="280" w:type="dxa"/>
            <w:vAlign w:val="bottom"/>
          </w:tcPr>
          <w:p>
            <w:pPr>
              <w:spacing w:after="0"/>
              <w:rPr>
                <w:sz w:val="13"/>
                <w:szCs w:val="13"/>
                <w:color w:val="auto"/>
              </w:rPr>
            </w:pPr>
          </w:p>
        </w:tc>
        <w:tc>
          <w:tcPr>
            <w:tcW w:w="18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Vestng</w:t>
            </w:r>
          </w:p>
        </w:tc>
        <w:tc>
          <w:tcPr>
            <w:tcW w:w="260" w:type="dxa"/>
            <w:vAlign w:val="bottom"/>
          </w:tcPr>
          <w:p>
            <w:pPr>
              <w:spacing w:after="0"/>
              <w:rPr>
                <w:sz w:val="13"/>
                <w:szCs w:val="13"/>
                <w:color w:val="auto"/>
              </w:rPr>
            </w:pPr>
          </w:p>
        </w:tc>
        <w:tc>
          <w:tcPr>
            <w:tcW w:w="1900" w:type="dxa"/>
            <w:vAlign w:val="bottom"/>
            <w:gridSpan w:val="2"/>
          </w:tcPr>
          <w:p>
            <w:pPr>
              <w:jc w:val="center"/>
              <w:ind w:right="100"/>
              <w:spacing w:after="0" w:line="159" w:lineRule="exact"/>
              <w:rPr>
                <w:sz w:val="20"/>
                <w:szCs w:val="20"/>
                <w:color w:val="auto"/>
              </w:rPr>
            </w:pPr>
            <w:r>
              <w:rPr>
                <w:rFonts w:ascii="Calibri" w:cs="Calibri" w:eastAsia="Calibri" w:hAnsi="Calibri"/>
                <w:sz w:val="14"/>
                <w:szCs w:val="14"/>
                <w:b w:val="1"/>
                <w:bCs w:val="1"/>
                <w:color w:val="auto"/>
              </w:rPr>
              <w:t>Restricted</w:t>
            </w:r>
          </w:p>
        </w:tc>
      </w:tr>
      <w:tr>
        <w:trPr>
          <w:trHeight w:val="185"/>
        </w:trPr>
        <w:tc>
          <w:tcPr>
            <w:tcW w:w="4260" w:type="dxa"/>
            <w:vAlign w:val="bottom"/>
            <w:gridSpan w:val="2"/>
          </w:tcPr>
          <w:p>
            <w:pPr>
              <w:spacing w:after="0"/>
              <w:rPr>
                <w:sz w:val="20"/>
                <w:szCs w:val="20"/>
                <w:color w:val="auto"/>
              </w:rPr>
            </w:pPr>
            <w:r>
              <w:rPr>
                <w:rFonts w:ascii="Calibri" w:cs="Calibri" w:eastAsia="Calibri" w:hAnsi="Calibri"/>
                <w:sz w:val="14"/>
                <w:szCs w:val="14"/>
                <w:b w:val="1"/>
                <w:bCs w:val="1"/>
                <w:color w:val="auto"/>
              </w:rPr>
              <w:t>Name</w:t>
            </w:r>
          </w:p>
        </w:tc>
        <w:tc>
          <w:tcPr>
            <w:tcW w:w="1600" w:type="dxa"/>
            <w:vAlign w:val="bottom"/>
          </w:tcPr>
          <w:p>
            <w:pPr>
              <w:jc w:val="right"/>
              <w:ind w:right="315"/>
              <w:spacing w:after="0" w:line="185" w:lineRule="exact"/>
              <w:rPr>
                <w:sz w:val="20"/>
                <w:szCs w:val="20"/>
                <w:color w:val="auto"/>
              </w:rPr>
            </w:pPr>
            <w:r>
              <w:rPr>
                <w:rFonts w:ascii="Calibri" w:cs="Calibri" w:eastAsia="Calibri" w:hAnsi="Calibri"/>
                <w:sz w:val="14"/>
                <w:szCs w:val="14"/>
                <w:b w:val="1"/>
                <w:bCs w:val="1"/>
                <w:color w:val="auto"/>
              </w:rPr>
              <w:t>Awards</w:t>
            </w:r>
            <w:r>
              <w:rPr>
                <w:rFonts w:ascii="Calibri" w:cs="Calibri" w:eastAsia="Calibri" w:hAnsi="Calibri"/>
                <w:sz w:val="19"/>
                <w:szCs w:val="19"/>
                <w:b w:val="1"/>
                <w:bCs w:val="1"/>
                <w:color w:val="auto"/>
                <w:vertAlign w:val="superscript"/>
              </w:rPr>
              <w:t>(1)</w:t>
            </w:r>
            <w:r>
              <w:rPr>
                <w:rFonts w:ascii="Calibri" w:cs="Calibri" w:eastAsia="Calibri" w:hAnsi="Calibri"/>
                <w:sz w:val="14"/>
                <w:szCs w:val="14"/>
                <w:b w:val="1"/>
                <w:bCs w:val="1"/>
                <w:color w:val="auto"/>
              </w:rPr>
              <w:t xml:space="preserve">  ($)</w:t>
            </w:r>
          </w:p>
        </w:tc>
        <w:tc>
          <w:tcPr>
            <w:tcW w:w="280" w:type="dxa"/>
            <w:vAlign w:val="bottom"/>
          </w:tcPr>
          <w:p>
            <w:pPr>
              <w:spacing w:after="0"/>
              <w:rPr>
                <w:sz w:val="16"/>
                <w:szCs w:val="16"/>
                <w:color w:val="auto"/>
              </w:rPr>
            </w:pPr>
          </w:p>
        </w:tc>
        <w:tc>
          <w:tcPr>
            <w:tcW w:w="1800" w:type="dxa"/>
            <w:vAlign w:val="bottom"/>
          </w:tcPr>
          <w:p>
            <w:pPr>
              <w:jc w:val="center"/>
              <w:spacing w:after="0" w:line="185" w:lineRule="exact"/>
              <w:rPr>
                <w:sz w:val="20"/>
                <w:szCs w:val="20"/>
                <w:color w:val="auto"/>
              </w:rPr>
            </w:pPr>
            <w:r>
              <w:rPr>
                <w:rFonts w:ascii="Calibri" w:cs="Calibri" w:eastAsia="Calibri" w:hAnsi="Calibri"/>
                <w:sz w:val="14"/>
                <w:szCs w:val="14"/>
                <w:b w:val="1"/>
                <w:bCs w:val="1"/>
                <w:color w:val="auto"/>
                <w:w w:val="98"/>
              </w:rPr>
              <w:t>Restricted Stock</w:t>
            </w:r>
            <w:r>
              <w:rPr>
                <w:rFonts w:ascii="Calibri" w:cs="Calibri" w:eastAsia="Calibri" w:hAnsi="Calibri"/>
                <w:sz w:val="19"/>
                <w:szCs w:val="19"/>
                <w:b w:val="1"/>
                <w:bCs w:val="1"/>
                <w:color w:val="auto"/>
                <w:w w:val="98"/>
                <w:vertAlign w:val="superscript"/>
              </w:rPr>
              <w:t>(2)</w:t>
            </w:r>
            <w:r>
              <w:rPr>
                <w:rFonts w:ascii="Calibri" w:cs="Calibri" w:eastAsia="Calibri" w:hAnsi="Calibri"/>
                <w:sz w:val="14"/>
                <w:szCs w:val="14"/>
                <w:b w:val="1"/>
                <w:bCs w:val="1"/>
                <w:color w:val="auto"/>
                <w:w w:val="98"/>
              </w:rPr>
              <w:t xml:space="preserve">  (#)</w:t>
            </w:r>
          </w:p>
        </w:tc>
        <w:tc>
          <w:tcPr>
            <w:tcW w:w="26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Stock  (#)</w:t>
            </w: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26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Michael R. Haack</w:t>
            </w:r>
          </w:p>
        </w:tc>
        <w:tc>
          <w:tcPr>
            <w:tcW w:w="160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4,800,000</w:t>
            </w:r>
          </w:p>
        </w:tc>
        <w:tc>
          <w:tcPr>
            <w:tcW w:w="208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14,393</w:t>
            </w:r>
          </w:p>
        </w:tc>
        <w:tc>
          <w:tcPr>
            <w:tcW w:w="2060" w:type="dxa"/>
            <w:vAlign w:val="bottom"/>
            <w:tcBorders>
              <w:bottom w:val="single" w:sz="8" w:color="CFF0FC"/>
            </w:tcBorders>
            <w:gridSpan w:val="2"/>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14,393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4260" w:type="dxa"/>
            <w:vAlign w:val="bottom"/>
            <w:gridSpan w:val="2"/>
          </w:tcPr>
          <w:p>
            <w:pPr>
              <w:spacing w:after="0" w:line="215" w:lineRule="exact"/>
              <w:rPr>
                <w:sz w:val="20"/>
                <w:szCs w:val="20"/>
                <w:color w:val="auto"/>
              </w:rPr>
            </w:pPr>
            <w:r>
              <w:rPr>
                <w:rFonts w:ascii="Calibri" w:cs="Calibri" w:eastAsia="Calibri" w:hAnsi="Calibri"/>
                <w:sz w:val="18"/>
                <w:szCs w:val="18"/>
                <w:color w:val="auto"/>
              </w:rPr>
              <w:t>D. Craig Kesler</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1,300,000</w:t>
            </w:r>
          </w:p>
        </w:tc>
        <w:tc>
          <w:tcPr>
            <w:tcW w:w="2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3,899</w:t>
            </w:r>
          </w:p>
        </w:tc>
        <w:tc>
          <w:tcPr>
            <w:tcW w:w="20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3,899</w:t>
            </w:r>
          </w:p>
        </w:tc>
        <w:tc>
          <w:tcPr>
            <w:tcW w:w="100" w:type="dxa"/>
            <w:vAlign w:val="bottom"/>
          </w:tcPr>
          <w:p>
            <w:pPr>
              <w:spacing w:after="0"/>
              <w:rPr>
                <w:sz w:val="18"/>
                <w:szCs w:val="18"/>
                <w:color w:val="auto"/>
              </w:rPr>
            </w:pPr>
          </w:p>
        </w:tc>
      </w:tr>
      <w:tr>
        <w:trPr>
          <w:trHeight w:val="28"/>
        </w:trPr>
        <w:tc>
          <w:tcPr>
            <w:tcW w:w="3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26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Mat Newby</w:t>
            </w:r>
          </w:p>
        </w:tc>
        <w:tc>
          <w:tcPr>
            <w:tcW w:w="1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750,000</w:t>
            </w:r>
          </w:p>
        </w:tc>
        <w:tc>
          <w:tcPr>
            <w:tcW w:w="20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2,249</w:t>
            </w:r>
          </w:p>
        </w:tc>
        <w:tc>
          <w:tcPr>
            <w:tcW w:w="20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4260" w:type="dxa"/>
            <w:vAlign w:val="bottom"/>
            <w:gridSpan w:val="2"/>
          </w:tcPr>
          <w:p>
            <w:pPr>
              <w:spacing w:after="0" w:line="215" w:lineRule="exact"/>
              <w:rPr>
                <w:sz w:val="20"/>
                <w:szCs w:val="20"/>
                <w:color w:val="auto"/>
              </w:rPr>
            </w:pPr>
            <w:r>
              <w:rPr>
                <w:rFonts w:ascii="Calibri" w:cs="Calibri" w:eastAsia="Calibri" w:hAnsi="Calibri"/>
                <w:sz w:val="18"/>
                <w:szCs w:val="18"/>
                <w:color w:val="auto"/>
              </w:rPr>
              <w:t>Eric Cribbs</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500,000</w:t>
            </w:r>
          </w:p>
        </w:tc>
        <w:tc>
          <w:tcPr>
            <w:tcW w:w="2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1,500</w:t>
            </w:r>
          </w:p>
        </w:tc>
        <w:tc>
          <w:tcPr>
            <w:tcW w:w="20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1,500</w:t>
            </w:r>
          </w:p>
        </w:tc>
        <w:tc>
          <w:tcPr>
            <w:tcW w:w="100" w:type="dxa"/>
            <w:vAlign w:val="bottom"/>
          </w:tcPr>
          <w:p>
            <w:pPr>
              <w:spacing w:after="0"/>
              <w:rPr>
                <w:sz w:val="18"/>
                <w:szCs w:val="18"/>
                <w:color w:val="auto"/>
              </w:rPr>
            </w:pPr>
          </w:p>
        </w:tc>
      </w:tr>
      <w:tr>
        <w:trPr>
          <w:trHeight w:val="28"/>
        </w:trPr>
        <w:tc>
          <w:tcPr>
            <w:tcW w:w="3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260" w:type="dxa"/>
            <w:vAlign w:val="bottom"/>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Tony Thompson</w:t>
            </w:r>
          </w:p>
        </w:tc>
        <w:tc>
          <w:tcPr>
            <w:tcW w:w="1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450,000</w:t>
            </w:r>
          </w:p>
        </w:tc>
        <w:tc>
          <w:tcPr>
            <w:tcW w:w="208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1,350</w:t>
            </w:r>
          </w:p>
        </w:tc>
        <w:tc>
          <w:tcPr>
            <w:tcW w:w="20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1,350</w:t>
            </w:r>
          </w:p>
        </w:tc>
        <w:tc>
          <w:tcPr>
            <w:tcW w:w="100" w:type="dxa"/>
            <w:vAlign w:val="bottom"/>
            <w:shd w:val="clear" w:color="auto" w:fill="CFF0FC"/>
          </w:tcPr>
          <w:p>
            <w:pPr>
              <w:spacing w:after="0"/>
              <w:rPr>
                <w:sz w:val="18"/>
                <w:szCs w:val="18"/>
                <w:color w:val="auto"/>
              </w:rPr>
            </w:pPr>
          </w:p>
        </w:tc>
      </w:tr>
      <w:tr>
        <w:trPr>
          <w:trHeight w:val="28"/>
        </w:trPr>
        <w:tc>
          <w:tcPr>
            <w:tcW w:w="360" w:type="dxa"/>
            <w:vAlign w:val="bottom"/>
            <w:shd w:val="clear" w:color="auto" w:fill="CFF0FC"/>
          </w:tcPr>
          <w:p>
            <w:pPr>
              <w:spacing w:after="0"/>
              <w:rPr>
                <w:sz w:val="2"/>
                <w:szCs w:val="2"/>
                <w:color w:val="auto"/>
              </w:rPr>
            </w:pPr>
          </w:p>
        </w:tc>
        <w:tc>
          <w:tcPr>
            <w:tcW w:w="390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ind w:left="1140"/>
        <w:spacing w:after="0" w:line="210" w:lineRule="auto"/>
        <w:rPr>
          <w:sz w:val="20"/>
          <w:szCs w:val="20"/>
          <w:color w:val="auto"/>
        </w:rPr>
      </w:pPr>
      <w:r>
        <w:rPr>
          <w:rFonts w:ascii="Calibri" w:cs="Calibri" w:eastAsia="Calibri" w:hAnsi="Calibri"/>
          <w:sz w:val="18"/>
          <w:szCs w:val="18"/>
          <w:color w:val="auto"/>
        </w:rPr>
        <w:t>______________________</w:t>
      </w:r>
    </w:p>
    <w:p>
      <w:pPr>
        <w:ind w:left="1140"/>
        <w:spacing w:after="0"/>
        <w:tabs>
          <w:tab w:leader="none" w:pos="1480" w:val="left"/>
        </w:tabs>
        <w:rPr>
          <w:sz w:val="20"/>
          <w:szCs w:val="20"/>
          <w:color w:val="auto"/>
        </w:rPr>
      </w:pPr>
      <w:r>
        <w:rPr>
          <w:rFonts w:ascii="Calibri" w:cs="Calibri" w:eastAsia="Calibri" w:hAnsi="Calibri"/>
          <w:sz w:val="18"/>
          <w:szCs w:val="18"/>
          <w:color w:val="auto"/>
        </w:rPr>
        <w:t>(1)</w:t>
      </w:r>
      <w:r>
        <w:rPr>
          <w:sz w:val="20"/>
          <w:szCs w:val="20"/>
          <w:color w:val="auto"/>
        </w:rPr>
        <w:tab/>
      </w:r>
      <w:r>
        <w:rPr>
          <w:rFonts w:ascii="Calibri" w:cs="Calibri" w:eastAsia="Calibri" w:hAnsi="Calibri"/>
          <w:sz w:val="17"/>
          <w:szCs w:val="17"/>
          <w:color w:val="auto"/>
        </w:rPr>
        <w:t>Half of the target value is allocated to performance-based awards and half of the target value is allocated to tme-vestng awards.</w:t>
      </w:r>
    </w:p>
    <w:p>
      <w:pPr>
        <w:spacing w:after="0" w:line="2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9" w:name="page50"/>
    <w:bookmarkEnd w:id="49"/>
    <w:p>
      <w:pPr>
        <w:ind w:left="1500" w:right="220" w:hanging="369"/>
        <w:spacing w:after="0" w:line="252" w:lineRule="auto"/>
        <w:tabs>
          <w:tab w:leader="none" w:pos="1500" w:val="left"/>
        </w:tabs>
        <w:numPr>
          <w:ilvl w:val="0"/>
          <w:numId w:val="35"/>
        </w:numPr>
        <w:rPr>
          <w:rFonts w:ascii="Calibri" w:cs="Calibri" w:eastAsia="Calibri" w:hAnsi="Calibri"/>
          <w:sz w:val="17"/>
          <w:szCs w:val="17"/>
          <w:color w:val="auto"/>
        </w:rPr>
      </w:pPr>
      <w:r>
        <w:rPr>
          <w:rFonts w:ascii="Calibri" w:cs="Calibri" w:eastAsia="Calibri" w:hAnsi="Calibri"/>
          <w:sz w:val="17"/>
          <w:szCs w:val="17"/>
          <w:color w:val="auto"/>
        </w:rPr>
        <w:t>Twenty-fve percent of the award was subject to a one-year performance period, 25% to a two-year performance period and 50% to a three-year performance period. The shares in this column assume achievement of the target level of performance conditons, and the following refects the shares assuming the highest level of performance conditons (i.e., the maximum shares payable): Mr. Haack - 17,272 shares; Mr. Kesler - 4,679 shares; Mr. Newby - 2,700 shares; Mr. Cribbs - 1,800 shares; and Mr. Thompson - 1,620 shares.</w:t>
      </w:r>
    </w:p>
    <w:p>
      <w:pPr>
        <w:spacing w:after="0" w:line="208"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The Compensaton Commitee believes that the structure of the fscal 2024 long-term compensaton program is consistent with the Compensaton Commitee’s philosophy of linking compensaton to our performance.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Performance-Based Equity Awards</w:t>
      </w:r>
    </w:p>
    <w:p>
      <w:pPr>
        <w:spacing w:after="0" w:line="109" w:lineRule="exact"/>
        <w:rPr>
          <w:sz w:val="20"/>
          <w:szCs w:val="20"/>
          <w:color w:val="auto"/>
        </w:rPr>
      </w:pPr>
    </w:p>
    <w:p>
      <w:pPr>
        <w:ind w:right="440" w:firstLine="749"/>
        <w:spacing w:after="0" w:line="235" w:lineRule="auto"/>
        <w:rPr>
          <w:sz w:val="20"/>
          <w:szCs w:val="20"/>
          <w:color w:val="auto"/>
        </w:rPr>
      </w:pPr>
      <w:r>
        <w:rPr>
          <w:rFonts w:ascii="Calibri" w:cs="Calibri" w:eastAsia="Calibri" w:hAnsi="Calibri"/>
          <w:sz w:val="18"/>
          <w:szCs w:val="18"/>
          <w:color w:val="auto"/>
        </w:rPr>
        <w:t>These awards are comprised of shares of restricted stock which are earned based upon the achievement by the Company of a certain level of average ROE for the relevant performance period, as detailed below:</w:t>
      </w:r>
    </w:p>
    <w:p>
      <w:pPr>
        <w:spacing w:after="0" w:line="23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3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Average Return on Equity for Relevant Performance</w:t>
            </w:r>
          </w:p>
        </w:tc>
        <w:tc>
          <w:tcPr>
            <w:tcW w:w="3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ind w:right="1428"/>
              <w:spacing w:after="0"/>
              <w:rPr>
                <w:sz w:val="20"/>
                <w:szCs w:val="20"/>
                <w:color w:val="auto"/>
              </w:rPr>
            </w:pPr>
            <w:r>
              <w:rPr>
                <w:rFonts w:ascii="Calibri" w:cs="Calibri" w:eastAsia="Calibri" w:hAnsi="Calibri"/>
                <w:sz w:val="14"/>
                <w:szCs w:val="14"/>
                <w:b w:val="1"/>
                <w:bCs w:val="1"/>
                <w:color w:val="auto"/>
                <w:w w:val="99"/>
              </w:rPr>
              <w:t>Period</w:t>
            </w:r>
          </w:p>
        </w:tc>
        <w:tc>
          <w:tcPr>
            <w:tcW w:w="320" w:type="dxa"/>
            <w:vAlign w:val="bottom"/>
          </w:tcPr>
          <w:p>
            <w:pPr>
              <w:spacing w:after="0"/>
              <w:rPr>
                <w:sz w:val="15"/>
                <w:szCs w:val="15"/>
                <w:color w:val="auto"/>
              </w:rPr>
            </w:pPr>
          </w:p>
        </w:tc>
        <w:tc>
          <w:tcPr>
            <w:tcW w:w="3140" w:type="dxa"/>
            <w:vAlign w:val="bottom"/>
            <w:gridSpan w:val="2"/>
          </w:tcPr>
          <w:p>
            <w:pPr>
              <w:jc w:val="right"/>
              <w:ind w:right="920"/>
              <w:spacing w:after="0"/>
              <w:rPr>
                <w:sz w:val="20"/>
                <w:szCs w:val="20"/>
                <w:color w:val="auto"/>
              </w:rPr>
            </w:pPr>
            <w:r>
              <w:rPr>
                <w:rFonts w:ascii="Calibri" w:cs="Calibri" w:eastAsia="Calibri" w:hAnsi="Calibri"/>
                <w:sz w:val="14"/>
                <w:szCs w:val="14"/>
                <w:b w:val="1"/>
                <w:bCs w:val="1"/>
                <w:color w:val="auto"/>
              </w:rPr>
              <w:t>Percent of Target Earned</w:t>
            </w:r>
          </w:p>
        </w:tc>
      </w:tr>
      <w:tr>
        <w:trPr>
          <w:trHeight w:val="3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69"/>
        </w:trPr>
        <w:tc>
          <w:tcPr>
            <w:tcW w:w="1380" w:type="dxa"/>
            <w:vAlign w:val="bottom"/>
          </w:tcPr>
          <w:p>
            <w:pPr>
              <w:spacing w:after="0"/>
              <w:rPr>
                <w:sz w:val="14"/>
                <w:szCs w:val="14"/>
                <w:color w:val="auto"/>
              </w:rPr>
            </w:pPr>
          </w:p>
        </w:tc>
        <w:tc>
          <w:tcPr>
            <w:tcW w:w="1980" w:type="dxa"/>
            <w:vAlign w:val="bottom"/>
            <w:gridSpan w:val="2"/>
          </w:tcPr>
          <w:p>
            <w:pPr>
              <w:jc w:val="center"/>
              <w:ind w:right="1328"/>
              <w:spacing w:after="0" w:line="169" w:lineRule="exact"/>
              <w:rPr>
                <w:sz w:val="20"/>
                <w:szCs w:val="20"/>
                <w:color w:val="auto"/>
              </w:rPr>
            </w:pPr>
            <w:r>
              <w:rPr>
                <w:rFonts w:ascii="Calibri" w:cs="Calibri" w:eastAsia="Calibri" w:hAnsi="Calibri"/>
                <w:sz w:val="18"/>
                <w:szCs w:val="18"/>
                <w:color w:val="auto"/>
              </w:rPr>
              <w:t>&gt; 20.0%</w:t>
            </w:r>
          </w:p>
        </w:tc>
        <w:tc>
          <w:tcPr>
            <w:tcW w:w="3460" w:type="dxa"/>
            <w:vAlign w:val="bottom"/>
            <w:gridSpan w:val="3"/>
          </w:tcPr>
          <w:p>
            <w:pPr>
              <w:jc w:val="right"/>
              <w:spacing w:after="0" w:line="169" w:lineRule="exact"/>
              <w:rPr>
                <w:sz w:val="20"/>
                <w:szCs w:val="20"/>
                <w:color w:val="auto"/>
              </w:rPr>
            </w:pPr>
            <w:r>
              <w:rPr>
                <w:rFonts w:ascii="Calibri" w:cs="Calibri" w:eastAsia="Calibri" w:hAnsi="Calibri"/>
                <w:sz w:val="18"/>
                <w:szCs w:val="18"/>
                <w:color w:val="auto"/>
              </w:rPr>
              <w:t>120 %</w:t>
            </w:r>
          </w:p>
        </w:tc>
      </w:tr>
      <w:tr>
        <w:trPr>
          <w:trHeight w:val="20"/>
        </w:trPr>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1380" w:type="dxa"/>
            <w:vAlign w:val="bottom"/>
          </w:tcPr>
          <w:p>
            <w:pPr>
              <w:spacing w:after="0"/>
              <w:rPr>
                <w:sz w:val="22"/>
                <w:szCs w:val="22"/>
                <w:color w:val="auto"/>
              </w:rPr>
            </w:pPr>
          </w:p>
        </w:tc>
        <w:tc>
          <w:tcPr>
            <w:tcW w:w="1980" w:type="dxa"/>
            <w:vAlign w:val="bottom"/>
            <w:gridSpan w:val="2"/>
          </w:tcPr>
          <w:p>
            <w:pPr>
              <w:jc w:val="center"/>
              <w:ind w:right="1308"/>
              <w:spacing w:after="0"/>
              <w:rPr>
                <w:sz w:val="20"/>
                <w:szCs w:val="20"/>
                <w:color w:val="auto"/>
              </w:rPr>
            </w:pPr>
            <w:r>
              <w:rPr>
                <w:rFonts w:ascii="Calibri" w:cs="Calibri" w:eastAsia="Calibri" w:hAnsi="Calibri"/>
                <w:sz w:val="18"/>
                <w:szCs w:val="18"/>
                <w:color w:val="auto"/>
                <w:w w:val="98"/>
              </w:rPr>
              <w:t>15.0%</w:t>
            </w:r>
          </w:p>
        </w:tc>
        <w:tc>
          <w:tcPr>
            <w:tcW w:w="3460" w:type="dxa"/>
            <w:vAlign w:val="bottom"/>
            <w:gridSpan w:val="3"/>
          </w:tcPr>
          <w:p>
            <w:pPr>
              <w:jc w:val="right"/>
              <w:spacing w:after="0"/>
              <w:rPr>
                <w:sz w:val="20"/>
                <w:szCs w:val="20"/>
                <w:color w:val="auto"/>
              </w:rPr>
            </w:pPr>
            <w:r>
              <w:rPr>
                <w:rFonts w:ascii="Calibri" w:cs="Calibri" w:eastAsia="Calibri" w:hAnsi="Calibri"/>
                <w:sz w:val="18"/>
                <w:szCs w:val="18"/>
                <w:color w:val="auto"/>
              </w:rPr>
              <w:t>100 %</w:t>
            </w:r>
          </w:p>
        </w:tc>
      </w:tr>
      <w:tr>
        <w:trPr>
          <w:trHeight w:val="243"/>
        </w:trPr>
        <w:tc>
          <w:tcPr>
            <w:tcW w:w="3360" w:type="dxa"/>
            <w:vAlign w:val="bottom"/>
            <w:gridSpan w:val="3"/>
          </w:tcPr>
          <w:p>
            <w:pPr>
              <w:jc w:val="center"/>
              <w:spacing w:after="0"/>
              <w:rPr>
                <w:sz w:val="20"/>
                <w:szCs w:val="20"/>
                <w:color w:val="auto"/>
              </w:rPr>
            </w:pPr>
            <w:r>
              <w:rPr>
                <w:rFonts w:ascii="Calibri" w:cs="Calibri" w:eastAsia="Calibri" w:hAnsi="Calibri"/>
                <w:sz w:val="18"/>
                <w:szCs w:val="18"/>
                <w:color w:val="auto"/>
                <w:w w:val="98"/>
              </w:rPr>
              <w:t>10.0%</w:t>
            </w:r>
          </w:p>
        </w:tc>
        <w:tc>
          <w:tcPr>
            <w:tcW w:w="3460" w:type="dxa"/>
            <w:vAlign w:val="bottom"/>
            <w:gridSpan w:val="3"/>
          </w:tcPr>
          <w:p>
            <w:pPr>
              <w:jc w:val="right"/>
              <w:spacing w:after="0"/>
              <w:rPr>
                <w:sz w:val="20"/>
                <w:szCs w:val="20"/>
                <w:color w:val="auto"/>
              </w:rPr>
            </w:pPr>
            <w:r>
              <w:rPr>
                <w:rFonts w:ascii="Calibri" w:cs="Calibri" w:eastAsia="Calibri" w:hAnsi="Calibri"/>
                <w:sz w:val="18"/>
                <w:szCs w:val="18"/>
                <w:color w:val="auto"/>
              </w:rPr>
              <w:t>80 %</w:t>
            </w:r>
          </w:p>
        </w:tc>
      </w:tr>
      <w:tr>
        <w:trPr>
          <w:trHeight w:val="243"/>
        </w:trPr>
        <w:tc>
          <w:tcPr>
            <w:tcW w:w="3360" w:type="dxa"/>
            <w:vAlign w:val="bottom"/>
            <w:gridSpan w:val="3"/>
          </w:tcPr>
          <w:p>
            <w:pPr>
              <w:jc w:val="center"/>
              <w:spacing w:after="0"/>
              <w:rPr>
                <w:sz w:val="20"/>
                <w:szCs w:val="20"/>
                <w:color w:val="auto"/>
              </w:rPr>
            </w:pPr>
            <w:r>
              <w:rPr>
                <w:rFonts w:ascii="Calibri" w:cs="Calibri" w:eastAsia="Calibri" w:hAnsi="Calibri"/>
                <w:sz w:val="18"/>
                <w:szCs w:val="18"/>
                <w:color w:val="auto"/>
              </w:rPr>
              <w:t>&lt; 10.0%</w:t>
            </w:r>
          </w:p>
        </w:tc>
        <w:tc>
          <w:tcPr>
            <w:tcW w:w="3460" w:type="dxa"/>
            <w:vAlign w:val="bottom"/>
            <w:gridSpan w:val="3"/>
          </w:tcPr>
          <w:p>
            <w:pPr>
              <w:jc w:val="right"/>
              <w:spacing w:after="0"/>
              <w:rPr>
                <w:sz w:val="20"/>
                <w:szCs w:val="20"/>
                <w:color w:val="auto"/>
              </w:rPr>
            </w:pPr>
            <w:r>
              <w:rPr>
                <w:rFonts w:ascii="Calibri" w:cs="Calibri" w:eastAsia="Calibri" w:hAnsi="Calibri"/>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-593090</wp:posOffset>
            </wp:positionV>
            <wp:extent cx="427736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-284480</wp:posOffset>
            </wp:positionV>
            <wp:extent cx="427736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0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exact percentage of shares earned is calculated based on straight-line interpolaton between the points specifed above with fractonal points rounded to the nearest tenth of a percent. The earned performance-based equity was to become fully vested promptly afer the certfcaton date for the relevant performance period.</w:t>
      </w:r>
    </w:p>
    <w:p>
      <w:pPr>
        <w:spacing w:after="0" w:line="219"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The terms and conditons of the performance-based equity are substantally the same as prior performance-based awards, except that the performance periods are as described above and the award agreements contain restrictve covenants. Any performance-based equity that was not earned at the end of the relevant performance period was to be forfeited.</w:t>
      </w:r>
    </w:p>
    <w:p>
      <w:pPr>
        <w:spacing w:after="0" w:line="219"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In May 2024, the Compensaton Commitee certfed that the Company’s 38.3% average ROE for the fscal year ended March 31, 2024 satsfed the Company’s performance goal such that 120% of the target number of shares subject to the one-year performance period was earned, and such earned shares vested promptly following such certfcaton.</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Time-Vestng Equity Awards</w:t>
      </w:r>
    </w:p>
    <w:p>
      <w:pPr>
        <w:spacing w:after="0" w:line="109"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These awards comprise shares of restricted stock which vest ratably over three years on March 31, 2024; March 31, 2025; and March 31, 2026 (in each case assuming contnued service through such dates). The Compensaton Commitee believes that including tme-vestng equity as part of long-term compensaton is consistent with compettve pay practces, supports the Company’s philosophy that a signifcant porton of an executve’s pay should be at risk, enhances the retenton of key employees, while at the same tme creatng a strong incentve for management to operate the business in a manner that creates additonal value for stockholders.</w:t>
      </w:r>
    </w:p>
    <w:p>
      <w:pPr>
        <w:spacing w:after="0" w:line="220" w:lineRule="exact"/>
        <w:rPr>
          <w:sz w:val="20"/>
          <w:szCs w:val="20"/>
          <w:color w:val="auto"/>
        </w:rPr>
      </w:pPr>
    </w:p>
    <w:p>
      <w:pPr>
        <w:ind w:right="480" w:firstLine="749"/>
        <w:spacing w:after="0" w:line="235" w:lineRule="auto"/>
        <w:rPr>
          <w:sz w:val="20"/>
          <w:szCs w:val="20"/>
          <w:color w:val="auto"/>
        </w:rPr>
      </w:pPr>
      <w:r>
        <w:rPr>
          <w:rFonts w:ascii="Calibri" w:cs="Calibri" w:eastAsia="Calibri" w:hAnsi="Calibri"/>
          <w:sz w:val="18"/>
          <w:szCs w:val="18"/>
          <w:color w:val="auto"/>
        </w:rPr>
        <w:t>The terms and conditons of the tme-vestng equity are substantally the same as prior tme-vestng awards, except for the vestng period described above and the inclusion of restrictve covenants. As in the case of prior equity awards, the tme-vestng equity will also vest upon a change in control of the Company except in limited circumstances. See “Change in Control Benefts” below.</w:t>
      </w:r>
    </w:p>
    <w:p>
      <w:pPr>
        <w:spacing w:after="0" w:line="32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Other Elements of Executve Compensaton</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Retrement Plan</w:t>
      </w:r>
    </w:p>
    <w:p>
      <w:pPr>
        <w:spacing w:after="0" w:line="109"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Our Named Executve Ofcers, along with substantally all salaried and hourly employees of the Company and our subsidiaries are covered under our Retrement Plan, a qualifed defned contributon plan under sectons 401(a) and 401(k) of the Internal Revenue Code of 1986 (the “Code”).</w:t>
      </w:r>
    </w:p>
    <w:p>
      <w:pPr>
        <w:spacing w:after="0" w:line="218"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Salaried partcipants, including our Named Executve Ofcers, covered under our Retrement Plan may elect to make pre-tax contributons and/or afer-tax Roth 401(k) contributons of up to 70% of their base salary subject to the limit under Code Secton 402(g) ($22,500 for calendar year 2023 and $23,000 for calendar year 2024), employee afer-tax contributons of up to 10% of base salary and, if the</w:t>
      </w:r>
    </w:p>
    <w:p>
      <w:pPr>
        <w:spacing w:after="0" w:line="9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0" w:name="page51"/>
    <w:bookmarkEnd w:id="50"/>
    <w:p>
      <w:pPr>
        <w:jc w:val="both"/>
        <w:ind w:right="80"/>
        <w:spacing w:after="0" w:line="235" w:lineRule="auto"/>
        <w:rPr>
          <w:sz w:val="20"/>
          <w:szCs w:val="20"/>
          <w:color w:val="auto"/>
        </w:rPr>
      </w:pPr>
      <w:r>
        <w:rPr>
          <w:rFonts w:ascii="Calibri" w:cs="Calibri" w:eastAsia="Calibri" w:hAnsi="Calibri"/>
          <w:sz w:val="18"/>
          <w:szCs w:val="18"/>
          <w:color w:val="auto"/>
        </w:rPr>
        <w:t>partcipant is at least age 50, pre-tax “catch-up contributons” up to the statutory limit under Code Secton 414(v) ($7,500 for calendar years 2023 and 2024). In additon, our Retrement Plan provides for a discretonary employer proft sharing contributon for our salaried employees, including our Named Executve Ofcers, that is a percentage of base salary for the year. In calendar year 2023, the employer contributon was 10% of base salary.</w:t>
      </w:r>
    </w:p>
    <w:p>
      <w:pPr>
        <w:spacing w:after="0" w:line="219"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Partcipants are fully vested to the extent of their pre-tax, afer-tax Roth 401(k), and afer-tax contributons. Our salaried partcipants become vested in the employer proft sharing contributon over a four-year period (i.e., 25% per year beginning with the frst year of service). All Named Executve Ofcers have been employed by the Company or our afliates long enough to be fully vested. Partcipants are enttled to direct the investment of contributons made to the Retrement Plan on their behalf in various investment funds, including up to 15% in an Eagle Common Stock fund. Upon a partcipant’s terminaton of employment, disability or death, such amounts may remain in the Company plan or they are payable in the form of a lump sum, installments or direct rollover to an eligible retrement plan, as elected by the partcipant. At the partcipant’s electon, amounts invested in the Common Stock fund are distributable in shares of our Common Stock.</w:t>
      </w:r>
    </w:p>
    <w:p>
      <w:pPr>
        <w:spacing w:after="0" w:line="222"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Employer proft sharing contributons made to the Retrement Plan on behalf of our Named Executve Ofcers in fscal 2024 are refected under the “All Other Compensaton” column in the Summary Compensaton Table of this Proxy Statement. A list of the investment funds provided under the Retrement Plan is provided in the footnotes to the Nonqualifed Deferred Compensaton Table of this Proxy Statement.</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SERP</w:t>
      </w:r>
    </w:p>
    <w:p>
      <w:pPr>
        <w:spacing w:after="0" w:line="109"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In fscal 1995, the Board approved our Supplemental Executve Retrement Program, which we will refer to as our “SERP,” for certain employees partcipatng in the Retrement Plan. Internal Revenue Code Secton 401(a)(17) limits the amount of annual compensaton ($330,000 for calendar year 2023 and $345,000 for calendar year 2024) that may be considered in determining our contributon to the Retrement Plan for the account of an eligible partcipant.</w:t>
      </w:r>
    </w:p>
    <w:p>
      <w:pPr>
        <w:spacing w:after="0" w:line="219"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The SERP was established to eliminate the adverse treatment that higher-salaried employees receive as a result of such limit by making a contributon for each partcipant in an amount substantally equal to the additonal employer proft sharing contributon that he or she would have received under the Retrement Plan had 100% of his or her base salary been eligible for a proft-sharing contributon. As in the case of the Retrement Plan, annual cash incentve awards paid to partcipants are not included when determining the amount of contributons to the SERP. The Compensaton Commitee believes that the SERP therefore allows us to confer the full intended beneft of the employer proft sharing contributon under the Retrement Plan without the arbitrary limitaton of the Internal Revenue Code rules noted above.</w:t>
      </w:r>
    </w:p>
    <w:p>
      <w:pPr>
        <w:spacing w:after="0" w:line="221" w:lineRule="exact"/>
        <w:rPr>
          <w:sz w:val="20"/>
          <w:szCs w:val="20"/>
          <w:color w:val="auto"/>
        </w:rPr>
      </w:pPr>
    </w:p>
    <w:p>
      <w:pPr>
        <w:ind w:right="60" w:firstLine="749"/>
        <w:spacing w:after="0" w:line="252" w:lineRule="auto"/>
        <w:rPr>
          <w:sz w:val="20"/>
          <w:szCs w:val="20"/>
          <w:color w:val="auto"/>
        </w:rPr>
      </w:pPr>
      <w:r>
        <w:rPr>
          <w:rFonts w:ascii="Calibri" w:cs="Calibri" w:eastAsia="Calibri" w:hAnsi="Calibri"/>
          <w:sz w:val="17"/>
          <w:szCs w:val="17"/>
          <w:color w:val="auto"/>
        </w:rPr>
        <w:t>Contributons accrued under the SERP for the beneft of the higher-salaried employees vest under the same terms and conditons as under the Retrement Plan and may be invested by the partcipant in several of the same investment optons as ofered under the Retrement Plan. Benefts under the SERP are payable upon the partcipant’s terminaton of employment in a lump sum or installments as elected by the partcipant in accordance with the terms of the SERP. As with the Retrement Plan, all Named Executve Ofcers have been employed by the Company or our afliates long enough to be fully vested.</w:t>
      </w:r>
    </w:p>
    <w:p>
      <w:pPr>
        <w:spacing w:after="0" w:line="208" w:lineRule="exact"/>
        <w:rPr>
          <w:sz w:val="20"/>
          <w:szCs w:val="20"/>
          <w:color w:val="auto"/>
        </w:rPr>
      </w:pPr>
    </w:p>
    <w:p>
      <w:pPr>
        <w:jc w:val="both"/>
        <w:ind w:right="60" w:firstLine="749"/>
        <w:spacing w:after="0" w:line="235" w:lineRule="auto"/>
        <w:rPr>
          <w:sz w:val="20"/>
          <w:szCs w:val="20"/>
          <w:color w:val="auto"/>
        </w:rPr>
      </w:pPr>
      <w:r>
        <w:rPr>
          <w:rFonts w:ascii="Calibri" w:cs="Calibri" w:eastAsia="Calibri" w:hAnsi="Calibri"/>
          <w:sz w:val="18"/>
          <w:szCs w:val="18"/>
          <w:color w:val="auto"/>
        </w:rPr>
        <w:t>Employer contributons under the SERP to our Named Executve Ofcers in fscal 2024 are refected under the “All Other Compensaton” column in the Summary Compensaton Table of this Proxy Statement. A list of the investment funds provided under the Retrement Plan is provided in the footnotes to the Nonqualifed Deferred Compensaton Table of this Proxy Statement.</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Life Insurance Plan</w:t>
      </w:r>
    </w:p>
    <w:p>
      <w:pPr>
        <w:spacing w:after="0" w:line="109" w:lineRule="exact"/>
        <w:rPr>
          <w:sz w:val="20"/>
          <w:szCs w:val="20"/>
          <w:color w:val="auto"/>
        </w:rPr>
      </w:pPr>
    </w:p>
    <w:p>
      <w:pPr>
        <w:ind w:right="220" w:firstLine="749"/>
        <w:spacing w:after="0" w:line="235" w:lineRule="auto"/>
        <w:rPr>
          <w:sz w:val="20"/>
          <w:szCs w:val="20"/>
          <w:color w:val="auto"/>
        </w:rPr>
      </w:pPr>
      <w:r>
        <w:rPr>
          <w:rFonts w:ascii="Calibri" w:cs="Calibri" w:eastAsia="Calibri" w:hAnsi="Calibri"/>
          <w:sz w:val="18"/>
          <w:szCs w:val="18"/>
          <w:color w:val="auto"/>
        </w:rPr>
        <w:t>The Named Executve Ofcers, along with other ofcers and key employees, are partcipants in our Executve Life Insurance Plan, which replaced our discontnued Salary Contnuaton Plan during fscal year 2024. The Executve Life Insurance Plan provides for basic life insurance coverage up to a maximum of $2,000,000. Premiums paid by the Company on policies covering our Named Executve Ofcers in fscal 2024 (and related tax gross-up payments) are included in the taxable compensaton of our Named Executve Ofcers, as refected under the “All Other Compensaton” column in the Summary Compensaton Table of this Proxy Statement. Amounts potentally payable to the benefciaries of our Named Executve Ofcers pursuant to this insurance are described in “Potental Payments Upon Terminaton or Change in Control” secton of this Proxy Statement.</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b w:val="1"/>
          <w:bCs w:val="1"/>
          <w:color w:val="auto"/>
        </w:rPr>
        <w:t>Change in Control Benefts</w:t>
      </w:r>
    </w:p>
    <w:p>
      <w:pPr>
        <w:spacing w:after="0" w:line="109" w:lineRule="exact"/>
        <w:rPr>
          <w:sz w:val="20"/>
          <w:szCs w:val="20"/>
          <w:color w:val="auto"/>
        </w:rPr>
      </w:pPr>
    </w:p>
    <w:p>
      <w:pPr>
        <w:ind w:right="80" w:firstLine="749"/>
        <w:spacing w:after="0" w:line="252" w:lineRule="auto"/>
        <w:rPr>
          <w:sz w:val="20"/>
          <w:szCs w:val="20"/>
          <w:color w:val="auto"/>
        </w:rPr>
      </w:pPr>
      <w:r>
        <w:rPr>
          <w:rFonts w:ascii="Calibri" w:cs="Calibri" w:eastAsia="Calibri" w:hAnsi="Calibri"/>
          <w:sz w:val="17"/>
          <w:szCs w:val="17"/>
          <w:color w:val="auto"/>
        </w:rPr>
        <w:t>To beter ensure the retenton of our employees in the event of a potentally disruptve corporate transacton, we have provided our employees, including our Named Executve Ofcers, with certain change in control protectons. We believe that such protectons, which are consistent with the practces of our peer companies, are in the best interest of our stockholders because they enable our executve leadership team to fully focus on the benefts of a corporate transacton for stockholders, rather than the potental adverse consequences of the transacton on their careers and compensaton.</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 in Control Contnuity Agreements</w:t>
      </w:r>
    </w:p>
    <w:p>
      <w:pPr>
        <w:spacing w:after="0" w:line="109" w:lineRule="exact"/>
        <w:rPr>
          <w:sz w:val="20"/>
          <w:szCs w:val="20"/>
          <w:color w:val="auto"/>
        </w:rPr>
      </w:pPr>
    </w:p>
    <w:p>
      <w:pPr>
        <w:ind w:right="200" w:firstLine="749"/>
        <w:spacing w:after="0" w:line="235" w:lineRule="auto"/>
        <w:rPr>
          <w:sz w:val="20"/>
          <w:szCs w:val="20"/>
          <w:color w:val="auto"/>
        </w:rPr>
      </w:pPr>
      <w:r>
        <w:rPr>
          <w:rFonts w:ascii="Calibri" w:cs="Calibri" w:eastAsia="Calibri" w:hAnsi="Calibri"/>
          <w:sz w:val="18"/>
          <w:szCs w:val="18"/>
          <w:color w:val="auto"/>
        </w:rPr>
        <w:t>To beter ensure the retenton of our executve leadership team in the event of a potentally disruptve corporate transacton, the Board has approved change in control contnuity agreements with Messrs. Haack, Kesler and Newby. The change in control contnuity agreements provide that, in the event of a change in control during the term, a two-year protecton period will commence during which the relevant executve will be enttled to compensaton and benefts on terms that are generally no less favorable than those that applied prior to the change in control.</w:t>
      </w:r>
    </w:p>
    <w:p>
      <w:pPr>
        <w:spacing w:after="0" w:line="219"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In the event of an executve’s involuntary terminaton of employment without cause or resignaton for good reason during the two-year protecton period, subject to the executon of a release of claims, he would be enttled to (a) cash severance equal to the product of (i) a severance multple of 3 (for Mr. Haack), 2.5 (for Mr. Kesler) or 2 (for Mr. Newby), multplied by (ii) the sum of his annual base salary and target annual bonus; (b) a prorated target annual bonus for the year of terminaton; (c) a payment in lieu of employer retrement savings plan contributons that he would have received had his employment contnued for 18 months (for Mr. Haack), 15 months (for Mr. Kesler) or 12 months (for Mr. Newby) post-terminaton; (d) a payment equal to the premium for contnued partcipaton in health insurance plans for 18 months (for Mr. Haack), 15 months (for Mr. Kesler) or 12 months (for Mr. Newby) post-terminaton; and (e) outplacement benefts of up to $30,000.</w:t>
      </w:r>
    </w:p>
    <w:p>
      <w:pPr>
        <w:spacing w:after="0" w:line="22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change in control contnuity agreements subject the executves to a perpetual confdentality covenant and noncompetton covenants for 18 months (for Mr. Haack), 15 months (for Mr. Kesler) or 12 months (for Mr. Newby) post-terminaton. If any payments or benefts under the change in control contnuity agreements would be subject to Sectons 280G and 4999 of the Internal Revenue Code, such payments or benefts would be reduced to the extent that such reducton would place the executve in a beter afer-tax positon. The inital term of the change in control contnuity agreements is three years from the efectve date of June 20, 2019 (for Messrs. Haack and Kesler) and May 31, 2022 (for Mr. Newby), subject in each case to automatc renewal for an additonal year on each anniversary of the efectve date.</w:t>
      </w:r>
    </w:p>
    <w:p>
      <w:pPr>
        <w:spacing w:after="0" w:line="221" w:lineRule="exact"/>
        <w:rPr>
          <w:sz w:val="20"/>
          <w:szCs w:val="20"/>
          <w:color w:val="auto"/>
        </w:rPr>
      </w:pPr>
    </w:p>
    <w:p>
      <w:pPr>
        <w:ind w:right="260" w:firstLine="749"/>
        <w:spacing w:after="0" w:line="235" w:lineRule="auto"/>
        <w:rPr>
          <w:sz w:val="20"/>
          <w:szCs w:val="20"/>
          <w:color w:val="auto"/>
        </w:rPr>
      </w:pPr>
      <w:r>
        <w:rPr>
          <w:rFonts w:ascii="Calibri" w:cs="Calibri" w:eastAsia="Calibri" w:hAnsi="Calibri"/>
          <w:sz w:val="18"/>
          <w:szCs w:val="18"/>
          <w:color w:val="auto"/>
        </w:rPr>
        <w:t>All of our change in control contnuity agreements have a “double-trigger” terminaton right (requiring both a change in control and a qualifying terminaton of employment in order to receive the change in control severance payments), and they do not apply the severance multple to long-term incentve award values or have tax gross-ups.</w:t>
      </w:r>
    </w:p>
    <w:p>
      <w:pPr>
        <w:spacing w:after="0" w:line="21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Under our change in control contnuity agreements a “change in control” is defned generally as (i) the acquisiton by any person or entty of 35% or more of our outstanding Common Stock or the votng power of outstanding securites enttled to vote in the electon of directors; (ii) a change in the compositon of our Board such that the current members of the Board cease to consttute a majority of the Board; (iii) the consummaton of a merger, asset dispositon, share exchange or similar transacton, unless (1) more than 50% of the stock following such transacton is owned by persons or enttes who were stockholders of the Company prior to such transacton, (2) following such transacton, no person or entty owns 35% or more of the common stock of the entty resultng from such transacton, and (3) at least a majority of the members of the resultng corporaton’s board of directors were members of our Board; or (iv) our stockholders approve a complete liquidaton or dissoluton of the Company</w:t>
      </w:r>
    </w:p>
    <w:p>
      <w:pPr>
        <w:spacing w:after="0" w:line="21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See “Potental Payments Upon Terminaton or Change in Control” below.</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Equity Awards</w:t>
      </w:r>
    </w:p>
    <w:p>
      <w:pPr>
        <w:spacing w:after="0" w:line="109"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Awards granted in fscal 2024 under our 2013 Incentve Plan are subject to accelerated vestng upon the occurrence of a “change in control” as defned in the applicable award agreement if they are not assumed or replaced with equivalent awards in connecton with such change in control. Under the award agreements or incentve program documents, a “change in control” is defned generally as:</w:t>
      </w:r>
    </w:p>
    <w:p>
      <w:pPr>
        <w:spacing w:after="0" w:line="111" w:lineRule="exact"/>
        <w:rPr>
          <w:sz w:val="20"/>
          <w:szCs w:val="20"/>
          <w:color w:val="auto"/>
        </w:rPr>
      </w:pPr>
    </w:p>
    <w:p>
      <w:pPr>
        <w:ind w:left="1500" w:right="360" w:hanging="369"/>
        <w:spacing w:after="0" w:line="235" w:lineRule="auto"/>
        <w:tabs>
          <w:tab w:leader="none" w:pos="150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 acquisiton by any person or entty of 50% or more of the outstanding shares of any single class of our Common Stock or 40% or more of outstanding shares of all classes of our Common Stock;</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52" w:name="page53"/>
    <w:bookmarkEnd w:id="52"/>
    <w:p>
      <w:pPr>
        <w:ind w:left="1500" w:hanging="369"/>
        <w:spacing w:after="0"/>
        <w:tabs>
          <w:tab w:leader="none" w:pos="150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 change in the compositon of our Board such that the current members of the Board cease to consttute a majority of the Board; or</w:t>
      </w:r>
    </w:p>
    <w:p>
      <w:pPr>
        <w:spacing w:after="0" w:line="217" w:lineRule="exact"/>
        <w:rPr>
          <w:rFonts w:ascii="Calibri" w:cs="Calibri" w:eastAsia="Calibri" w:hAnsi="Calibri"/>
          <w:sz w:val="18"/>
          <w:szCs w:val="18"/>
          <w:color w:val="auto"/>
        </w:rPr>
      </w:pPr>
    </w:p>
    <w:p>
      <w:pPr>
        <w:ind w:left="1500" w:right="280" w:hanging="369"/>
        <w:spacing w:after="0" w:line="252" w:lineRule="auto"/>
        <w:tabs>
          <w:tab w:leader="none" w:pos="1500" w:val="left"/>
        </w:tabs>
        <w:numPr>
          <w:ilvl w:val="0"/>
          <w:numId w:val="37"/>
        </w:numPr>
        <w:rPr>
          <w:rFonts w:ascii="Calibri" w:cs="Calibri" w:eastAsia="Calibri" w:hAnsi="Calibri"/>
          <w:sz w:val="17"/>
          <w:szCs w:val="17"/>
          <w:color w:val="auto"/>
        </w:rPr>
      </w:pPr>
      <w:r>
        <w:rPr>
          <w:rFonts w:ascii="Calibri" w:cs="Calibri" w:eastAsia="Calibri" w:hAnsi="Calibri"/>
          <w:sz w:val="17"/>
          <w:szCs w:val="17"/>
          <w:color w:val="auto"/>
        </w:rPr>
        <w:t>the consummaton of a merger, dissoluton, asset dispositon, consolidaton or share exchange, unless (a) more than 50% of the stock following such transacton is owned by persons or enttes who were stockholders of the Company prior to such transacton, (b) following such transacton, no person or entty owns 40% or more of the common stock of the corporaton resultng from such transacton, and (c) at least a majority of the members of the resultng corporaton’s board of directors were members of our Board.</w:t>
      </w:r>
    </w:p>
    <w:p>
      <w:pPr>
        <w:spacing w:after="0" w:line="208"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If a change in control occurs, any unvested outstanding stock optons, restricted stock, or restricted stock units would generally become immediately fully vested (with respect to performance awards, vestng would be either at target, maximum or other amount determined by the Compensaton Commitee), and, in the case of stock optons, exercisable or, in the case of restricted stock or RSUs, payable, unless the transacton resultng in the change in control provides that the award is to be assumed or replaced with an award of equivalent shares of the surviving parent corporaton. See “Potental Payments Upon Terminaton or Change in Control” below.</w:t>
      </w:r>
    </w:p>
    <w:p>
      <w:pPr>
        <w:spacing w:after="0" w:line="220" w:lineRule="exact"/>
        <w:rPr>
          <w:sz w:val="20"/>
          <w:szCs w:val="20"/>
          <w:color w:val="auto"/>
        </w:rPr>
      </w:pPr>
    </w:p>
    <w:p>
      <w:pPr>
        <w:ind w:right="200" w:firstLine="749"/>
        <w:spacing w:after="0" w:line="235" w:lineRule="auto"/>
        <w:rPr>
          <w:sz w:val="20"/>
          <w:szCs w:val="20"/>
          <w:color w:val="auto"/>
        </w:rPr>
      </w:pPr>
      <w:r>
        <w:rPr>
          <w:rFonts w:ascii="Calibri" w:cs="Calibri" w:eastAsia="Calibri" w:hAnsi="Calibri"/>
          <w:sz w:val="18"/>
          <w:szCs w:val="18"/>
          <w:color w:val="auto"/>
        </w:rPr>
        <w:t>Note that awards granted in May 2024 as part of our Fiscal 2025 compensaton program under our 2023 Incentve Plan are governed by diferent change in control provisions, as described below under "Fiscal 2025 Compensaton Developments."</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 Post-retrement Welfare Or Tax Gross-Ups</w:t>
      </w:r>
    </w:p>
    <w:p>
      <w:pPr>
        <w:spacing w:after="0" w:line="109" w:lineRule="exact"/>
        <w:rPr>
          <w:sz w:val="20"/>
          <w:szCs w:val="20"/>
          <w:color w:val="auto"/>
        </w:rPr>
      </w:pPr>
    </w:p>
    <w:p>
      <w:pPr>
        <w:ind w:right="280" w:firstLine="749"/>
        <w:spacing w:after="0" w:line="235" w:lineRule="auto"/>
        <w:rPr>
          <w:sz w:val="20"/>
          <w:szCs w:val="20"/>
          <w:color w:val="auto"/>
        </w:rPr>
      </w:pPr>
      <w:r>
        <w:rPr>
          <w:rFonts w:ascii="Calibri" w:cs="Calibri" w:eastAsia="Calibri" w:hAnsi="Calibri"/>
          <w:sz w:val="18"/>
          <w:szCs w:val="18"/>
          <w:color w:val="auto"/>
        </w:rPr>
        <w:t>The Company does not provide post-retrement welfare benefts to the Named Executve Ofcers. During employment, the Named Executve Ofcers partcipate in the broad-based employee health insurance plans available to employees of the Company generally. Further, the Company does not provide for gross-ups of excise taxes under Secton 4999 of the Code to any of the Named Executve Ofcers.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Other Compensaton Policies and Practces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Ownership Guidelines</w:t>
      </w:r>
    </w:p>
    <w:p>
      <w:pPr>
        <w:spacing w:after="0" w:line="109" w:lineRule="exact"/>
        <w:rPr>
          <w:sz w:val="20"/>
          <w:szCs w:val="20"/>
          <w:color w:val="auto"/>
        </w:rPr>
      </w:pPr>
    </w:p>
    <w:p>
      <w:pPr>
        <w:jc w:val="both"/>
        <w:ind w:right="160" w:firstLine="749"/>
        <w:spacing w:after="0" w:line="235" w:lineRule="auto"/>
        <w:rPr>
          <w:sz w:val="20"/>
          <w:szCs w:val="20"/>
          <w:color w:val="auto"/>
        </w:rPr>
      </w:pPr>
      <w:r>
        <w:rPr>
          <w:rFonts w:ascii="Calibri" w:cs="Calibri" w:eastAsia="Calibri" w:hAnsi="Calibri"/>
          <w:sz w:val="18"/>
          <w:szCs w:val="18"/>
          <w:color w:val="auto"/>
        </w:rPr>
        <w:t>In order to align the interests of the Named Executve Ofcers with our stockholders, and to promote a long-term focus for the ofcers, the Board of Directors has adopted executve stock ownership guidelines for the Company’s executve ofcers. The ownership goal for each Named Executve Ofcer is expressed as a dollar amount equal to a multple of base salary. The CEO’s goal is higher than the other executve ofcers (as detailed below).</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Calibri" w:cs="Calibri" w:eastAsia="Calibri" w:hAnsi="Calibri"/>
                <w:sz w:val="14"/>
                <w:szCs w:val="14"/>
                <w:b w:val="1"/>
                <w:bCs w:val="1"/>
                <w:color w:val="auto"/>
              </w:rPr>
              <w:t>Multple of</w:t>
            </w:r>
          </w:p>
        </w:tc>
      </w:tr>
      <w:tr>
        <w:trPr>
          <w:trHeight w:val="175"/>
        </w:trPr>
        <w:tc>
          <w:tcPr>
            <w:tcW w:w="3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Calibri" w:cs="Calibri" w:eastAsia="Calibri" w:hAnsi="Calibri"/>
                <w:sz w:val="14"/>
                <w:szCs w:val="14"/>
                <w:b w:val="1"/>
                <w:bCs w:val="1"/>
                <w:color w:val="auto"/>
              </w:rPr>
              <w:t>Salary</w:t>
            </w:r>
          </w:p>
        </w:tc>
      </w:tr>
      <w:tr>
        <w:trPr>
          <w:trHeight w:val="175"/>
        </w:trPr>
        <w:tc>
          <w:tcPr>
            <w:tcW w:w="3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Calibri" w:cs="Calibri" w:eastAsia="Calibri" w:hAnsi="Calibri"/>
                <w:sz w:val="14"/>
                <w:szCs w:val="14"/>
                <w:b w:val="1"/>
                <w:bCs w:val="1"/>
                <w:color w:val="auto"/>
              </w:rPr>
              <w:t>Ownership</w:t>
            </w:r>
          </w:p>
        </w:tc>
      </w:tr>
      <w:tr>
        <w:trPr>
          <w:trHeight w:val="168"/>
        </w:trPr>
        <w:tc>
          <w:tcPr>
            <w:tcW w:w="4560" w:type="dxa"/>
            <w:vAlign w:val="bottom"/>
            <w:gridSpan w:val="2"/>
          </w:tcPr>
          <w:p>
            <w:pPr>
              <w:spacing w:after="0" w:line="169" w:lineRule="exact"/>
              <w:rPr>
                <w:sz w:val="20"/>
                <w:szCs w:val="20"/>
                <w:color w:val="auto"/>
              </w:rPr>
            </w:pPr>
            <w:r>
              <w:rPr>
                <w:rFonts w:ascii="Calibri" w:cs="Calibri" w:eastAsia="Calibri" w:hAnsi="Calibri"/>
                <w:sz w:val="14"/>
                <w:szCs w:val="14"/>
                <w:b w:val="1"/>
                <w:bCs w:val="1"/>
                <w:color w:val="auto"/>
              </w:rPr>
              <w:t>Name</w:t>
            </w:r>
          </w:p>
        </w:tc>
        <w:tc>
          <w:tcPr>
            <w:tcW w:w="2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Guidelines</w:t>
            </w: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7"/>
        </w:trPr>
        <w:tc>
          <w:tcPr>
            <w:tcW w:w="4560" w:type="dxa"/>
            <w:vAlign w:val="bottom"/>
            <w:tcBorders>
              <w:bottom w:val="single" w:sz="8" w:color="CFF0FC"/>
            </w:tcBorders>
            <w:gridSpan w:val="2"/>
            <w:shd w:val="clear" w:color="auto" w:fill="CFF0FC"/>
          </w:tcPr>
          <w:p>
            <w:pPr>
              <w:spacing w:after="0" w:line="208" w:lineRule="exact"/>
              <w:rPr>
                <w:sz w:val="20"/>
                <w:szCs w:val="20"/>
                <w:color w:val="auto"/>
              </w:rPr>
            </w:pPr>
            <w:r>
              <w:rPr>
                <w:rFonts w:ascii="Calibri" w:cs="Calibri" w:eastAsia="Calibri" w:hAnsi="Calibri"/>
                <w:sz w:val="18"/>
                <w:szCs w:val="18"/>
                <w:color w:val="auto"/>
              </w:rPr>
              <w:t>Michael R. Haack</w:t>
            </w:r>
          </w:p>
        </w:tc>
        <w:tc>
          <w:tcPr>
            <w:tcW w:w="2180" w:type="dxa"/>
            <w:vAlign w:val="bottom"/>
            <w:tcBorders>
              <w:bottom w:val="single" w:sz="8" w:color="CFF0FC"/>
            </w:tcBorders>
            <w:shd w:val="clear" w:color="auto" w:fill="CFF0FC"/>
          </w:tcPr>
          <w:p>
            <w:pPr>
              <w:jc w:val="center"/>
              <w:spacing w:after="0" w:line="208" w:lineRule="exact"/>
              <w:rPr>
                <w:sz w:val="20"/>
                <w:szCs w:val="20"/>
                <w:color w:val="auto"/>
              </w:rPr>
            </w:pPr>
            <w:r>
              <w:rPr>
                <w:rFonts w:ascii="Calibri" w:cs="Calibri" w:eastAsia="Calibri" w:hAnsi="Calibri"/>
                <w:sz w:val="18"/>
                <w:szCs w:val="18"/>
                <w:color w:val="auto"/>
              </w:rPr>
              <w:t>5X</w:t>
            </w:r>
          </w:p>
        </w:tc>
      </w:tr>
      <w:tr>
        <w:trPr>
          <w:trHeight w:val="215"/>
        </w:trPr>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D. Craig Kesler</w:t>
            </w:r>
          </w:p>
        </w:tc>
        <w:tc>
          <w:tcPr>
            <w:tcW w:w="2180" w:type="dxa"/>
            <w:vAlign w:val="bottom"/>
          </w:tcPr>
          <w:p>
            <w:pPr>
              <w:jc w:val="center"/>
              <w:spacing w:after="0" w:line="215" w:lineRule="exact"/>
              <w:rPr>
                <w:sz w:val="20"/>
                <w:szCs w:val="20"/>
                <w:color w:val="auto"/>
              </w:rPr>
            </w:pPr>
            <w:r>
              <w:rPr>
                <w:rFonts w:ascii="Calibri" w:cs="Calibri" w:eastAsia="Calibri" w:hAnsi="Calibri"/>
                <w:sz w:val="18"/>
                <w:szCs w:val="18"/>
                <w:color w:val="auto"/>
              </w:rPr>
              <w:t>3X</w:t>
            </w:r>
          </w:p>
        </w:tc>
      </w:tr>
      <w:tr>
        <w:trPr>
          <w:trHeight w:val="28"/>
        </w:trPr>
        <w:tc>
          <w:tcPr>
            <w:tcW w:w="3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3"/>
        </w:trPr>
        <w:tc>
          <w:tcPr>
            <w:tcW w:w="4560" w:type="dxa"/>
            <w:vAlign w:val="bottom"/>
            <w:tcBorders>
              <w:bottom w:val="single" w:sz="8" w:color="CFF0FC"/>
            </w:tcBorders>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Mat Newby</w:t>
            </w:r>
          </w:p>
        </w:tc>
        <w:tc>
          <w:tcPr>
            <w:tcW w:w="2180" w:type="dxa"/>
            <w:vAlign w:val="bottom"/>
            <w:tcBorders>
              <w:bottom w:val="single" w:sz="8" w:color="CFF0FC"/>
            </w:tcBorders>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3X</w:t>
            </w:r>
          </w:p>
        </w:tc>
      </w:tr>
      <w:tr>
        <w:trPr>
          <w:trHeight w:val="215"/>
        </w:trPr>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Eric Cribbs</w:t>
            </w:r>
          </w:p>
        </w:tc>
        <w:tc>
          <w:tcPr>
            <w:tcW w:w="2180" w:type="dxa"/>
            <w:vAlign w:val="bottom"/>
          </w:tcPr>
          <w:p>
            <w:pPr>
              <w:jc w:val="center"/>
              <w:spacing w:after="0" w:line="215" w:lineRule="exact"/>
              <w:rPr>
                <w:sz w:val="20"/>
                <w:szCs w:val="20"/>
                <w:color w:val="auto"/>
              </w:rPr>
            </w:pPr>
            <w:r>
              <w:rPr>
                <w:rFonts w:ascii="Calibri" w:cs="Calibri" w:eastAsia="Calibri" w:hAnsi="Calibri"/>
                <w:sz w:val="18"/>
                <w:szCs w:val="18"/>
                <w:color w:val="auto"/>
              </w:rPr>
              <w:t>3X</w:t>
            </w:r>
          </w:p>
        </w:tc>
      </w:tr>
      <w:tr>
        <w:trPr>
          <w:trHeight w:val="28"/>
        </w:trPr>
        <w:tc>
          <w:tcPr>
            <w:tcW w:w="3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15"/>
        </w:trPr>
        <w:tc>
          <w:tcPr>
            <w:tcW w:w="4560" w:type="dxa"/>
            <w:vAlign w:val="bottom"/>
            <w:gridSpan w:val="2"/>
            <w:shd w:val="clear" w:color="auto" w:fill="CFF0FC"/>
          </w:tcPr>
          <w:p>
            <w:pPr>
              <w:spacing w:after="0" w:line="215" w:lineRule="exact"/>
              <w:rPr>
                <w:sz w:val="20"/>
                <w:szCs w:val="20"/>
                <w:color w:val="auto"/>
              </w:rPr>
            </w:pPr>
            <w:r>
              <w:rPr>
                <w:rFonts w:ascii="Calibri" w:cs="Calibri" w:eastAsia="Calibri" w:hAnsi="Calibri"/>
                <w:sz w:val="18"/>
                <w:szCs w:val="18"/>
                <w:color w:val="auto"/>
              </w:rPr>
              <w:t>Tony Thompson</w:t>
            </w:r>
          </w:p>
        </w:tc>
        <w:tc>
          <w:tcPr>
            <w:tcW w:w="2180" w:type="dxa"/>
            <w:vAlign w:val="bottom"/>
            <w:shd w:val="clear" w:color="auto" w:fill="CFF0FC"/>
          </w:tcPr>
          <w:p>
            <w:pPr>
              <w:jc w:val="center"/>
              <w:spacing w:after="0" w:line="215" w:lineRule="exact"/>
              <w:rPr>
                <w:sz w:val="20"/>
                <w:szCs w:val="20"/>
                <w:color w:val="auto"/>
              </w:rPr>
            </w:pPr>
            <w:r>
              <w:rPr>
                <w:rFonts w:ascii="Calibri" w:cs="Calibri" w:eastAsia="Calibri" w:hAnsi="Calibri"/>
                <w:sz w:val="18"/>
                <w:szCs w:val="18"/>
                <w:color w:val="auto"/>
              </w:rPr>
              <w:t>3X</w:t>
            </w:r>
          </w:p>
        </w:tc>
      </w:tr>
      <w:tr>
        <w:trPr>
          <w:trHeight w:val="28"/>
        </w:trPr>
        <w:tc>
          <w:tcPr>
            <w:tcW w:w="360" w:type="dxa"/>
            <w:vAlign w:val="bottom"/>
            <w:shd w:val="clear" w:color="auto" w:fill="CFF0FC"/>
          </w:tcPr>
          <w:p>
            <w:pPr>
              <w:spacing w:after="0"/>
              <w:rPr>
                <w:sz w:val="2"/>
                <w:szCs w:val="2"/>
                <w:color w:val="auto"/>
              </w:rPr>
            </w:pPr>
          </w:p>
        </w:tc>
        <w:tc>
          <w:tcPr>
            <w:tcW w:w="4200" w:type="dxa"/>
            <w:vAlign w:val="bottom"/>
            <w:shd w:val="clear" w:color="auto" w:fill="CFF0FC"/>
          </w:tcPr>
          <w:p>
            <w:pPr>
              <w:spacing w:after="0"/>
              <w:rPr>
                <w:sz w:val="2"/>
                <w:szCs w:val="2"/>
                <w:color w:val="auto"/>
              </w:rPr>
            </w:pPr>
          </w:p>
        </w:tc>
        <w:tc>
          <w:tcPr>
            <w:tcW w:w="2180" w:type="dxa"/>
            <w:vAlign w:val="bottom"/>
            <w:shd w:val="clear" w:color="auto" w:fill="CFF0FC"/>
          </w:tcPr>
          <w:p>
            <w:pPr>
              <w:spacing w:after="0"/>
              <w:rPr>
                <w:sz w:val="2"/>
                <w:szCs w:val="2"/>
                <w:color w:val="auto"/>
              </w:rPr>
            </w:pPr>
          </w:p>
        </w:tc>
      </w:tr>
    </w:tbl>
    <w:p>
      <w:pPr>
        <w:spacing w:after="0" w:line="86" w:lineRule="exact"/>
        <w:rPr>
          <w:sz w:val="20"/>
          <w:szCs w:val="20"/>
          <w:color w:val="auto"/>
        </w:rPr>
      </w:pPr>
    </w:p>
    <w:p>
      <w:pPr>
        <w:ind w:right="320" w:firstLine="749"/>
        <w:spacing w:after="0" w:line="235" w:lineRule="auto"/>
        <w:rPr>
          <w:sz w:val="20"/>
          <w:szCs w:val="20"/>
          <w:color w:val="auto"/>
        </w:rPr>
      </w:pPr>
      <w:r>
        <w:rPr>
          <w:rFonts w:ascii="Calibri" w:cs="Calibri" w:eastAsia="Calibri" w:hAnsi="Calibri"/>
          <w:sz w:val="18"/>
          <w:szCs w:val="18"/>
          <w:color w:val="auto"/>
        </w:rPr>
        <w:t>The goal is met when the ofcer’s current share value meets or exceeds the goal. The current share value for determining whether the goal is initally met is calculated by using the greatest of the following calculaton methods: (i) the sum of the grant date fair value of current shares held by the ofcer; (ii) the current shares valued at the current market price; or (iii) the current shares valued at an average stock price (the average of the prior three management equity incentve grant prices).</w:t>
      </w:r>
    </w:p>
    <w:p>
      <w:pPr>
        <w:spacing w:after="0" w:line="10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Untl an ofcer has achieved the goal, he or she is required to retain all net shares received from the Company.</w:t>
      </w:r>
    </w:p>
    <w:p>
      <w:pPr>
        <w:spacing w:after="0" w:line="10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Once an ofcer has achieved the goal, he or she may sell shares of Common Stock to the extent the value of post-sale share holdings (valued at the greater of current price and average price) exceeds the goal.</w:t>
      </w:r>
    </w:p>
    <w:p>
      <w:pPr>
        <w:spacing w:after="0" w:line="213"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Types of ownership counted toward the goal include the following:</w:t>
      </w:r>
    </w:p>
    <w:p>
      <w:pPr>
        <w:spacing w:after="0" w:line="104" w:lineRule="exact"/>
        <w:rPr>
          <w:sz w:val="20"/>
          <w:szCs w:val="20"/>
          <w:color w:val="auto"/>
        </w:rPr>
      </w:pPr>
    </w:p>
    <w:p>
      <w:pPr>
        <w:ind w:left="1500" w:hanging="369"/>
        <w:spacing w:after="0"/>
        <w:tabs>
          <w:tab w:leader="none" w:pos="1500" w:val="left"/>
        </w:tabs>
        <w:numPr>
          <w:ilvl w:val="0"/>
          <w:numId w:val="38"/>
        </w:numPr>
        <w:rPr>
          <w:rFonts w:ascii="Times New Roman" w:cs="Times New Roman" w:eastAsia="Times New Roman" w:hAnsi="Times New Roman"/>
          <w:sz w:val="16"/>
          <w:szCs w:val="16"/>
          <w:color w:val="auto"/>
        </w:rPr>
      </w:pPr>
      <w:r>
        <w:rPr>
          <w:rFonts w:ascii="Calibri" w:cs="Calibri" w:eastAsia="Calibri" w:hAnsi="Calibri"/>
          <w:sz w:val="18"/>
          <w:szCs w:val="18"/>
          <w:color w:val="auto"/>
        </w:rPr>
        <w:t>Direct holdings;</w:t>
      </w:r>
    </w:p>
    <w:p>
      <w:pPr>
        <w:spacing w:after="0" w:line="109" w:lineRule="exact"/>
        <w:rPr>
          <w:rFonts w:ascii="Times New Roman" w:cs="Times New Roman" w:eastAsia="Times New Roman" w:hAnsi="Times New Roman"/>
          <w:sz w:val="16"/>
          <w:szCs w:val="16"/>
          <w:color w:val="auto"/>
        </w:rPr>
      </w:pPr>
    </w:p>
    <w:p>
      <w:pPr>
        <w:ind w:left="1500" w:hanging="369"/>
        <w:spacing w:after="0" w:line="235" w:lineRule="auto"/>
        <w:tabs>
          <w:tab w:leader="none" w:pos="1500" w:val="left"/>
        </w:tabs>
        <w:numPr>
          <w:ilvl w:val="0"/>
          <w:numId w:val="38"/>
        </w:numPr>
        <w:rPr>
          <w:rFonts w:ascii="Times New Roman" w:cs="Times New Roman" w:eastAsia="Times New Roman" w:hAnsi="Times New Roman"/>
          <w:sz w:val="16"/>
          <w:szCs w:val="16"/>
          <w:color w:val="auto"/>
        </w:rPr>
      </w:pPr>
      <w:r>
        <w:rPr>
          <w:rFonts w:ascii="Calibri" w:cs="Calibri" w:eastAsia="Calibri" w:hAnsi="Calibri"/>
          <w:sz w:val="18"/>
          <w:szCs w:val="18"/>
          <w:color w:val="auto"/>
        </w:rPr>
        <w:t>Shares represented by tme-vestng restricted stock or RSUs and performance-vestng restricted stock or RSUs for which the performance conditon has been satsfed;</w:t>
      </w:r>
    </w:p>
    <w:p>
      <w:pPr>
        <w:spacing w:after="0" w:line="104"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38"/>
        </w:numPr>
        <w:rPr>
          <w:rFonts w:ascii="Times New Roman" w:cs="Times New Roman" w:eastAsia="Times New Roman" w:hAnsi="Times New Roman"/>
          <w:sz w:val="16"/>
          <w:szCs w:val="16"/>
          <w:color w:val="auto"/>
        </w:rPr>
      </w:pPr>
      <w:r>
        <w:rPr>
          <w:rFonts w:ascii="Calibri" w:cs="Calibri" w:eastAsia="Calibri" w:hAnsi="Calibri"/>
          <w:sz w:val="18"/>
          <w:szCs w:val="18"/>
          <w:color w:val="auto"/>
        </w:rPr>
        <w:t>Stock holdings in our Retrement Plan; and</w:t>
      </w:r>
    </w:p>
    <w:p>
      <w:pPr>
        <w:spacing w:after="0" w:line="9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3" w:name="page54"/>
    <w:bookmarkEnd w:id="53"/>
    <w:p>
      <w:pPr>
        <w:ind w:left="1500" w:hanging="369"/>
        <w:spacing w:after="0"/>
        <w:tabs>
          <w:tab w:leader="none" w:pos="1500" w:val="left"/>
        </w:tabs>
        <w:numPr>
          <w:ilvl w:val="0"/>
          <w:numId w:val="39"/>
        </w:numPr>
        <w:rPr>
          <w:rFonts w:ascii="Times New Roman" w:cs="Times New Roman" w:eastAsia="Times New Roman" w:hAnsi="Times New Roman"/>
          <w:sz w:val="16"/>
          <w:szCs w:val="16"/>
          <w:color w:val="auto"/>
        </w:rPr>
      </w:pPr>
      <w:r>
        <w:rPr>
          <w:rFonts w:ascii="Calibri" w:cs="Calibri" w:eastAsia="Calibri" w:hAnsi="Calibri"/>
          <w:sz w:val="18"/>
          <w:szCs w:val="18"/>
          <w:color w:val="auto"/>
        </w:rPr>
        <w:t>Indirect holdings, such as shares owned by a family member residing in the same household.</w:t>
      </w:r>
    </w:p>
    <w:p>
      <w:pPr>
        <w:spacing w:after="0" w:line="217" w:lineRule="exact"/>
        <w:rPr>
          <w:sz w:val="20"/>
          <w:szCs w:val="20"/>
          <w:color w:val="auto"/>
        </w:rPr>
      </w:pPr>
    </w:p>
    <w:p>
      <w:pPr>
        <w:jc w:val="both"/>
        <w:ind w:right="320" w:firstLine="749"/>
        <w:spacing w:after="0" w:line="235" w:lineRule="auto"/>
        <w:rPr>
          <w:sz w:val="20"/>
          <w:szCs w:val="20"/>
          <w:color w:val="auto"/>
        </w:rPr>
      </w:pPr>
      <w:r>
        <w:rPr>
          <w:rFonts w:ascii="Calibri" w:cs="Calibri" w:eastAsia="Calibri" w:hAnsi="Calibri"/>
          <w:sz w:val="18"/>
          <w:szCs w:val="18"/>
          <w:color w:val="auto"/>
        </w:rPr>
        <w:t>The Compensaton Commitee reviews compliance with the ownership guidelines on an annual basis. Newly elected ofcers have fve years to meet the applicable ownership requirement. As of the record date for the 2024 annual meetng, all Named Executve Ofcers are in compliance with the guidelines.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Recoupment (Clawback) Policies</w:t>
      </w:r>
    </w:p>
    <w:p>
      <w:pPr>
        <w:spacing w:after="0" w:line="217" w:lineRule="exact"/>
        <w:rPr>
          <w:sz w:val="20"/>
          <w:szCs w:val="20"/>
          <w:color w:val="auto"/>
        </w:rPr>
      </w:pPr>
    </w:p>
    <w:p>
      <w:pPr>
        <w:ind w:right="160" w:firstLine="749"/>
        <w:spacing w:after="0" w:line="251" w:lineRule="auto"/>
        <w:rPr>
          <w:sz w:val="20"/>
          <w:szCs w:val="20"/>
          <w:color w:val="auto"/>
        </w:rPr>
      </w:pPr>
      <w:r>
        <w:rPr>
          <w:rFonts w:ascii="Calibri" w:cs="Calibri" w:eastAsia="Calibri" w:hAnsi="Calibri"/>
          <w:sz w:val="17"/>
          <w:szCs w:val="17"/>
          <w:color w:val="auto"/>
        </w:rPr>
        <w:t>We maintain two recoupment (clawback) policies. Our executve ofcer clawback policy (COR-05 - Recoupment Policy) complies with the requirements of the SEC and NYSE Listng Standards and provides for recovery of certain incentve-based compensaton erroneously received by current or former executve ofcers, including our Named Executve Ofcers, during the three completed fscal years immediately preceding the year in which we are required to prepare an accountng restatement due to material noncompliance with fnancial reportng requirements. With narrow and limited exceptons, erroneous payments must be recovered even if there was no misconduct or failure of oversight on the part of the individual executve ofcer.</w:t>
      </w:r>
    </w:p>
    <w:p>
      <w:pPr>
        <w:spacing w:after="0" w:line="211"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Our second clawback policy (COR-06 - Supplemental Recoupment Policy) applies to current and former ofcers of the Company or its subsidiaries, including our Named Executve Ofcers, and functons independently of our executve ofcer clawback policy. This clawback policy gives the Board discreton to pursue recovery of incentve-based compensaton erroneously received by such ofcers during the three-year period immediately preceding the date the Company is required to prepare an accountng restatement. To the extent recovery is made against an individual under the Recoupment Policy, then there shall be no duplicaton of recovery under the Supplemental Recoupment Policy.</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 Hedging, Pledging or Margin Accounts</w:t>
      </w:r>
    </w:p>
    <w:p>
      <w:pPr>
        <w:spacing w:after="0" w:line="109"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Under our insider trading policy, all of our directors and employees (including our Named Executve Ofcers) are prohibited from (i) speculatng in our securites or engaging in transactons designed to hedge their ownership interests; (ii) pledging their Company securites as collateral for a loan; or (iii) holding any Company securites in a margin account.</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Consideraton of the Tax Deductbility of Compensaton</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Secton 162(m) of the Internal Revenue Code generally disallows a tax deducton for public corporatons for compensaton over $1,000,000 paid in any fscal year to the corporaton’s chief executve ofcer and certain other executve ofcers. Despite this fact, the Compensaton Commitee intends to contnue to implement compensaton programs that it believes are compettve and in the best interests of the Company and its stockholders. Accordingly, the Compensaton Commitee may approve compensatory arrangements that provide for non-deductble payments or benefts when it determines that such arrangements are consistent with the Company's business needs and in the best interest of the Company and its stockholders.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Risk</w:t>
      </w:r>
    </w:p>
    <w:p>
      <w:pPr>
        <w:spacing w:after="0" w:line="325"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Although a signifcant porton of potental compensaton to our executve ofcers is performance-based, we do not believe that our compensaton policies, principles, objectves and practces are structured to promote inappropriate risk taking by our executves. We believe that the focus of our overall compensaton program encourages management to take a balanced approach that focuses on increasing and sustaining our proftability. See “Board Leadership Structure and Role in Risk Oversight — Risk Assessment in Compensaton Programs” above.</w:t>
      </w:r>
    </w:p>
    <w:p>
      <w:pPr>
        <w:spacing w:after="0" w:line="32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Fiscal 2025 Compensaton Developments</w:t>
      </w:r>
    </w:p>
    <w:p>
      <w:pPr>
        <w:spacing w:after="0" w:line="223" w:lineRule="exact"/>
        <w:rPr>
          <w:sz w:val="20"/>
          <w:szCs w:val="20"/>
          <w:color w:val="auto"/>
        </w:rPr>
      </w:pPr>
    </w:p>
    <w:p>
      <w:pPr>
        <w:ind w:right="40" w:firstLine="749"/>
        <w:spacing w:after="0" w:line="249" w:lineRule="auto"/>
        <w:rPr>
          <w:sz w:val="20"/>
          <w:szCs w:val="20"/>
          <w:color w:val="auto"/>
        </w:rPr>
      </w:pPr>
      <w:r>
        <w:rPr>
          <w:rFonts w:ascii="Calibri" w:cs="Calibri" w:eastAsia="Calibri" w:hAnsi="Calibri"/>
          <w:sz w:val="17"/>
          <w:szCs w:val="17"/>
          <w:color w:val="auto"/>
        </w:rPr>
        <w:t>In light of a review of the Company’s long-term compensaton program during the course of fscal 2024 and taking into consideraton stockholder feedback, in May 2024, the Compensaton Commitee modifed several aspects of the Company’s long-term compensaton program for fscal 2025, including</w:t>
      </w:r>
    </w:p>
    <w:p>
      <w:pPr>
        <w:spacing w:after="0" w:line="1" w:lineRule="exact"/>
        <w:rPr>
          <w:sz w:val="20"/>
          <w:szCs w:val="20"/>
          <w:color w:val="auto"/>
        </w:rPr>
      </w:pPr>
    </w:p>
    <w:p>
      <w:pPr>
        <w:ind w:right="460" w:firstLine="8"/>
        <w:spacing w:after="0" w:line="235" w:lineRule="auto"/>
        <w:tabs>
          <w:tab w:leader="none" w:pos="186"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entre performance-vestng award is subject to a three-year performance period; (ii) the performance-vestng award is subject to more than one performance metric; and (iii) the equity awards are subject to the 2023 Incentve Plan's "double-trigger" change in control provisions.</w:t>
      </w:r>
    </w:p>
    <w:p>
      <w:pPr>
        <w:spacing w:after="0" w:line="218" w:lineRule="exact"/>
        <w:rPr>
          <w:sz w:val="20"/>
          <w:szCs w:val="20"/>
          <w:color w:val="auto"/>
        </w:rPr>
      </w:pPr>
    </w:p>
    <w:p>
      <w:pPr>
        <w:ind w:right="220" w:firstLine="749"/>
        <w:spacing w:after="0" w:line="235" w:lineRule="auto"/>
        <w:rPr>
          <w:sz w:val="20"/>
          <w:szCs w:val="20"/>
          <w:color w:val="auto"/>
        </w:rPr>
      </w:pPr>
      <w:r>
        <w:rPr>
          <w:rFonts w:ascii="Calibri" w:cs="Calibri" w:eastAsia="Calibri" w:hAnsi="Calibri"/>
          <w:sz w:val="18"/>
          <w:szCs w:val="18"/>
          <w:color w:val="auto"/>
        </w:rPr>
        <w:t>As we disclosed in our Form 8-K fled with the SEC on May 31, 2024, efectve May 24, 2024, the Compensaton Commitee, as part of its annual compensaton review, approved long-term incentve equity awards under the 2023 Incentve Plan to a group of the Company’s</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Eagle Materials Inc. - 2024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4" w:right="419" w:bottom="1440" w:gutter="0" w:footer="0" w:header="0"/>
        </w:sectPr>
      </w:pPr>
    </w:p>
    <w:bookmarkStart w:id="54" w:name="page55"/>
    <w:bookmarkEnd w:id="54"/>
    <w:p>
      <w:pPr>
        <w:ind w:right="180"/>
        <w:spacing w:after="0" w:line="235" w:lineRule="auto"/>
        <w:rPr>
          <w:sz w:val="20"/>
          <w:szCs w:val="20"/>
          <w:color w:val="auto"/>
        </w:rPr>
      </w:pPr>
      <w:r>
        <w:rPr>
          <w:rFonts w:ascii="Calibri" w:cs="Calibri" w:eastAsia="Calibri" w:hAnsi="Calibri"/>
          <w:sz w:val="18"/>
          <w:szCs w:val="18"/>
          <w:color w:val="auto"/>
        </w:rPr>
        <w:t>ofcers, including some of its Named Executve Ofcers. The awards are comprised of performance-vestng restricted stock units (“PSUs”) and tme-vestng restricted stock units (“RSUs”).</w:t>
      </w:r>
    </w:p>
    <w:p>
      <w:pPr>
        <w:spacing w:after="0" w:line="123" w:lineRule="exact"/>
        <w:rPr>
          <w:sz w:val="20"/>
          <w:szCs w:val="20"/>
          <w:color w:val="auto"/>
        </w:rPr>
      </w:pPr>
    </w:p>
    <w:p>
      <w:pPr>
        <w:ind w:left="1020" w:right="8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the PSUs to be earned, the Company must achieve performance vestng criteria based on the Company’s average return on equity measured at the end fscal 2027 (three-year performance period), as modifed based on the Company’s average absolute total stockholder return during the performance period. Threshold performance will result in a vestng percentage of 50% of target and maximum performance will result in a vestng percentage of 200% of target. Earned PSUs will be paid in shares of Common Stock promptly following the performance certfcaton date. During the performance period, the PSUs will accrue dividend-equivalent restricted stock units, which will be paid in shares of Common Stock with respect to any earned PSUs.</w:t>
      </w:r>
    </w:p>
    <w:p>
      <w:pPr>
        <w:spacing w:after="0" w:line="126"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RSUs will vest ratably over the three fscal year-ends following the date of grant (assuming contnued service by the relevant ofcer); provided, the frst vestng will occur on the one-year anniversary of the date of grant. RSUs will be paid in shares of Common Stock promptly following a vestng date. During the vestng period, the RSUs will accrue dividend-equivalent restricted stock units, which will be paid in shares of Common Stock with respect to any vested RSUs.</w:t>
      </w:r>
    </w:p>
    <w:p>
      <w:pPr>
        <w:spacing w:after="0" w:line="21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fscal 2025 long-term equity awards are subject to the "double-trigger" change in control provisions of the 2023 Incentve Plan, as described in our 2023 proxy statement.</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Eagle Materials Inc. - 2024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55" w:name="page56"/>
    <w:bookmarkEnd w:id="55"/>
    <w:p>
      <w:pPr>
        <w:jc w:val="center"/>
        <w:spacing w:after="0"/>
        <w:rPr>
          <w:sz w:val="20"/>
          <w:szCs w:val="20"/>
          <w:color w:val="auto"/>
        </w:rPr>
      </w:pPr>
      <w:r>
        <w:rPr>
          <w:rFonts w:ascii="Calibri" w:cs="Calibri" w:eastAsia="Calibri" w:hAnsi="Calibri"/>
          <w:sz w:val="25"/>
          <w:szCs w:val="25"/>
          <w:b w:val="1"/>
          <w:bCs w:val="1"/>
          <w:color w:val="4472C4"/>
        </w:rPr>
        <w:t>EXECUTIVE COMPENSATION</w:t>
      </w:r>
    </w:p>
    <w:p>
      <w:pPr>
        <w:spacing w:after="0" w:line="3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Fiscal 2024 Summary Compensaton Table</w:t>
      </w:r>
    </w:p>
    <w:p>
      <w:pPr>
        <w:spacing w:after="0" w:line="21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following table summarizes all fscal 2022, 2023 and 2024 compensaton earned by or paid to our Named Executve Ofcers, who consist of our Chief Executve Ofcer, our Chief Financial Ofcer and the three most highly compensated executve ofcers (other than the Chief Executve Ofcer and Chief Financial Ofcer) who were serving as executve ofcers at fscal year-end, as well as two former executve ofcers who retred from the Company during the fscal year and are included in this table in accordance with Item 402(a)(3)(iv) of Regulaton S-K</w:t>
      </w:r>
      <w:r>
        <w:rPr>
          <w:rFonts w:ascii="Calibri" w:cs="Calibri" w:eastAsia="Calibri" w:hAnsi="Calibri"/>
          <w:sz w:val="18"/>
          <w:szCs w:val="18"/>
          <w:b w:val="1"/>
          <w:bCs w:val="1"/>
          <w:color w:val="auto"/>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Non-Equity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alibri" w:cs="Calibri" w:eastAsia="Calibri" w:hAnsi="Calibri"/>
                <w:sz w:val="14"/>
                <w:szCs w:val="14"/>
                <w:b w:val="1"/>
                <w:bCs w:val="1"/>
                <w:color w:val="auto"/>
              </w:rPr>
              <w:t>Fiscal</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Incentve</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8"/>
              <w:spacing w:after="0" w:line="159" w:lineRule="exact"/>
              <w:rPr>
                <w:sz w:val="20"/>
                <w:szCs w:val="20"/>
                <w:color w:val="auto"/>
              </w:rPr>
            </w:pPr>
            <w:r>
              <w:rPr>
                <w:rFonts w:ascii="Calibri" w:cs="Calibri" w:eastAsia="Calibri" w:hAnsi="Calibri"/>
                <w:sz w:val="14"/>
                <w:szCs w:val="14"/>
                <w:b w:val="1"/>
                <w:bCs w:val="1"/>
                <w:color w:val="auto"/>
                <w:w w:val="99"/>
              </w:rPr>
              <w:t>Year</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Stock</w:t>
            </w:r>
          </w:p>
        </w:tc>
        <w:tc>
          <w:tcPr>
            <w:tcW w:w="30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Opton</w:t>
            </w:r>
          </w:p>
        </w:tc>
        <w:tc>
          <w:tcPr>
            <w:tcW w:w="24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Plan</w:t>
            </w:r>
          </w:p>
        </w:tc>
        <w:tc>
          <w:tcPr>
            <w:tcW w:w="22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All Other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82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Name and Principal</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Ended</w:t>
            </w:r>
          </w:p>
        </w:tc>
        <w:tc>
          <w:tcPr>
            <w:tcW w:w="120" w:type="dxa"/>
            <w:vAlign w:val="bottom"/>
          </w:tcPr>
          <w:p>
            <w:pPr>
              <w:spacing w:after="0"/>
              <w:rPr>
                <w:sz w:val="17"/>
                <w:szCs w:val="17"/>
                <w:color w:val="auto"/>
              </w:rPr>
            </w:pPr>
          </w:p>
        </w:tc>
        <w:tc>
          <w:tcPr>
            <w:tcW w:w="960" w:type="dxa"/>
            <w:vAlign w:val="bottom"/>
          </w:tcPr>
          <w:p>
            <w:pPr>
              <w:jc w:val="right"/>
              <w:ind w:right="164"/>
              <w:spacing w:after="0" w:line="198" w:lineRule="exact"/>
              <w:rPr>
                <w:sz w:val="20"/>
                <w:szCs w:val="20"/>
                <w:color w:val="auto"/>
              </w:rPr>
            </w:pPr>
            <w:r>
              <w:rPr>
                <w:rFonts w:ascii="Calibri" w:cs="Calibri" w:eastAsia="Calibri" w:hAnsi="Calibri"/>
                <w:sz w:val="14"/>
                <w:szCs w:val="14"/>
                <w:b w:val="1"/>
                <w:bCs w:val="1"/>
                <w:color w:val="auto"/>
              </w:rPr>
              <w:t>Salary</w:t>
            </w:r>
            <w:r>
              <w:rPr>
                <w:rFonts w:ascii="Calibri" w:cs="Calibri" w:eastAsia="Calibri" w:hAnsi="Calibri"/>
                <w:sz w:val="19"/>
                <w:szCs w:val="19"/>
                <w:b w:val="1"/>
                <w:bCs w:val="1"/>
                <w:color w:val="auto"/>
                <w:vertAlign w:val="superscript"/>
              </w:rPr>
              <w:t>(1)</w:t>
            </w:r>
          </w:p>
        </w:tc>
        <w:tc>
          <w:tcPr>
            <w:tcW w:w="24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Calibri" w:cs="Calibri" w:eastAsia="Calibri" w:hAnsi="Calibri"/>
                <w:sz w:val="14"/>
                <w:szCs w:val="14"/>
                <w:b w:val="1"/>
                <w:bCs w:val="1"/>
                <w:color w:val="auto"/>
                <w:w w:val="96"/>
              </w:rPr>
              <w:t>Awards</w:t>
            </w:r>
            <w:r>
              <w:rPr>
                <w:rFonts w:ascii="Calibri" w:cs="Calibri" w:eastAsia="Calibri" w:hAnsi="Calibri"/>
                <w:sz w:val="19"/>
                <w:szCs w:val="19"/>
                <w:b w:val="1"/>
                <w:bCs w:val="1"/>
                <w:color w:val="auto"/>
                <w:w w:val="96"/>
                <w:vertAlign w:val="superscript"/>
              </w:rPr>
              <w:t>(2)</w:t>
            </w:r>
          </w:p>
        </w:tc>
        <w:tc>
          <w:tcPr>
            <w:tcW w:w="3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Awards</w:t>
            </w:r>
          </w:p>
        </w:tc>
        <w:tc>
          <w:tcPr>
            <w:tcW w:w="24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Calibri" w:cs="Calibri" w:eastAsia="Calibri" w:hAnsi="Calibri"/>
                <w:sz w:val="14"/>
                <w:szCs w:val="14"/>
                <w:b w:val="1"/>
                <w:bCs w:val="1"/>
                <w:color w:val="auto"/>
              </w:rPr>
              <w:t>Compensaton</w:t>
            </w:r>
            <w:r>
              <w:rPr>
                <w:rFonts w:ascii="Calibri" w:cs="Calibri" w:eastAsia="Calibri" w:hAnsi="Calibri"/>
                <w:sz w:val="19"/>
                <w:szCs w:val="19"/>
                <w:b w:val="1"/>
                <w:bCs w:val="1"/>
                <w:color w:val="auto"/>
                <w:vertAlign w:val="superscript"/>
              </w:rPr>
              <w:t>(3)</w:t>
            </w:r>
          </w:p>
        </w:tc>
        <w:tc>
          <w:tcPr>
            <w:tcW w:w="22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Calibri" w:cs="Calibri" w:eastAsia="Calibri" w:hAnsi="Calibri"/>
                <w:sz w:val="14"/>
                <w:szCs w:val="14"/>
                <w:b w:val="1"/>
                <w:bCs w:val="1"/>
                <w:color w:val="auto"/>
              </w:rPr>
              <w:t>Compensaton</w:t>
            </w:r>
            <w:r>
              <w:rPr>
                <w:rFonts w:ascii="Calibri" w:cs="Calibri" w:eastAsia="Calibri" w:hAnsi="Calibri"/>
                <w:sz w:val="19"/>
                <w:szCs w:val="19"/>
                <w:b w:val="1"/>
                <w:bCs w:val="1"/>
                <w:color w:val="auto"/>
                <w:vertAlign w:val="superscript"/>
              </w:rPr>
              <w:t>(4)</w:t>
            </w:r>
          </w:p>
        </w:tc>
        <w:tc>
          <w:tcPr>
            <w:tcW w:w="200" w:type="dxa"/>
            <w:vAlign w:val="bottom"/>
          </w:tcPr>
          <w:p>
            <w:pPr>
              <w:spacing w:after="0"/>
              <w:rPr>
                <w:sz w:val="17"/>
                <w:szCs w:val="17"/>
                <w:color w:val="auto"/>
              </w:rPr>
            </w:pPr>
          </w:p>
        </w:tc>
        <w:tc>
          <w:tcPr>
            <w:tcW w:w="1020" w:type="dxa"/>
            <w:vAlign w:val="bottom"/>
            <w:gridSpan w:val="2"/>
          </w:tcPr>
          <w:p>
            <w:pPr>
              <w:ind w:left="32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3"/>
        </w:trPr>
        <w:tc>
          <w:tcPr>
            <w:tcW w:w="2820" w:type="dxa"/>
            <w:vAlign w:val="bottom"/>
            <w:gridSpan w:val="3"/>
          </w:tcPr>
          <w:p>
            <w:pPr>
              <w:ind w:left="20"/>
              <w:spacing w:after="0" w:line="163" w:lineRule="exact"/>
              <w:rPr>
                <w:sz w:val="20"/>
                <w:szCs w:val="20"/>
                <w:color w:val="auto"/>
              </w:rPr>
            </w:pPr>
            <w:r>
              <w:rPr>
                <w:rFonts w:ascii="Calibri" w:cs="Calibri" w:eastAsia="Calibri" w:hAnsi="Calibri"/>
                <w:sz w:val="14"/>
                <w:szCs w:val="14"/>
                <w:b w:val="1"/>
                <w:bCs w:val="1"/>
                <w:color w:val="auto"/>
              </w:rPr>
              <w:t>Positon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March 31,</w:t>
            </w:r>
          </w:p>
        </w:tc>
        <w:tc>
          <w:tcPr>
            <w:tcW w:w="1080" w:type="dxa"/>
            <w:vAlign w:val="bottom"/>
            <w:gridSpan w:val="2"/>
          </w:tcPr>
          <w:p>
            <w:pPr>
              <w:jc w:val="right"/>
              <w:ind w:right="324"/>
              <w:spacing w:after="0" w:line="163" w:lineRule="exact"/>
              <w:rPr>
                <w:sz w:val="20"/>
                <w:szCs w:val="20"/>
                <w:color w:val="auto"/>
              </w:rPr>
            </w:pPr>
            <w:r>
              <w:rPr>
                <w:rFonts w:ascii="Calibri" w:cs="Calibri" w:eastAsia="Calibri" w:hAnsi="Calibri"/>
                <w:sz w:val="14"/>
                <w:szCs w:val="14"/>
                <w:b w:val="1"/>
                <w:bCs w:val="1"/>
                <w:color w:val="auto"/>
              </w:rPr>
              <w:t>($)</w:t>
            </w:r>
          </w:p>
        </w:tc>
        <w:tc>
          <w:tcPr>
            <w:tcW w:w="1240" w:type="dxa"/>
            <w:vAlign w:val="bottom"/>
            <w:gridSpan w:val="2"/>
          </w:tcPr>
          <w:p>
            <w:pPr>
              <w:jc w:val="center"/>
              <w:ind w:left="160"/>
              <w:spacing w:after="0" w:line="163" w:lineRule="exact"/>
              <w:rPr>
                <w:sz w:val="20"/>
                <w:szCs w:val="20"/>
                <w:color w:val="auto"/>
              </w:rPr>
            </w:pPr>
            <w:r>
              <w:rPr>
                <w:rFonts w:ascii="Calibri" w:cs="Calibri" w:eastAsia="Calibri" w:hAnsi="Calibri"/>
                <w:sz w:val="14"/>
                <w:szCs w:val="14"/>
                <w:b w:val="1"/>
                <w:bCs w:val="1"/>
                <w:color w:val="auto"/>
              </w:rPr>
              <w:t>($)</w:t>
            </w:r>
          </w:p>
        </w:tc>
        <w:tc>
          <w:tcPr>
            <w:tcW w:w="300" w:type="dxa"/>
            <w:vAlign w:val="bottom"/>
          </w:tcPr>
          <w:p>
            <w:pPr>
              <w:spacing w:after="0"/>
              <w:rPr>
                <w:sz w:val="14"/>
                <w:szCs w:val="14"/>
                <w:color w:val="auto"/>
              </w:rPr>
            </w:pPr>
          </w:p>
        </w:tc>
        <w:tc>
          <w:tcPr>
            <w:tcW w:w="98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4"/>
                <w:szCs w:val="14"/>
                <w:color w:val="auto"/>
              </w:rPr>
            </w:pPr>
          </w:p>
        </w:tc>
        <w:tc>
          <w:tcPr>
            <w:tcW w:w="106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w:t>
            </w:r>
          </w:p>
        </w:tc>
        <w:tc>
          <w:tcPr>
            <w:tcW w:w="1300" w:type="dxa"/>
            <w:vAlign w:val="bottom"/>
            <w:gridSpan w:val="2"/>
          </w:tcPr>
          <w:p>
            <w:pPr>
              <w:jc w:val="center"/>
              <w:ind w:left="140"/>
              <w:spacing w:after="0" w:line="163" w:lineRule="exact"/>
              <w:rPr>
                <w:sz w:val="20"/>
                <w:szCs w:val="20"/>
                <w:color w:val="auto"/>
              </w:rPr>
            </w:pPr>
            <w:r>
              <w:rPr>
                <w:rFonts w:ascii="Calibri" w:cs="Calibri" w:eastAsia="Calibri" w:hAnsi="Calibri"/>
                <w:sz w:val="14"/>
                <w:szCs w:val="14"/>
                <w:b w:val="1"/>
                <w:bCs w:val="1"/>
                <w:color w:val="auto"/>
              </w:rPr>
              <w:t>($)</w:t>
            </w:r>
          </w:p>
        </w:tc>
        <w:tc>
          <w:tcPr>
            <w:tcW w:w="1120" w:type="dxa"/>
            <w:vAlign w:val="bottom"/>
            <w:gridSpan w:val="2"/>
          </w:tcPr>
          <w:p>
            <w:pPr>
              <w:jc w:val="right"/>
              <w:ind w:right="308"/>
              <w:spacing w:after="0" w:line="163"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820" w:type="dxa"/>
            <w:vAlign w:val="bottom"/>
            <w:gridSpan w:val="3"/>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Michael R. Haack</w:t>
            </w:r>
          </w:p>
        </w:tc>
        <w:tc>
          <w:tcPr>
            <w:tcW w:w="1000" w:type="dxa"/>
            <w:vAlign w:val="bottom"/>
            <w:gridSpan w:val="3"/>
            <w:shd w:val="clear" w:color="auto" w:fill="CFF0FC"/>
          </w:tcPr>
          <w:p>
            <w:pPr>
              <w:jc w:val="center"/>
              <w:ind w:left="39"/>
              <w:spacing w:after="0" w:line="187" w:lineRule="exact"/>
              <w:rPr>
                <w:sz w:val="20"/>
                <w:szCs w:val="20"/>
                <w:color w:val="auto"/>
              </w:rPr>
            </w:pPr>
            <w:r>
              <w:rPr>
                <w:rFonts w:ascii="Calibri" w:cs="Calibri" w:eastAsia="Calibri" w:hAnsi="Calibri"/>
                <w:sz w:val="16"/>
                <w:szCs w:val="16"/>
                <w:color w:val="auto"/>
                <w:w w:val="98"/>
              </w:rPr>
              <w:t>2024</w:t>
            </w:r>
          </w:p>
        </w:tc>
        <w:tc>
          <w:tcPr>
            <w:tcW w:w="10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1,040,000</w:t>
            </w:r>
          </w:p>
        </w:tc>
        <w:tc>
          <w:tcPr>
            <w:tcW w:w="124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4,800,000</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2,107,341</w:t>
            </w:r>
          </w:p>
        </w:tc>
        <w:tc>
          <w:tcPr>
            <w:tcW w:w="130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108,736</w:t>
            </w:r>
          </w:p>
        </w:tc>
        <w:tc>
          <w:tcPr>
            <w:tcW w:w="112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8,056,077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President and Chief</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center"/>
              <w:spacing w:after="0"/>
              <w:rPr>
                <w:sz w:val="20"/>
                <w:szCs w:val="20"/>
                <w:color w:val="auto"/>
              </w:rPr>
            </w:pPr>
            <w:r>
              <w:rPr>
                <w:rFonts w:ascii="Calibri" w:cs="Calibri" w:eastAsia="Calibri" w:hAnsi="Calibri"/>
                <w:sz w:val="16"/>
                <w:szCs w:val="16"/>
                <w:color w:val="auto"/>
                <w:w w:val="98"/>
              </w:rPr>
              <w:t>2023</w:t>
            </w:r>
          </w:p>
        </w:tc>
        <w:tc>
          <w:tcPr>
            <w:tcW w:w="10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1,000,000</w:t>
            </w:r>
          </w:p>
        </w:tc>
        <w:tc>
          <w:tcPr>
            <w:tcW w:w="12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3,375,000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1,125,000</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2,012,014</w:t>
            </w:r>
          </w:p>
        </w:tc>
        <w:tc>
          <w:tcPr>
            <w:tcW w:w="13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102,774</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7,614,788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Executve Ofcer</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center"/>
              <w:spacing w:after="0"/>
              <w:rPr>
                <w:sz w:val="20"/>
                <w:szCs w:val="20"/>
                <w:color w:val="auto"/>
              </w:rPr>
            </w:pPr>
            <w:r>
              <w:rPr>
                <w:rFonts w:ascii="Calibri" w:cs="Calibri" w:eastAsia="Calibri" w:hAnsi="Calibri"/>
                <w:sz w:val="16"/>
                <w:szCs w:val="16"/>
                <w:color w:val="auto"/>
                <w:w w:val="98"/>
              </w:rPr>
              <w:t>2022</w:t>
            </w:r>
          </w:p>
        </w:tc>
        <w:tc>
          <w:tcPr>
            <w:tcW w:w="10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900,000</w:t>
            </w:r>
          </w:p>
        </w:tc>
        <w:tc>
          <w:tcPr>
            <w:tcW w:w="12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4,000,000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1,641,881</w:t>
            </w:r>
          </w:p>
        </w:tc>
        <w:tc>
          <w:tcPr>
            <w:tcW w:w="13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93,869</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6,635,750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20" w:type="dxa"/>
            <w:vAlign w:val="bottom"/>
            <w:gridSpan w:val="3"/>
          </w:tcPr>
          <w:p>
            <w:pPr>
              <w:ind w:left="20"/>
              <w:spacing w:after="0" w:line="193" w:lineRule="exact"/>
              <w:rPr>
                <w:sz w:val="20"/>
                <w:szCs w:val="20"/>
                <w:color w:val="auto"/>
              </w:rPr>
            </w:pPr>
            <w:r>
              <w:rPr>
                <w:rFonts w:ascii="Calibri" w:cs="Calibri" w:eastAsia="Calibri" w:hAnsi="Calibri"/>
                <w:sz w:val="16"/>
                <w:szCs w:val="16"/>
                <w:color w:val="auto"/>
              </w:rPr>
              <w:t>D. Craig Kesler</w:t>
            </w:r>
          </w:p>
        </w:tc>
        <w:tc>
          <w:tcPr>
            <w:tcW w:w="120" w:type="dxa"/>
            <w:vAlign w:val="bottom"/>
          </w:tcPr>
          <w:p>
            <w:pPr>
              <w:spacing w:after="0"/>
              <w:rPr>
                <w:sz w:val="16"/>
                <w:szCs w:val="16"/>
                <w:color w:val="auto"/>
              </w:rPr>
            </w:pPr>
          </w:p>
        </w:tc>
        <w:tc>
          <w:tcPr>
            <w:tcW w:w="880" w:type="dxa"/>
            <w:vAlign w:val="bottom"/>
            <w:gridSpan w:val="2"/>
          </w:tcPr>
          <w:p>
            <w:pPr>
              <w:jc w:val="center"/>
              <w:spacing w:after="0" w:line="193" w:lineRule="exact"/>
              <w:rPr>
                <w:sz w:val="20"/>
                <w:szCs w:val="20"/>
                <w:color w:val="auto"/>
              </w:rPr>
            </w:pPr>
            <w:r>
              <w:rPr>
                <w:rFonts w:ascii="Calibri" w:cs="Calibri" w:eastAsia="Calibri" w:hAnsi="Calibri"/>
                <w:sz w:val="16"/>
                <w:szCs w:val="16"/>
                <w:color w:val="auto"/>
                <w:w w:val="98"/>
              </w:rPr>
              <w:t>2024</w:t>
            </w:r>
          </w:p>
        </w:tc>
        <w:tc>
          <w:tcPr>
            <w:tcW w:w="10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590,000</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1,300,000</w:t>
            </w:r>
          </w:p>
        </w:tc>
        <w:tc>
          <w:tcPr>
            <w:tcW w:w="30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1,016,039</w:t>
            </w:r>
          </w:p>
        </w:tc>
        <w:tc>
          <w:tcPr>
            <w:tcW w:w="13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62,703</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2,968,742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Executve Vice President -</w:t>
            </w:r>
          </w:p>
        </w:tc>
        <w:tc>
          <w:tcPr>
            <w:tcW w:w="1000" w:type="dxa"/>
            <w:vAlign w:val="bottom"/>
            <w:gridSpan w:val="3"/>
          </w:tcPr>
          <w:p>
            <w:pPr>
              <w:jc w:val="center"/>
              <w:ind w:left="39"/>
              <w:spacing w:after="0"/>
              <w:rPr>
                <w:sz w:val="20"/>
                <w:szCs w:val="20"/>
                <w:color w:val="auto"/>
              </w:rPr>
            </w:pPr>
            <w:r>
              <w:rPr>
                <w:rFonts w:ascii="Calibri" w:cs="Calibri" w:eastAsia="Calibri" w:hAnsi="Calibri"/>
                <w:sz w:val="16"/>
                <w:szCs w:val="16"/>
                <w:color w:val="auto"/>
                <w:w w:val="98"/>
              </w:rPr>
              <w:t>2023</w:t>
            </w:r>
          </w:p>
        </w:tc>
        <w:tc>
          <w:tcPr>
            <w:tcW w:w="1080" w:type="dxa"/>
            <w:vAlign w:val="bottom"/>
            <w:gridSpan w:val="2"/>
          </w:tcPr>
          <w:p>
            <w:pPr>
              <w:jc w:val="right"/>
              <w:spacing w:after="0"/>
              <w:rPr>
                <w:sz w:val="20"/>
                <w:szCs w:val="20"/>
                <w:color w:val="auto"/>
              </w:rPr>
            </w:pPr>
            <w:r>
              <w:rPr>
                <w:rFonts w:ascii="Calibri" w:cs="Calibri" w:eastAsia="Calibri" w:hAnsi="Calibri"/>
                <w:sz w:val="16"/>
                <w:szCs w:val="16"/>
                <w:color w:val="auto"/>
              </w:rPr>
              <w:t>515,036</w:t>
            </w:r>
          </w:p>
        </w:tc>
        <w:tc>
          <w:tcPr>
            <w:tcW w:w="1240" w:type="dxa"/>
            <w:vAlign w:val="bottom"/>
            <w:gridSpan w:val="2"/>
          </w:tcPr>
          <w:p>
            <w:pPr>
              <w:jc w:val="right"/>
              <w:spacing w:after="0"/>
              <w:rPr>
                <w:sz w:val="20"/>
                <w:szCs w:val="20"/>
                <w:color w:val="auto"/>
              </w:rPr>
            </w:pPr>
            <w:r>
              <w:rPr>
                <w:rFonts w:ascii="Calibri" w:cs="Calibri" w:eastAsia="Calibri" w:hAnsi="Calibri"/>
                <w:sz w:val="16"/>
                <w:szCs w:val="16"/>
                <w:color w:val="auto"/>
              </w:rPr>
              <w:t>750,000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250,000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auto"/>
              </w:rPr>
              <w:t>1,257,509</w:t>
            </w:r>
          </w:p>
        </w:tc>
        <w:tc>
          <w:tcPr>
            <w:tcW w:w="1300" w:type="dxa"/>
            <w:vAlign w:val="bottom"/>
            <w:gridSpan w:val="2"/>
          </w:tcPr>
          <w:p>
            <w:pPr>
              <w:jc w:val="right"/>
              <w:spacing w:after="0"/>
              <w:rPr>
                <w:sz w:val="20"/>
                <w:szCs w:val="20"/>
                <w:color w:val="auto"/>
              </w:rPr>
            </w:pPr>
            <w:r>
              <w:rPr>
                <w:rFonts w:ascii="Calibri" w:cs="Calibri" w:eastAsia="Calibri" w:hAnsi="Calibri"/>
                <w:sz w:val="16"/>
                <w:szCs w:val="16"/>
                <w:color w:val="auto"/>
              </w:rPr>
              <w:t>57,063</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2,829,608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Finance and Administraton</w:t>
            </w:r>
          </w:p>
        </w:tc>
        <w:tc>
          <w:tcPr>
            <w:tcW w:w="1000" w:type="dxa"/>
            <w:vAlign w:val="bottom"/>
            <w:gridSpan w:val="3"/>
          </w:tcPr>
          <w:p>
            <w:pPr>
              <w:jc w:val="center"/>
              <w:ind w:left="39"/>
              <w:spacing w:after="0"/>
              <w:rPr>
                <w:sz w:val="20"/>
                <w:szCs w:val="20"/>
                <w:color w:val="auto"/>
              </w:rPr>
            </w:pPr>
            <w:r>
              <w:rPr>
                <w:rFonts w:ascii="Calibri" w:cs="Calibri" w:eastAsia="Calibri" w:hAnsi="Calibri"/>
                <w:sz w:val="16"/>
                <w:szCs w:val="16"/>
                <w:color w:val="auto"/>
                <w:w w:val="98"/>
              </w:rPr>
              <w:t>2022</w:t>
            </w:r>
          </w:p>
        </w:tc>
        <w:tc>
          <w:tcPr>
            <w:tcW w:w="1080" w:type="dxa"/>
            <w:vAlign w:val="bottom"/>
            <w:gridSpan w:val="2"/>
          </w:tcPr>
          <w:p>
            <w:pPr>
              <w:jc w:val="right"/>
              <w:spacing w:after="0"/>
              <w:rPr>
                <w:sz w:val="20"/>
                <w:szCs w:val="20"/>
                <w:color w:val="auto"/>
              </w:rPr>
            </w:pPr>
            <w:r>
              <w:rPr>
                <w:rFonts w:ascii="Calibri" w:cs="Calibri" w:eastAsia="Calibri" w:hAnsi="Calibri"/>
                <w:sz w:val="16"/>
                <w:szCs w:val="16"/>
                <w:color w:val="auto"/>
              </w:rPr>
              <w:t>500,035</w:t>
            </w:r>
          </w:p>
        </w:tc>
        <w:tc>
          <w:tcPr>
            <w:tcW w:w="1240" w:type="dxa"/>
            <w:vAlign w:val="bottom"/>
            <w:gridSpan w:val="2"/>
          </w:tcPr>
          <w:p>
            <w:pPr>
              <w:jc w:val="right"/>
              <w:spacing w:after="0"/>
              <w:rPr>
                <w:sz w:val="20"/>
                <w:szCs w:val="20"/>
                <w:color w:val="auto"/>
              </w:rPr>
            </w:pPr>
            <w:r>
              <w:rPr>
                <w:rFonts w:ascii="Calibri" w:cs="Calibri" w:eastAsia="Calibri" w:hAnsi="Calibri"/>
                <w:sz w:val="16"/>
                <w:szCs w:val="16"/>
                <w:color w:val="auto"/>
              </w:rPr>
              <w:t>1,000,000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auto"/>
              </w:rPr>
              <w:t>1,260,730</w:t>
            </w:r>
          </w:p>
        </w:tc>
        <w:tc>
          <w:tcPr>
            <w:tcW w:w="1300" w:type="dxa"/>
            <w:vAlign w:val="bottom"/>
            <w:gridSpan w:val="2"/>
          </w:tcPr>
          <w:p>
            <w:pPr>
              <w:jc w:val="right"/>
              <w:spacing w:after="0"/>
              <w:rPr>
                <w:sz w:val="20"/>
                <w:szCs w:val="20"/>
                <w:color w:val="auto"/>
              </w:rPr>
            </w:pPr>
            <w:r>
              <w:rPr>
                <w:rFonts w:ascii="Calibri" w:cs="Calibri" w:eastAsia="Calibri" w:hAnsi="Calibri"/>
                <w:sz w:val="16"/>
                <w:szCs w:val="16"/>
                <w:color w:val="auto"/>
              </w:rPr>
              <w:t>55,938</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2,816,703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&amp; Chief Financial Ofcer</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FF0FC"/>
          </w:tcPr>
          <w:p>
            <w:pPr>
              <w:ind w:left="20"/>
              <w:spacing w:after="0" w:line="229" w:lineRule="exact"/>
              <w:rPr>
                <w:sz w:val="20"/>
                <w:szCs w:val="20"/>
                <w:color w:val="auto"/>
              </w:rPr>
            </w:pPr>
            <w:r>
              <w:rPr>
                <w:rFonts w:ascii="Calibri" w:cs="Calibri" w:eastAsia="Calibri" w:hAnsi="Calibri"/>
                <w:sz w:val="16"/>
                <w:szCs w:val="16"/>
                <w:color w:val="auto"/>
              </w:rPr>
              <w:t>Mat Newby</w:t>
            </w:r>
            <w:r>
              <w:rPr>
                <w:rFonts w:ascii="Calibri" w:cs="Calibri" w:eastAsia="Calibri" w:hAnsi="Calibri"/>
                <w:sz w:val="21"/>
                <w:szCs w:val="21"/>
                <w:color w:val="auto"/>
                <w:vertAlign w:val="superscript"/>
              </w:rPr>
              <w:t>(5)</w:t>
            </w:r>
          </w:p>
        </w:tc>
        <w:tc>
          <w:tcPr>
            <w:tcW w:w="1000" w:type="dxa"/>
            <w:vAlign w:val="bottom"/>
            <w:gridSpan w:val="3"/>
            <w:shd w:val="clear" w:color="auto" w:fill="CFF0FC"/>
          </w:tcPr>
          <w:p>
            <w:pPr>
              <w:jc w:val="center"/>
              <w:ind w:left="39"/>
              <w:spacing w:after="0" w:line="193" w:lineRule="exact"/>
              <w:rPr>
                <w:sz w:val="20"/>
                <w:szCs w:val="20"/>
                <w:color w:val="auto"/>
              </w:rPr>
            </w:pPr>
            <w:r>
              <w:rPr>
                <w:rFonts w:ascii="Calibri" w:cs="Calibri" w:eastAsia="Calibri" w:hAnsi="Calibri"/>
                <w:sz w:val="16"/>
                <w:szCs w:val="16"/>
                <w:color w:val="auto"/>
                <w:w w:val="98"/>
              </w:rPr>
              <w:t>2024</w:t>
            </w:r>
          </w:p>
        </w:tc>
        <w:tc>
          <w:tcPr>
            <w:tcW w:w="10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475,000</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750,000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564,466</w:t>
            </w:r>
          </w:p>
        </w:tc>
        <w:tc>
          <w:tcPr>
            <w:tcW w:w="13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49,497</w:t>
            </w:r>
          </w:p>
        </w:tc>
        <w:tc>
          <w:tcPr>
            <w:tcW w:w="11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1,838,963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2800" w:type="dxa"/>
            <w:vAlign w:val="bottom"/>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Executve Vice President</w:t>
            </w: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center"/>
              <w:spacing w:after="0" w:line="193" w:lineRule="exact"/>
              <w:rPr>
                <w:sz w:val="20"/>
                <w:szCs w:val="20"/>
                <w:color w:val="auto"/>
              </w:rPr>
            </w:pPr>
            <w:r>
              <w:rPr>
                <w:rFonts w:ascii="Calibri" w:cs="Calibri" w:eastAsia="Calibri" w:hAnsi="Calibri"/>
                <w:sz w:val="16"/>
                <w:szCs w:val="16"/>
                <w:color w:val="auto"/>
                <w:w w:val="98"/>
              </w:rPr>
              <w:t>2023</w:t>
            </w:r>
          </w:p>
        </w:tc>
        <w:tc>
          <w:tcPr>
            <w:tcW w:w="10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392,268</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700,000</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462,209</w:t>
            </w:r>
          </w:p>
        </w:tc>
        <w:tc>
          <w:tcPr>
            <w:tcW w:w="13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41,398</w:t>
            </w:r>
          </w:p>
        </w:tc>
        <w:tc>
          <w:tcPr>
            <w:tcW w:w="11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1,595,875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General Counsel and</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Secretary</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820" w:type="dxa"/>
            <w:vAlign w:val="bottom"/>
            <w:gridSpan w:val="3"/>
          </w:tcPr>
          <w:p>
            <w:pPr>
              <w:ind w:left="20"/>
              <w:spacing w:after="0" w:line="225" w:lineRule="exact"/>
              <w:rPr>
                <w:sz w:val="20"/>
                <w:szCs w:val="20"/>
                <w:color w:val="auto"/>
              </w:rPr>
            </w:pPr>
            <w:r>
              <w:rPr>
                <w:rFonts w:ascii="Calibri" w:cs="Calibri" w:eastAsia="Calibri" w:hAnsi="Calibri"/>
                <w:sz w:val="16"/>
                <w:szCs w:val="16"/>
                <w:color w:val="auto"/>
              </w:rPr>
              <w:t>Eric Cribbs</w:t>
            </w:r>
            <w:r>
              <w:rPr>
                <w:rFonts w:ascii="Calibri" w:cs="Calibri" w:eastAsia="Calibri" w:hAnsi="Calibri"/>
                <w:sz w:val="21"/>
                <w:szCs w:val="21"/>
                <w:color w:val="auto"/>
                <w:vertAlign w:val="superscript"/>
              </w:rPr>
              <w:t>(6)</w:t>
            </w:r>
          </w:p>
        </w:tc>
        <w:tc>
          <w:tcPr>
            <w:tcW w:w="120" w:type="dxa"/>
            <w:vAlign w:val="bottom"/>
          </w:tcPr>
          <w:p>
            <w:pPr>
              <w:spacing w:after="0"/>
              <w:rPr>
                <w:sz w:val="19"/>
                <w:szCs w:val="19"/>
                <w:color w:val="auto"/>
              </w:rPr>
            </w:pPr>
          </w:p>
        </w:tc>
        <w:tc>
          <w:tcPr>
            <w:tcW w:w="880" w:type="dxa"/>
            <w:vAlign w:val="bottom"/>
            <w:gridSpan w:val="2"/>
          </w:tcPr>
          <w:p>
            <w:pPr>
              <w:jc w:val="center"/>
              <w:spacing w:after="0" w:line="193" w:lineRule="exact"/>
              <w:rPr>
                <w:sz w:val="20"/>
                <w:szCs w:val="20"/>
                <w:color w:val="auto"/>
              </w:rPr>
            </w:pPr>
            <w:r>
              <w:rPr>
                <w:rFonts w:ascii="Calibri" w:cs="Calibri" w:eastAsia="Calibri" w:hAnsi="Calibri"/>
                <w:sz w:val="16"/>
                <w:szCs w:val="16"/>
                <w:color w:val="auto"/>
                <w:w w:val="98"/>
              </w:rPr>
              <w:t>2024</w:t>
            </w:r>
          </w:p>
        </w:tc>
        <w:tc>
          <w:tcPr>
            <w:tcW w:w="120" w:type="dxa"/>
            <w:vAlign w:val="bottom"/>
          </w:tcPr>
          <w:p>
            <w:pPr>
              <w:spacing w:after="0"/>
              <w:rPr>
                <w:sz w:val="19"/>
                <w:szCs w:val="19"/>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346,286</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500,000</w:t>
            </w:r>
          </w:p>
        </w:tc>
        <w:tc>
          <w:tcPr>
            <w:tcW w:w="300" w:type="dxa"/>
            <w:vAlign w:val="bottom"/>
          </w:tcPr>
          <w:p>
            <w:pPr>
              <w:spacing w:after="0"/>
              <w:rPr>
                <w:sz w:val="19"/>
                <w:szCs w:val="19"/>
                <w:color w:val="auto"/>
              </w:rPr>
            </w:pP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443,260</w:t>
            </w:r>
          </w:p>
        </w:tc>
        <w:tc>
          <w:tcPr>
            <w:tcW w:w="13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39,904</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1,329,450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gridSpan w:val="2"/>
          </w:tcPr>
          <w:p>
            <w:pPr>
              <w:ind w:left="180"/>
              <w:spacing w:after="0" w:line="193" w:lineRule="exact"/>
              <w:rPr>
                <w:sz w:val="20"/>
                <w:szCs w:val="20"/>
                <w:color w:val="auto"/>
              </w:rPr>
            </w:pPr>
            <w:r>
              <w:rPr>
                <w:rFonts w:ascii="Calibri" w:cs="Calibri" w:eastAsia="Calibri" w:hAnsi="Calibri"/>
                <w:sz w:val="16"/>
                <w:szCs w:val="16"/>
                <w:i w:val="1"/>
                <w:iCs w:val="1"/>
                <w:color w:val="auto"/>
              </w:rPr>
              <w:t>President - American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Gypsum Company</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8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10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3"/>
            <w:shd w:val="clear" w:color="auto" w:fill="CFF0FC"/>
          </w:tcPr>
          <w:p>
            <w:pPr>
              <w:ind w:left="20"/>
              <w:spacing w:after="0" w:line="229" w:lineRule="exact"/>
              <w:rPr>
                <w:sz w:val="20"/>
                <w:szCs w:val="20"/>
                <w:color w:val="auto"/>
              </w:rPr>
            </w:pPr>
            <w:r>
              <w:rPr>
                <w:rFonts w:ascii="Calibri" w:cs="Calibri" w:eastAsia="Calibri" w:hAnsi="Calibri"/>
                <w:sz w:val="16"/>
                <w:szCs w:val="16"/>
                <w:color w:val="auto"/>
              </w:rPr>
              <w:t>Tony Thompson</w:t>
            </w:r>
            <w:r>
              <w:rPr>
                <w:rFonts w:ascii="Calibri" w:cs="Calibri" w:eastAsia="Calibri" w:hAnsi="Calibri"/>
                <w:sz w:val="21"/>
                <w:szCs w:val="21"/>
                <w:color w:val="auto"/>
                <w:vertAlign w:val="superscript"/>
              </w:rPr>
              <w:t>(6)</w:t>
            </w:r>
          </w:p>
        </w:tc>
        <w:tc>
          <w:tcPr>
            <w:tcW w:w="1000" w:type="dxa"/>
            <w:vAlign w:val="bottom"/>
            <w:gridSpan w:val="3"/>
            <w:shd w:val="clear" w:color="auto" w:fill="CFF0FC"/>
          </w:tcPr>
          <w:p>
            <w:pPr>
              <w:jc w:val="center"/>
              <w:ind w:left="39"/>
              <w:spacing w:after="0" w:line="193" w:lineRule="exact"/>
              <w:rPr>
                <w:sz w:val="20"/>
                <w:szCs w:val="20"/>
                <w:color w:val="auto"/>
              </w:rPr>
            </w:pPr>
            <w:r>
              <w:rPr>
                <w:rFonts w:ascii="Calibri" w:cs="Calibri" w:eastAsia="Calibri" w:hAnsi="Calibri"/>
                <w:sz w:val="16"/>
                <w:szCs w:val="16"/>
                <w:color w:val="auto"/>
                <w:w w:val="98"/>
              </w:rPr>
              <w:t>2024</w:t>
            </w:r>
          </w:p>
        </w:tc>
        <w:tc>
          <w:tcPr>
            <w:tcW w:w="10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323,912</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450,000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329,169</w:t>
            </w:r>
          </w:p>
        </w:tc>
        <w:tc>
          <w:tcPr>
            <w:tcW w:w="13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38,124</w:t>
            </w:r>
          </w:p>
        </w:tc>
        <w:tc>
          <w:tcPr>
            <w:tcW w:w="11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1,141,205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2800" w:type="dxa"/>
            <w:vAlign w:val="bottom"/>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Senior Vice President -</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Cement East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23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20" w:type="dxa"/>
            <w:vAlign w:val="bottom"/>
            <w:gridSpan w:val="3"/>
          </w:tcPr>
          <w:p>
            <w:pPr>
              <w:ind w:left="20"/>
              <w:spacing w:after="0" w:line="174" w:lineRule="exact"/>
              <w:rPr>
                <w:sz w:val="20"/>
                <w:szCs w:val="20"/>
                <w:color w:val="auto"/>
              </w:rPr>
            </w:pPr>
            <w:r>
              <w:rPr>
                <w:rFonts w:ascii="Calibri" w:cs="Calibri" w:eastAsia="Calibri" w:hAnsi="Calibri"/>
                <w:sz w:val="15"/>
                <w:szCs w:val="15"/>
                <w:color w:val="auto"/>
              </w:rPr>
              <w:t>Robert S. Stewart</w:t>
            </w:r>
            <w:r>
              <w:rPr>
                <w:rFonts w:ascii="Calibri" w:cs="Calibri" w:eastAsia="Calibri" w:hAnsi="Calibri"/>
                <w:sz w:val="19"/>
                <w:szCs w:val="19"/>
                <w:color w:val="auto"/>
                <w:vertAlign w:val="superscript"/>
              </w:rPr>
              <w:t>(7)</w:t>
            </w:r>
          </w:p>
        </w:tc>
        <w:tc>
          <w:tcPr>
            <w:tcW w:w="1000" w:type="dxa"/>
            <w:vAlign w:val="bottom"/>
            <w:gridSpan w:val="3"/>
            <w:vMerge w:val="restart"/>
          </w:tcPr>
          <w:p>
            <w:pPr>
              <w:jc w:val="center"/>
              <w:ind w:left="39"/>
              <w:spacing w:after="0"/>
              <w:rPr>
                <w:sz w:val="20"/>
                <w:szCs w:val="20"/>
                <w:color w:val="auto"/>
              </w:rPr>
            </w:pPr>
            <w:r>
              <w:rPr>
                <w:rFonts w:ascii="Calibri" w:cs="Calibri" w:eastAsia="Calibri" w:hAnsi="Calibri"/>
                <w:sz w:val="16"/>
                <w:szCs w:val="16"/>
                <w:color w:val="auto"/>
                <w:w w:val="98"/>
              </w:rPr>
              <w:t>2024</w:t>
            </w:r>
          </w:p>
        </w:tc>
        <w:tc>
          <w:tcPr>
            <w:tcW w:w="1080" w:type="dxa"/>
            <w:vAlign w:val="bottom"/>
            <w:gridSpan w:val="2"/>
            <w:vMerge w:val="restart"/>
          </w:tcPr>
          <w:p>
            <w:pPr>
              <w:jc w:val="right"/>
              <w:spacing w:after="0"/>
              <w:rPr>
                <w:sz w:val="20"/>
                <w:szCs w:val="20"/>
                <w:color w:val="auto"/>
              </w:rPr>
            </w:pPr>
            <w:r>
              <w:rPr>
                <w:rFonts w:ascii="Calibri" w:cs="Calibri" w:eastAsia="Calibri" w:hAnsi="Calibri"/>
                <w:sz w:val="16"/>
                <w:szCs w:val="16"/>
                <w:color w:val="auto"/>
              </w:rPr>
              <w:t>148,449</w:t>
            </w:r>
          </w:p>
        </w:tc>
        <w:tc>
          <w:tcPr>
            <w:tcW w:w="1240" w:type="dxa"/>
            <w:vAlign w:val="bottom"/>
            <w:gridSpan w:val="2"/>
            <w:vMerge w:val="restart"/>
          </w:tcPr>
          <w:p>
            <w:pPr>
              <w:jc w:val="right"/>
              <w:spacing w:after="0"/>
              <w:rPr>
                <w:sz w:val="20"/>
                <w:szCs w:val="20"/>
                <w:color w:val="auto"/>
              </w:rPr>
            </w:pPr>
            <w:r>
              <w:rPr>
                <w:rFonts w:ascii="Calibri" w:cs="Calibri" w:eastAsia="Calibri" w:hAnsi="Calibri"/>
                <w:sz w:val="16"/>
                <w:szCs w:val="16"/>
                <w:color w:val="auto"/>
              </w:rPr>
              <w:t>2,203,870</w:t>
            </w:r>
          </w:p>
        </w:tc>
        <w:tc>
          <w:tcPr>
            <w:tcW w:w="300" w:type="dxa"/>
            <w:vAlign w:val="bottom"/>
          </w:tcPr>
          <w:p>
            <w:pPr>
              <w:jc w:val="right"/>
              <w:spacing w:after="0"/>
              <w:rPr>
                <w:sz w:val="20"/>
                <w:szCs w:val="20"/>
                <w:color w:val="auto"/>
              </w:rPr>
            </w:pPr>
            <w:r>
              <w:rPr>
                <w:rFonts w:ascii="Calibri" w:cs="Calibri" w:eastAsia="Calibri" w:hAnsi="Calibri"/>
                <w:sz w:val="14"/>
                <w:szCs w:val="14"/>
                <w:color w:val="auto"/>
              </w:rPr>
              <w:t>(8</w:t>
            </w:r>
          </w:p>
        </w:tc>
        <w:tc>
          <w:tcPr>
            <w:tcW w:w="9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1120" w:type="dxa"/>
            <w:vAlign w:val="bottom"/>
            <w:gridSpan w:val="2"/>
            <w:vMerge w:val="restart"/>
          </w:tcPr>
          <w:p>
            <w:pPr>
              <w:jc w:val="right"/>
              <w:spacing w:after="0"/>
              <w:rPr>
                <w:sz w:val="20"/>
                <w:szCs w:val="20"/>
                <w:color w:val="auto"/>
              </w:rPr>
            </w:pPr>
            <w:r>
              <w:rPr>
                <w:rFonts w:ascii="Calibri" w:cs="Calibri" w:eastAsia="Calibri" w:hAnsi="Calibri"/>
                <w:sz w:val="16"/>
                <w:szCs w:val="16"/>
                <w:color w:val="auto"/>
              </w:rPr>
              <w:t>2,352,319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Retred Executve Vice</w:t>
            </w:r>
          </w:p>
        </w:tc>
        <w:tc>
          <w:tcPr>
            <w:tcW w:w="1000" w:type="dxa"/>
            <w:vAlign w:val="bottom"/>
            <w:gridSpan w:val="3"/>
          </w:tcPr>
          <w:p>
            <w:pPr>
              <w:jc w:val="center"/>
              <w:ind w:left="39"/>
              <w:spacing w:after="0"/>
              <w:rPr>
                <w:sz w:val="20"/>
                <w:szCs w:val="20"/>
                <w:color w:val="auto"/>
              </w:rPr>
            </w:pPr>
            <w:r>
              <w:rPr>
                <w:rFonts w:ascii="Calibri" w:cs="Calibri" w:eastAsia="Calibri" w:hAnsi="Calibri"/>
                <w:sz w:val="16"/>
                <w:szCs w:val="16"/>
                <w:color w:val="auto"/>
                <w:w w:val="98"/>
              </w:rPr>
              <w:t>2023</w:t>
            </w:r>
          </w:p>
        </w:tc>
        <w:tc>
          <w:tcPr>
            <w:tcW w:w="1080" w:type="dxa"/>
            <w:vAlign w:val="bottom"/>
            <w:gridSpan w:val="2"/>
          </w:tcPr>
          <w:p>
            <w:pPr>
              <w:jc w:val="right"/>
              <w:spacing w:after="0"/>
              <w:rPr>
                <w:sz w:val="20"/>
                <w:szCs w:val="20"/>
                <w:color w:val="auto"/>
              </w:rPr>
            </w:pPr>
            <w:r>
              <w:rPr>
                <w:rFonts w:ascii="Calibri" w:cs="Calibri" w:eastAsia="Calibri" w:hAnsi="Calibri"/>
                <w:sz w:val="16"/>
                <w:szCs w:val="16"/>
                <w:color w:val="auto"/>
              </w:rPr>
              <w:t>494,833</w:t>
            </w:r>
          </w:p>
        </w:tc>
        <w:tc>
          <w:tcPr>
            <w:tcW w:w="1240" w:type="dxa"/>
            <w:vAlign w:val="bottom"/>
            <w:gridSpan w:val="2"/>
          </w:tcPr>
          <w:p>
            <w:pPr>
              <w:jc w:val="right"/>
              <w:spacing w:after="0"/>
              <w:rPr>
                <w:sz w:val="20"/>
                <w:szCs w:val="20"/>
                <w:color w:val="auto"/>
              </w:rPr>
            </w:pPr>
            <w:r>
              <w:rPr>
                <w:rFonts w:ascii="Calibri" w:cs="Calibri" w:eastAsia="Calibri" w:hAnsi="Calibri"/>
                <w:sz w:val="16"/>
                <w:szCs w:val="16"/>
                <w:color w:val="auto"/>
              </w:rPr>
              <w:t>900,000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auto"/>
              </w:rPr>
              <w:t>1,066,637</w:t>
            </w:r>
          </w:p>
        </w:tc>
        <w:tc>
          <w:tcPr>
            <w:tcW w:w="1300" w:type="dxa"/>
            <w:vAlign w:val="bottom"/>
            <w:gridSpan w:val="2"/>
          </w:tcPr>
          <w:p>
            <w:pPr>
              <w:jc w:val="right"/>
              <w:spacing w:after="0"/>
              <w:rPr>
                <w:sz w:val="20"/>
                <w:szCs w:val="20"/>
                <w:color w:val="auto"/>
              </w:rPr>
            </w:pPr>
            <w:r>
              <w:rPr>
                <w:rFonts w:ascii="Calibri" w:cs="Calibri" w:eastAsia="Calibri" w:hAnsi="Calibri"/>
                <w:sz w:val="16"/>
                <w:szCs w:val="16"/>
                <w:color w:val="auto"/>
              </w:rPr>
              <w:t>49,783</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2,511,253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President - Strategy, Corporate</w:t>
            </w:r>
          </w:p>
        </w:tc>
        <w:tc>
          <w:tcPr>
            <w:tcW w:w="1000" w:type="dxa"/>
            <w:vAlign w:val="bottom"/>
            <w:gridSpan w:val="3"/>
          </w:tcPr>
          <w:p>
            <w:pPr>
              <w:jc w:val="center"/>
              <w:ind w:left="39"/>
              <w:spacing w:after="0"/>
              <w:rPr>
                <w:sz w:val="20"/>
                <w:szCs w:val="20"/>
                <w:color w:val="auto"/>
              </w:rPr>
            </w:pPr>
            <w:r>
              <w:rPr>
                <w:rFonts w:ascii="Calibri" w:cs="Calibri" w:eastAsia="Calibri" w:hAnsi="Calibri"/>
                <w:sz w:val="16"/>
                <w:szCs w:val="16"/>
                <w:color w:val="auto"/>
                <w:w w:val="98"/>
              </w:rPr>
              <w:t>2022</w:t>
            </w:r>
          </w:p>
        </w:tc>
        <w:tc>
          <w:tcPr>
            <w:tcW w:w="1080" w:type="dxa"/>
            <w:vAlign w:val="bottom"/>
            <w:gridSpan w:val="2"/>
          </w:tcPr>
          <w:p>
            <w:pPr>
              <w:jc w:val="right"/>
              <w:spacing w:after="0"/>
              <w:rPr>
                <w:sz w:val="20"/>
                <w:szCs w:val="20"/>
                <w:color w:val="auto"/>
              </w:rPr>
            </w:pPr>
            <w:r>
              <w:rPr>
                <w:rFonts w:ascii="Calibri" w:cs="Calibri" w:eastAsia="Calibri" w:hAnsi="Calibri"/>
                <w:sz w:val="16"/>
                <w:szCs w:val="16"/>
                <w:color w:val="auto"/>
              </w:rPr>
              <w:t>480,420</w:t>
            </w:r>
          </w:p>
        </w:tc>
        <w:tc>
          <w:tcPr>
            <w:tcW w:w="1240" w:type="dxa"/>
            <w:vAlign w:val="bottom"/>
            <w:gridSpan w:val="2"/>
          </w:tcPr>
          <w:p>
            <w:pPr>
              <w:jc w:val="right"/>
              <w:spacing w:after="0"/>
              <w:rPr>
                <w:sz w:val="20"/>
                <w:szCs w:val="20"/>
                <w:color w:val="auto"/>
              </w:rPr>
            </w:pPr>
            <w:r>
              <w:rPr>
                <w:rFonts w:ascii="Calibri" w:cs="Calibri" w:eastAsia="Calibri" w:hAnsi="Calibri"/>
                <w:sz w:val="16"/>
                <w:szCs w:val="16"/>
                <w:color w:val="auto"/>
              </w:rPr>
              <w:t>900,000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auto"/>
              </w:rPr>
              <w:t>1,084,814</w:t>
            </w:r>
          </w:p>
        </w:tc>
        <w:tc>
          <w:tcPr>
            <w:tcW w:w="1300" w:type="dxa"/>
            <w:vAlign w:val="bottom"/>
            <w:gridSpan w:val="2"/>
          </w:tcPr>
          <w:p>
            <w:pPr>
              <w:jc w:val="right"/>
              <w:spacing w:after="0"/>
              <w:rPr>
                <w:sz w:val="20"/>
                <w:szCs w:val="20"/>
                <w:color w:val="auto"/>
              </w:rPr>
            </w:pPr>
            <w:r>
              <w:rPr>
                <w:rFonts w:ascii="Calibri" w:cs="Calibri" w:eastAsia="Calibri" w:hAnsi="Calibri"/>
                <w:sz w:val="16"/>
                <w:szCs w:val="16"/>
                <w:color w:val="auto"/>
              </w:rPr>
              <w:t>48,702</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2,513,936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Calibri" w:cs="Calibri" w:eastAsia="Calibri" w:hAnsi="Calibri"/>
                <w:sz w:val="16"/>
                <w:szCs w:val="16"/>
                <w:i w:val="1"/>
                <w:iCs w:val="1"/>
                <w:color w:val="auto"/>
              </w:rPr>
              <w:t>Development &amp; Communicatons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20" w:type="dxa"/>
            <w:vAlign w:val="bottom"/>
            <w:gridSpan w:val="3"/>
            <w:shd w:val="clear" w:color="auto" w:fill="CFF0FC"/>
          </w:tcPr>
          <w:p>
            <w:pPr>
              <w:ind w:left="20"/>
              <w:spacing w:after="0" w:line="174" w:lineRule="exact"/>
              <w:rPr>
                <w:sz w:val="20"/>
                <w:szCs w:val="20"/>
                <w:color w:val="auto"/>
              </w:rPr>
            </w:pPr>
            <w:r>
              <w:rPr>
                <w:rFonts w:ascii="Calibri" w:cs="Calibri" w:eastAsia="Calibri" w:hAnsi="Calibri"/>
                <w:sz w:val="15"/>
                <w:szCs w:val="15"/>
                <w:color w:val="auto"/>
              </w:rPr>
              <w:t>Steven L. Wentzel</w:t>
            </w:r>
            <w:r>
              <w:rPr>
                <w:rFonts w:ascii="Calibri" w:cs="Calibri" w:eastAsia="Calibri" w:hAnsi="Calibri"/>
                <w:sz w:val="19"/>
                <w:szCs w:val="19"/>
                <w:color w:val="auto"/>
                <w:vertAlign w:val="superscript"/>
              </w:rPr>
              <w:t>(9)</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ind w:left="120"/>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000" w:type="dxa"/>
            <w:vAlign w:val="bottom"/>
            <w:gridSpan w:val="3"/>
            <w:vMerge w:val="restart"/>
            <w:shd w:val="clear" w:color="auto" w:fill="CFF0FC"/>
          </w:tcPr>
          <w:p>
            <w:pPr>
              <w:jc w:val="center"/>
              <w:ind w:left="39"/>
              <w:spacing w:after="0"/>
              <w:rPr>
                <w:sz w:val="20"/>
                <w:szCs w:val="20"/>
                <w:color w:val="auto"/>
              </w:rPr>
            </w:pPr>
            <w:r>
              <w:rPr>
                <w:rFonts w:ascii="Calibri" w:cs="Calibri" w:eastAsia="Calibri" w:hAnsi="Calibri"/>
                <w:sz w:val="16"/>
                <w:szCs w:val="16"/>
                <w:color w:val="auto"/>
                <w:w w:val="98"/>
              </w:rPr>
              <w:t>2024</w:t>
            </w:r>
          </w:p>
        </w:tc>
        <w:tc>
          <w:tcPr>
            <w:tcW w:w="108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6"/>
                <w:szCs w:val="16"/>
                <w:color w:val="auto"/>
              </w:rPr>
              <w:t>59,697</w:t>
            </w:r>
          </w:p>
        </w:tc>
        <w:tc>
          <w:tcPr>
            <w:tcW w:w="124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6"/>
                <w:szCs w:val="16"/>
                <w:color w:val="auto"/>
              </w:rPr>
              <w:t>1,469,304</w:t>
            </w:r>
          </w:p>
        </w:tc>
        <w:tc>
          <w:tcPr>
            <w:tcW w:w="3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w:t>
            </w:r>
          </w:p>
        </w:tc>
        <w:tc>
          <w:tcPr>
            <w:tcW w:w="980" w:type="dxa"/>
            <w:vAlign w:val="bottom"/>
            <w:vMerge w:val="restart"/>
            <w:shd w:val="clear" w:color="auto" w:fill="CFF0FC"/>
          </w:tcPr>
          <w:p>
            <w:pPr>
              <w:jc w:val="right"/>
              <w:spacing w:after="0"/>
              <w:rPr>
                <w:sz w:val="20"/>
                <w:szCs w:val="20"/>
                <w:color w:val="auto"/>
              </w:rPr>
            </w:pPr>
            <w:r>
              <w:rPr>
                <w:rFonts w:ascii="Calibri" w:cs="Calibri" w:eastAsia="Calibri" w:hAnsi="Calibri"/>
                <w:sz w:val="16"/>
                <w:szCs w:val="16"/>
                <w:color w:val="auto"/>
              </w:rPr>
              <w:t>56,115</w:t>
            </w:r>
          </w:p>
        </w:tc>
        <w:tc>
          <w:tcPr>
            <w:tcW w:w="240" w:type="dxa"/>
            <w:vAlign w:val="bottom"/>
            <w:shd w:val="clear" w:color="auto" w:fill="CFF0FC"/>
          </w:tcPr>
          <w:p>
            <w:pPr>
              <w:ind w:left="120"/>
              <w:spacing w:after="0"/>
              <w:rPr>
                <w:sz w:val="20"/>
                <w:szCs w:val="20"/>
                <w:color w:val="auto"/>
              </w:rPr>
            </w:pPr>
            <w:r>
              <w:rPr>
                <w:rFonts w:ascii="Calibri" w:cs="Calibri" w:eastAsia="Calibri" w:hAnsi="Calibri"/>
                <w:sz w:val="14"/>
                <w:szCs w:val="14"/>
                <w:color w:val="auto"/>
              </w:rPr>
              <w:t>8</w:t>
            </w:r>
          </w:p>
        </w:tc>
        <w:tc>
          <w:tcPr>
            <w:tcW w:w="1060" w:type="dxa"/>
            <w:vAlign w:val="bottom"/>
            <w:vMerge w:val="restart"/>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12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6"/>
                <w:szCs w:val="16"/>
                <w:color w:val="auto"/>
              </w:rPr>
              <w:t>1,585,116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00" w:type="dxa"/>
            <w:vAlign w:val="bottom"/>
            <w:gridSpan w:val="3"/>
            <w:vMerge w:val="continue"/>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1240" w:type="dxa"/>
            <w:vAlign w:val="bottom"/>
            <w:gridSpan w:val="2"/>
            <w:vMerge w:val="continue"/>
            <w:shd w:val="clear" w:color="auto" w:fill="CFF0FC"/>
          </w:tcPr>
          <w:p>
            <w:pPr>
              <w:spacing w:after="0"/>
              <w:rPr>
                <w:sz w:val="15"/>
                <w:szCs w:val="15"/>
                <w:color w:val="auto"/>
              </w:rPr>
            </w:pPr>
          </w:p>
        </w:tc>
        <w:tc>
          <w:tcPr>
            <w:tcW w:w="300" w:type="dxa"/>
            <w:vAlign w:val="bottom"/>
            <w:shd w:val="clear" w:color="auto" w:fill="CFF0FC"/>
          </w:tcPr>
          <w:p>
            <w:pPr>
              <w:jc w:val="right"/>
              <w:ind w:right="68"/>
              <w:spacing w:after="0"/>
              <w:rPr>
                <w:sz w:val="20"/>
                <w:szCs w:val="20"/>
                <w:color w:val="auto"/>
              </w:rPr>
            </w:pPr>
            <w:r>
              <w:rPr>
                <w:rFonts w:ascii="Calibri" w:cs="Calibri" w:eastAsia="Calibri" w:hAnsi="Calibri"/>
                <w:sz w:val="14"/>
                <w:szCs w:val="14"/>
                <w:color w:val="auto"/>
              </w:rPr>
              <w:t>)</w:t>
            </w:r>
          </w:p>
        </w:tc>
        <w:tc>
          <w:tcPr>
            <w:tcW w:w="9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ind w:left="120"/>
              <w:spacing w:after="0"/>
              <w:rPr>
                <w:sz w:val="20"/>
                <w:szCs w:val="20"/>
                <w:color w:val="auto"/>
              </w:rPr>
            </w:pPr>
            <w:r>
              <w:rPr>
                <w:rFonts w:ascii="Calibri" w:cs="Calibri" w:eastAsia="Calibri" w:hAnsi="Calibri"/>
                <w:sz w:val="14"/>
                <w:szCs w:val="14"/>
                <w:color w:val="auto"/>
              </w:rPr>
              <w:t>)</w:t>
            </w:r>
          </w:p>
        </w:tc>
        <w:tc>
          <w:tcPr>
            <w:tcW w:w="10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Retred President -</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center"/>
              <w:spacing w:after="0"/>
              <w:rPr>
                <w:sz w:val="20"/>
                <w:szCs w:val="20"/>
                <w:color w:val="auto"/>
              </w:rPr>
            </w:pPr>
            <w:r>
              <w:rPr>
                <w:rFonts w:ascii="Calibri" w:cs="Calibri" w:eastAsia="Calibri" w:hAnsi="Calibri"/>
                <w:sz w:val="16"/>
                <w:szCs w:val="16"/>
                <w:color w:val="auto"/>
                <w:w w:val="98"/>
              </w:rPr>
              <w:t>2023</w:t>
            </w:r>
          </w:p>
        </w:tc>
        <w:tc>
          <w:tcPr>
            <w:tcW w:w="10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350,100</w:t>
            </w:r>
          </w:p>
        </w:tc>
        <w:tc>
          <w:tcPr>
            <w:tcW w:w="12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600,000</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675,000</w:t>
            </w:r>
          </w:p>
        </w:tc>
        <w:tc>
          <w:tcPr>
            <w:tcW w:w="13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37,694</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1,662,794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800" w:type="dxa"/>
            <w:vAlign w:val="bottom"/>
            <w:gridSpan w:val="2"/>
            <w:shd w:val="clear" w:color="auto" w:fill="CFF0FC"/>
          </w:tcPr>
          <w:p>
            <w:pPr>
              <w:ind w:left="180"/>
              <w:spacing w:after="0"/>
              <w:rPr>
                <w:sz w:val="20"/>
                <w:szCs w:val="20"/>
                <w:color w:val="auto"/>
              </w:rPr>
            </w:pPr>
            <w:r>
              <w:rPr>
                <w:rFonts w:ascii="Calibri" w:cs="Calibri" w:eastAsia="Calibri" w:hAnsi="Calibri"/>
                <w:sz w:val="16"/>
                <w:szCs w:val="16"/>
                <w:i w:val="1"/>
                <w:iCs w:val="1"/>
                <w:color w:val="auto"/>
              </w:rPr>
              <w:t>American Gypsum Company</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center"/>
              <w:spacing w:after="0"/>
              <w:rPr>
                <w:sz w:val="20"/>
                <w:szCs w:val="20"/>
                <w:color w:val="auto"/>
              </w:rPr>
            </w:pPr>
            <w:r>
              <w:rPr>
                <w:rFonts w:ascii="Calibri" w:cs="Calibri" w:eastAsia="Calibri" w:hAnsi="Calibri"/>
                <w:sz w:val="16"/>
                <w:szCs w:val="16"/>
                <w:color w:val="auto"/>
                <w:w w:val="98"/>
              </w:rPr>
              <w:t>2022</w:t>
            </w:r>
          </w:p>
        </w:tc>
        <w:tc>
          <w:tcPr>
            <w:tcW w:w="10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339,900</w:t>
            </w:r>
          </w:p>
        </w:tc>
        <w:tc>
          <w:tcPr>
            <w:tcW w:w="12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600,000</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672,047</w:t>
            </w:r>
          </w:p>
        </w:tc>
        <w:tc>
          <w:tcPr>
            <w:tcW w:w="13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36,862</w:t>
            </w:r>
          </w:p>
        </w:tc>
        <w:tc>
          <w:tcPr>
            <w:tcW w:w="11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1,648,809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23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right="80" w:hanging="372"/>
        <w:spacing w:after="0" w:line="223" w:lineRule="auto"/>
        <w:tabs>
          <w:tab w:leader="none" w:pos="38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Includes amounts deferred on a pre-tax or afer-tax basis at the electon of the executve under our Retrement Plan, which is described in greater detail under “Retrement Plan” above.</w:t>
      </w:r>
    </w:p>
    <w:p>
      <w:pPr>
        <w:spacing w:after="0" w:line="109" w:lineRule="exact"/>
        <w:rPr>
          <w:rFonts w:ascii="Calibri" w:cs="Calibri" w:eastAsia="Calibri" w:hAnsi="Calibri"/>
          <w:sz w:val="18"/>
          <w:szCs w:val="18"/>
          <w:color w:val="auto"/>
        </w:rPr>
      </w:pPr>
    </w:p>
    <w:p>
      <w:pPr>
        <w:ind w:left="380" w:right="40" w:hanging="372"/>
        <w:spacing w:after="0" w:line="235" w:lineRule="auto"/>
        <w:tabs>
          <w:tab w:leader="none" w:pos="38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Except as noted in any footnoted number, the amounts in this column refect the value of restricted stock awards made to the Named Executve Ofcer in each of the fscal years presented and are consistent with the grant date fair value of the award computed in accordance with FASB ASC Topic 718. For assumptons used in determining these values, refer to footnote (__) to the Company's audited fnancial statements for the fscal year ended March 31, 2024 included in the Fiscal 2024 Form 10-K. Unless otherwise noted, the amounts in this column for fscal 2024 assume achievement of the target level of performance conditons, and the following refects the amounts for this award assuming the highest level of performance conditons (i.e., the maximum amounts payable): Mr. Haack - $5,280,000; Mr. Kesler - $1,430,000; Mr. Newby - $825,000; Mr. Cribbs - $550,000; and Mr. Thompson - $495,000.</w:t>
      </w:r>
    </w:p>
    <w:p>
      <w:pPr>
        <w:spacing w:after="0" w:line="210"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6" w:name="page57"/>
    <w:bookmarkEnd w:id="56"/>
    <w:p>
      <w:pPr>
        <w:ind w:left="380" w:right="140" w:hanging="372"/>
        <w:spacing w:after="0" w:line="235" w:lineRule="auto"/>
        <w:tabs>
          <w:tab w:leader="none" w:pos="3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amounts in this column represent payments to the Named Executve Ofcer under the applicable annual cash incentve compensaton program for the applicable fscal year.</w:t>
      </w:r>
    </w:p>
    <w:p>
      <w:pPr>
        <w:spacing w:after="0" w:line="109" w:lineRule="exact"/>
        <w:rPr>
          <w:rFonts w:ascii="Calibri" w:cs="Calibri" w:eastAsia="Calibri" w:hAnsi="Calibri"/>
          <w:sz w:val="18"/>
          <w:szCs w:val="18"/>
          <w:color w:val="auto"/>
        </w:rPr>
      </w:pPr>
    </w:p>
    <w:p>
      <w:pPr>
        <w:ind w:left="380" w:right="220" w:hanging="372"/>
        <w:spacing w:after="0" w:line="251" w:lineRule="auto"/>
        <w:tabs>
          <w:tab w:leader="none" w:pos="380"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The amounts shown in this column represent: (a) Company proft sharing contributons to the account of the Named Executve Ofcer under our Retrement Plan (the Retrement Plan is described in greater detail under “Retrement Plan” above); (b) Company contributons to the account of the Named Executve Ofcer under our SERP (the SERP is described in greater detail under “SERP” above); (c) amounts paid with respect to individual life insurance policies under the Executve Life Insurance Plan (the plan is described in greater detail under “Executve Life Insurance Plan” above); and (d) health wellness awards. The table below provides further details of the amounts refected in the All Other Compensaton column for Fiscal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rPr>
              <w:t>Fiscal</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Proft</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Executve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Total of</w:t>
            </w: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w w:val="91"/>
              </w:rPr>
              <w:t>Year</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Sharing Plan</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SERP</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Life Insurance</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Health Wellness</w:t>
            </w:r>
          </w:p>
        </w:tc>
        <w:tc>
          <w:tcPr>
            <w:tcW w:w="2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All Other</w:t>
            </w: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Ended</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Plan</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Award</w:t>
            </w:r>
          </w:p>
        </w:tc>
        <w:tc>
          <w:tcPr>
            <w:tcW w:w="2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Compensaton</w:t>
            </w:r>
          </w:p>
        </w:tc>
      </w:tr>
      <w:tr>
        <w:trPr>
          <w:trHeight w:val="168"/>
        </w:trPr>
        <w:tc>
          <w:tcPr>
            <w:tcW w:w="3680" w:type="dxa"/>
            <w:vAlign w:val="bottom"/>
            <w:gridSpan w:val="4"/>
          </w:tcPr>
          <w:p>
            <w:pPr>
              <w:ind w:left="20"/>
              <w:spacing w:after="0" w:line="169" w:lineRule="exact"/>
              <w:rPr>
                <w:sz w:val="20"/>
                <w:szCs w:val="20"/>
                <w:color w:val="auto"/>
              </w:rPr>
            </w:pPr>
            <w:r>
              <w:rPr>
                <w:rFonts w:ascii="Calibri" w:cs="Calibri" w:eastAsia="Calibri" w:hAnsi="Calibri"/>
                <w:sz w:val="14"/>
                <w:szCs w:val="14"/>
                <w:b w:val="1"/>
                <w:bCs w:val="1"/>
                <w:color w:val="auto"/>
              </w:rPr>
              <w:t>Name</w:t>
            </w:r>
          </w:p>
        </w:tc>
        <w:tc>
          <w:tcPr>
            <w:tcW w:w="140" w:type="dxa"/>
            <w:vAlign w:val="bottom"/>
          </w:tcPr>
          <w:p>
            <w:pPr>
              <w:spacing w:after="0"/>
              <w:rPr>
                <w:sz w:val="14"/>
                <w:szCs w:val="14"/>
                <w:color w:val="auto"/>
              </w:rPr>
            </w:pP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March 31,</w:t>
            </w:r>
          </w:p>
        </w:tc>
        <w:tc>
          <w:tcPr>
            <w:tcW w:w="1180" w:type="dxa"/>
            <w:vAlign w:val="bottom"/>
            <w:gridSpan w:val="2"/>
          </w:tcPr>
          <w:p>
            <w:pPr>
              <w:jc w:val="center"/>
              <w:ind w:left="60"/>
              <w:spacing w:after="0" w:line="169" w:lineRule="exact"/>
              <w:rPr>
                <w:sz w:val="20"/>
                <w:szCs w:val="20"/>
                <w:color w:val="auto"/>
              </w:rPr>
            </w:pPr>
            <w:r>
              <w:rPr>
                <w:rFonts w:ascii="Calibri" w:cs="Calibri" w:eastAsia="Calibri" w:hAnsi="Calibri"/>
                <w:sz w:val="14"/>
                <w:szCs w:val="14"/>
                <w:b w:val="1"/>
                <w:bCs w:val="1"/>
                <w:color w:val="auto"/>
              </w:rPr>
              <w:t>($)</w:t>
            </w:r>
          </w:p>
        </w:tc>
        <w:tc>
          <w:tcPr>
            <w:tcW w:w="1280" w:type="dxa"/>
            <w:vAlign w:val="bottom"/>
            <w:gridSpan w:val="2"/>
          </w:tcPr>
          <w:p>
            <w:pPr>
              <w:jc w:val="center"/>
              <w:ind w:left="160"/>
              <w:spacing w:after="0" w:line="169" w:lineRule="exact"/>
              <w:rPr>
                <w:sz w:val="20"/>
                <w:szCs w:val="20"/>
                <w:color w:val="auto"/>
              </w:rPr>
            </w:pPr>
            <w:r>
              <w:rPr>
                <w:rFonts w:ascii="Calibri" w:cs="Calibri" w:eastAsia="Calibri" w:hAnsi="Calibri"/>
                <w:sz w:val="14"/>
                <w:szCs w:val="14"/>
                <w:b w:val="1"/>
                <w:bCs w:val="1"/>
                <w:color w:val="auto"/>
              </w:rPr>
              <w:t>($)</w:t>
            </w:r>
          </w:p>
        </w:tc>
        <w:tc>
          <w:tcPr>
            <w:tcW w:w="1240" w:type="dxa"/>
            <w:vAlign w:val="bottom"/>
            <w:gridSpan w:val="2"/>
          </w:tcPr>
          <w:p>
            <w:pPr>
              <w:jc w:val="center"/>
              <w:ind w:left="160"/>
              <w:spacing w:after="0" w:line="169" w:lineRule="exact"/>
              <w:rPr>
                <w:sz w:val="20"/>
                <w:szCs w:val="20"/>
                <w:color w:val="auto"/>
              </w:rPr>
            </w:pPr>
            <w:r>
              <w:rPr>
                <w:rFonts w:ascii="Calibri" w:cs="Calibri" w:eastAsia="Calibri" w:hAnsi="Calibri"/>
                <w:sz w:val="14"/>
                <w:szCs w:val="14"/>
                <w:b w:val="1"/>
                <w:bCs w:val="1"/>
                <w:color w:val="auto"/>
              </w:rPr>
              <w:t>($)</w:t>
            </w:r>
          </w:p>
        </w:tc>
        <w:tc>
          <w:tcPr>
            <w:tcW w:w="1240" w:type="dxa"/>
            <w:vAlign w:val="bottom"/>
            <w:gridSpan w:val="2"/>
          </w:tcPr>
          <w:p>
            <w:pPr>
              <w:jc w:val="center"/>
              <w:ind w:left="120"/>
              <w:spacing w:after="0" w:line="169" w:lineRule="exact"/>
              <w:rPr>
                <w:sz w:val="20"/>
                <w:szCs w:val="20"/>
                <w:color w:val="auto"/>
              </w:rPr>
            </w:pPr>
            <w:r>
              <w:rPr>
                <w:rFonts w:ascii="Calibri" w:cs="Calibri" w:eastAsia="Calibri" w:hAnsi="Calibri"/>
                <w:sz w:val="14"/>
                <w:szCs w:val="14"/>
                <w:b w:val="1"/>
                <w:bCs w:val="1"/>
                <w:color w:val="auto"/>
              </w:rPr>
              <w:t>($)</w:t>
            </w:r>
          </w:p>
        </w:tc>
        <w:tc>
          <w:tcPr>
            <w:tcW w:w="1420" w:type="dxa"/>
            <w:vAlign w:val="bottom"/>
            <w:gridSpan w:val="2"/>
          </w:tcPr>
          <w:p>
            <w:pPr>
              <w:jc w:val="center"/>
              <w:ind w:left="140"/>
              <w:spacing w:after="0" w:line="169"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3680" w:type="dxa"/>
            <w:vAlign w:val="bottom"/>
            <w:gridSpan w:val="4"/>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Michael R. Haack</w:t>
            </w:r>
          </w:p>
        </w:tc>
        <w:tc>
          <w:tcPr>
            <w:tcW w:w="1100" w:type="dxa"/>
            <w:vAlign w:val="bottom"/>
            <w:gridSpan w:val="2"/>
            <w:shd w:val="clear" w:color="auto" w:fill="CFF0FC"/>
          </w:tcPr>
          <w:p>
            <w:pPr>
              <w:jc w:val="center"/>
              <w:ind w:left="59"/>
              <w:spacing w:after="0" w:line="187" w:lineRule="exact"/>
              <w:rPr>
                <w:sz w:val="20"/>
                <w:szCs w:val="20"/>
                <w:color w:val="auto"/>
              </w:rPr>
            </w:pPr>
            <w:r>
              <w:rPr>
                <w:rFonts w:ascii="Calibri" w:cs="Calibri" w:eastAsia="Calibri" w:hAnsi="Calibri"/>
                <w:sz w:val="16"/>
                <w:szCs w:val="16"/>
                <w:color w:val="auto"/>
                <w:w w:val="98"/>
              </w:rPr>
              <w:t>2024</w:t>
            </w:r>
          </w:p>
        </w:tc>
        <w:tc>
          <w:tcPr>
            <w:tcW w:w="11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33,000</w:t>
            </w:r>
          </w:p>
        </w:tc>
        <w:tc>
          <w:tcPr>
            <w:tcW w:w="12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70,000</w:t>
            </w:r>
          </w:p>
        </w:tc>
        <w:tc>
          <w:tcPr>
            <w:tcW w:w="124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5,571</w:t>
            </w:r>
          </w:p>
        </w:tc>
        <w:tc>
          <w:tcPr>
            <w:tcW w:w="124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165</w:t>
            </w:r>
          </w:p>
        </w:tc>
        <w:tc>
          <w:tcPr>
            <w:tcW w:w="142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108,736</w:t>
            </w:r>
          </w:p>
        </w:tc>
        <w:tc>
          <w:tcPr>
            <w:tcW w:w="100" w:type="dxa"/>
            <w:vAlign w:val="bottom"/>
            <w:shd w:val="clear" w:color="auto" w:fill="CFF0FC"/>
          </w:tcPr>
          <w:p>
            <w:pPr>
              <w:spacing w:after="0"/>
              <w:rPr>
                <w:sz w:val="16"/>
                <w:szCs w:val="16"/>
                <w:color w:val="auto"/>
              </w:rPr>
            </w:pPr>
          </w:p>
        </w:tc>
      </w:tr>
      <w:tr>
        <w:trPr>
          <w:trHeight w:val="266"/>
        </w:trPr>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6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193"/>
        </w:trPr>
        <w:tc>
          <w:tcPr>
            <w:tcW w:w="368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D. Craig Kesler</w:t>
            </w:r>
          </w:p>
        </w:tc>
        <w:tc>
          <w:tcPr>
            <w:tcW w:w="1100" w:type="dxa"/>
            <w:vAlign w:val="bottom"/>
            <w:gridSpan w:val="2"/>
          </w:tcPr>
          <w:p>
            <w:pPr>
              <w:jc w:val="center"/>
              <w:ind w:left="59"/>
              <w:spacing w:after="0" w:line="193" w:lineRule="exact"/>
              <w:rPr>
                <w:sz w:val="20"/>
                <w:szCs w:val="20"/>
                <w:color w:val="auto"/>
              </w:rPr>
            </w:pPr>
            <w:r>
              <w:rPr>
                <w:rFonts w:ascii="Calibri" w:cs="Calibri" w:eastAsia="Calibri" w:hAnsi="Calibri"/>
                <w:sz w:val="16"/>
                <w:szCs w:val="16"/>
                <w:color w:val="auto"/>
                <w:w w:val="98"/>
              </w:rPr>
              <w:t>2024</w:t>
            </w:r>
          </w:p>
        </w:tc>
        <w:tc>
          <w:tcPr>
            <w:tcW w:w="11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33,000</w:t>
            </w:r>
          </w:p>
        </w:tc>
        <w:tc>
          <w:tcPr>
            <w:tcW w:w="12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24,126</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4,917</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660</w:t>
            </w:r>
          </w:p>
        </w:tc>
        <w:tc>
          <w:tcPr>
            <w:tcW w:w="14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62,703</w:t>
            </w:r>
          </w:p>
        </w:tc>
        <w:tc>
          <w:tcPr>
            <w:tcW w:w="100" w:type="dxa"/>
            <w:vAlign w:val="bottom"/>
          </w:tcPr>
          <w:p>
            <w:pPr>
              <w:spacing w:after="0"/>
              <w:rPr>
                <w:sz w:val="16"/>
                <w:szCs w:val="16"/>
                <w:color w:val="auto"/>
              </w:rPr>
            </w:pPr>
          </w:p>
        </w:tc>
      </w:tr>
      <w:tr>
        <w:trPr>
          <w:trHeight w:val="265"/>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2"/>
        </w:trPr>
        <w:tc>
          <w:tcPr>
            <w:tcW w:w="3680" w:type="dxa"/>
            <w:vAlign w:val="bottom"/>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Mat Newby</w:t>
            </w:r>
          </w:p>
        </w:tc>
        <w:tc>
          <w:tcPr>
            <w:tcW w:w="1100" w:type="dxa"/>
            <w:vAlign w:val="bottom"/>
            <w:gridSpan w:val="2"/>
            <w:shd w:val="clear" w:color="auto" w:fill="CFF0FC"/>
          </w:tcPr>
          <w:p>
            <w:pPr>
              <w:jc w:val="center"/>
              <w:ind w:left="59"/>
              <w:spacing w:after="0"/>
              <w:rPr>
                <w:sz w:val="20"/>
                <w:szCs w:val="20"/>
                <w:color w:val="auto"/>
              </w:rPr>
            </w:pPr>
            <w:r>
              <w:rPr>
                <w:rFonts w:ascii="Calibri" w:cs="Calibri" w:eastAsia="Calibri" w:hAnsi="Calibri"/>
                <w:sz w:val="16"/>
                <w:szCs w:val="16"/>
                <w:color w:val="auto"/>
                <w:w w:val="98"/>
              </w:rPr>
              <w:t>2024</w:t>
            </w:r>
          </w:p>
        </w:tc>
        <w:tc>
          <w:tcPr>
            <w:tcW w:w="11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33,000</w:t>
            </w:r>
          </w:p>
        </w:tc>
        <w:tc>
          <w:tcPr>
            <w:tcW w:w="12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12,432</w:t>
            </w:r>
          </w:p>
        </w:tc>
        <w:tc>
          <w:tcPr>
            <w:tcW w:w="12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4,065</w:t>
            </w:r>
          </w:p>
        </w:tc>
        <w:tc>
          <w:tcPr>
            <w:tcW w:w="12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4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49,497</w:t>
            </w:r>
          </w:p>
        </w:tc>
        <w:tc>
          <w:tcPr>
            <w:tcW w:w="100" w:type="dxa"/>
            <w:vAlign w:val="bottom"/>
            <w:shd w:val="clear" w:color="auto" w:fill="CFF0FC"/>
          </w:tcPr>
          <w:p>
            <w:pPr>
              <w:spacing w:after="0"/>
              <w:rPr>
                <w:sz w:val="17"/>
                <w:szCs w:val="17"/>
                <w:color w:val="auto"/>
              </w:rPr>
            </w:pPr>
          </w:p>
        </w:tc>
      </w:tr>
      <w:tr>
        <w:trPr>
          <w:trHeight w:val="284"/>
        </w:trPr>
        <w:tc>
          <w:tcPr>
            <w:tcW w:w="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26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193"/>
        </w:trPr>
        <w:tc>
          <w:tcPr>
            <w:tcW w:w="368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Eric Cribbs</w:t>
            </w:r>
          </w:p>
        </w:tc>
        <w:tc>
          <w:tcPr>
            <w:tcW w:w="1100" w:type="dxa"/>
            <w:vAlign w:val="bottom"/>
            <w:gridSpan w:val="2"/>
          </w:tcPr>
          <w:p>
            <w:pPr>
              <w:jc w:val="center"/>
              <w:ind w:left="59"/>
              <w:spacing w:after="0" w:line="193" w:lineRule="exact"/>
              <w:rPr>
                <w:sz w:val="20"/>
                <w:szCs w:val="20"/>
                <w:color w:val="auto"/>
              </w:rPr>
            </w:pPr>
            <w:r>
              <w:rPr>
                <w:rFonts w:ascii="Calibri" w:cs="Calibri" w:eastAsia="Calibri" w:hAnsi="Calibri"/>
                <w:sz w:val="16"/>
                <w:szCs w:val="16"/>
                <w:color w:val="auto"/>
                <w:w w:val="98"/>
              </w:rPr>
              <w:t>2024</w:t>
            </w:r>
          </w:p>
        </w:tc>
        <w:tc>
          <w:tcPr>
            <w:tcW w:w="11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33,000</w:t>
            </w:r>
          </w:p>
        </w:tc>
        <w:tc>
          <w:tcPr>
            <w:tcW w:w="12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1,629</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4,945</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330</w:t>
            </w:r>
          </w:p>
        </w:tc>
        <w:tc>
          <w:tcPr>
            <w:tcW w:w="14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39,904</w:t>
            </w:r>
          </w:p>
        </w:tc>
        <w:tc>
          <w:tcPr>
            <w:tcW w:w="100" w:type="dxa"/>
            <w:vAlign w:val="bottom"/>
          </w:tcPr>
          <w:p>
            <w:pPr>
              <w:spacing w:after="0"/>
              <w:rPr>
                <w:sz w:val="16"/>
                <w:szCs w:val="16"/>
                <w:color w:val="auto"/>
              </w:rPr>
            </w:pPr>
          </w:p>
        </w:tc>
      </w:tr>
      <w:tr>
        <w:trPr>
          <w:trHeight w:val="266"/>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3"/>
        </w:trPr>
        <w:tc>
          <w:tcPr>
            <w:tcW w:w="3680" w:type="dxa"/>
            <w:vAlign w:val="bottom"/>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Tony Thompson</w:t>
            </w:r>
          </w:p>
        </w:tc>
        <w:tc>
          <w:tcPr>
            <w:tcW w:w="1100" w:type="dxa"/>
            <w:vAlign w:val="bottom"/>
            <w:gridSpan w:val="2"/>
            <w:shd w:val="clear" w:color="auto" w:fill="CFF0FC"/>
          </w:tcPr>
          <w:p>
            <w:pPr>
              <w:jc w:val="center"/>
              <w:ind w:left="59"/>
              <w:spacing w:after="0" w:line="193" w:lineRule="exact"/>
              <w:rPr>
                <w:sz w:val="20"/>
                <w:szCs w:val="20"/>
                <w:color w:val="auto"/>
              </w:rPr>
            </w:pPr>
            <w:r>
              <w:rPr>
                <w:rFonts w:ascii="Calibri" w:cs="Calibri" w:eastAsia="Calibri" w:hAnsi="Calibri"/>
                <w:sz w:val="16"/>
                <w:szCs w:val="16"/>
                <w:color w:val="auto"/>
                <w:w w:val="98"/>
              </w:rPr>
              <w:t>2024</w:t>
            </w:r>
          </w:p>
        </w:tc>
        <w:tc>
          <w:tcPr>
            <w:tcW w:w="11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32,392</w:t>
            </w:r>
          </w:p>
        </w:tc>
        <w:tc>
          <w:tcPr>
            <w:tcW w:w="12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5,072</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660</w:t>
            </w:r>
          </w:p>
        </w:tc>
        <w:tc>
          <w:tcPr>
            <w:tcW w:w="14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38,124</w:t>
            </w:r>
          </w:p>
        </w:tc>
        <w:tc>
          <w:tcPr>
            <w:tcW w:w="100" w:type="dxa"/>
            <w:vAlign w:val="bottom"/>
            <w:shd w:val="clear" w:color="auto" w:fill="CFF0FC"/>
          </w:tcPr>
          <w:p>
            <w:pPr>
              <w:spacing w:after="0"/>
              <w:rPr>
                <w:sz w:val="16"/>
                <w:szCs w:val="16"/>
                <w:color w:val="auto"/>
              </w:rPr>
            </w:pPr>
          </w:p>
        </w:tc>
      </w:tr>
      <w:tr>
        <w:trPr>
          <w:trHeight w:val="266"/>
        </w:trPr>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6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193"/>
        </w:trPr>
        <w:tc>
          <w:tcPr>
            <w:tcW w:w="368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Robert S. Stewart</w:t>
            </w:r>
          </w:p>
        </w:tc>
        <w:tc>
          <w:tcPr>
            <w:tcW w:w="1100" w:type="dxa"/>
            <w:vAlign w:val="bottom"/>
            <w:gridSpan w:val="2"/>
          </w:tcPr>
          <w:p>
            <w:pPr>
              <w:jc w:val="center"/>
              <w:ind w:left="59"/>
              <w:spacing w:after="0" w:line="193" w:lineRule="exact"/>
              <w:rPr>
                <w:sz w:val="20"/>
                <w:szCs w:val="20"/>
                <w:color w:val="auto"/>
              </w:rPr>
            </w:pPr>
            <w:r>
              <w:rPr>
                <w:rFonts w:ascii="Calibri" w:cs="Calibri" w:eastAsia="Calibri" w:hAnsi="Calibri"/>
                <w:sz w:val="16"/>
                <w:szCs w:val="16"/>
                <w:color w:val="auto"/>
                <w:w w:val="98"/>
              </w:rPr>
              <w:t>2024</w:t>
            </w:r>
          </w:p>
        </w:tc>
        <w:tc>
          <w:tcPr>
            <w:tcW w:w="11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4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r>
      <w:tr>
        <w:trPr>
          <w:trHeight w:val="266"/>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3"/>
        </w:trPr>
        <w:tc>
          <w:tcPr>
            <w:tcW w:w="3680" w:type="dxa"/>
            <w:vAlign w:val="bottom"/>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Steven L. Wentzel</w:t>
            </w:r>
          </w:p>
        </w:tc>
        <w:tc>
          <w:tcPr>
            <w:tcW w:w="1100" w:type="dxa"/>
            <w:vAlign w:val="bottom"/>
            <w:gridSpan w:val="2"/>
            <w:shd w:val="clear" w:color="auto" w:fill="CFF0FC"/>
          </w:tcPr>
          <w:p>
            <w:pPr>
              <w:jc w:val="center"/>
              <w:ind w:left="59"/>
              <w:spacing w:after="0" w:line="193" w:lineRule="exact"/>
              <w:rPr>
                <w:sz w:val="20"/>
                <w:szCs w:val="20"/>
                <w:color w:val="auto"/>
              </w:rPr>
            </w:pPr>
            <w:r>
              <w:rPr>
                <w:rFonts w:ascii="Calibri" w:cs="Calibri" w:eastAsia="Calibri" w:hAnsi="Calibri"/>
                <w:sz w:val="16"/>
                <w:szCs w:val="16"/>
                <w:color w:val="auto"/>
                <w:w w:val="98"/>
              </w:rPr>
              <w:t>2024</w:t>
            </w:r>
          </w:p>
        </w:tc>
        <w:tc>
          <w:tcPr>
            <w:tcW w:w="11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4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shd w:val="clear" w:color="auto" w:fill="CFF0FC"/>
          </w:tcPr>
          <w:p>
            <w:pPr>
              <w:spacing w:after="0"/>
              <w:rPr>
                <w:sz w:val="16"/>
                <w:szCs w:val="16"/>
                <w:color w:val="auto"/>
              </w:rPr>
            </w:pPr>
          </w:p>
        </w:tc>
      </w:tr>
      <w:tr>
        <w:trPr>
          <w:trHeight w:val="265"/>
        </w:trPr>
        <w:tc>
          <w:tcPr>
            <w:tcW w:w="2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26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72" w:lineRule="exact"/>
        <w:rPr>
          <w:sz w:val="20"/>
          <w:szCs w:val="20"/>
          <w:color w:val="auto"/>
        </w:rPr>
      </w:pPr>
    </w:p>
    <w:p>
      <w:pPr>
        <w:ind w:left="380" w:right="120" w:hanging="372"/>
        <w:spacing w:after="0" w:line="235" w:lineRule="auto"/>
        <w:tabs>
          <w:tab w:leader="none" w:pos="3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Mr. Newby was not a Named Executve Ofcer prior to fscal year 2023. In accordance with SEC disclosure requirements, his compensaton disclosure is provided only for the fscal years in which he served as a Named Executve Ofcer.</w:t>
      </w:r>
    </w:p>
    <w:p>
      <w:pPr>
        <w:spacing w:after="0" w:line="109" w:lineRule="exact"/>
        <w:rPr>
          <w:rFonts w:ascii="Calibri" w:cs="Calibri" w:eastAsia="Calibri" w:hAnsi="Calibri"/>
          <w:sz w:val="18"/>
          <w:szCs w:val="18"/>
          <w:color w:val="auto"/>
        </w:rPr>
      </w:pPr>
    </w:p>
    <w:p>
      <w:pPr>
        <w:ind w:left="380" w:right="560" w:hanging="372"/>
        <w:spacing w:after="0" w:line="235" w:lineRule="auto"/>
        <w:tabs>
          <w:tab w:leader="none" w:pos="3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Messrs. Cribbs and Thompson were not Named Executve Ofcers prior to fscal year 2024. In accordance with SEC disclosure requirements, their compensaton disclosure is provided only for the fscal year in which they served as a Named Executve Ofcer.</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Mr. Stewart retred efectve July 3, 2023.</w:t>
      </w:r>
    </w:p>
    <w:p>
      <w:pPr>
        <w:spacing w:after="0" w:line="109" w:lineRule="exact"/>
        <w:rPr>
          <w:rFonts w:ascii="Calibri" w:cs="Calibri" w:eastAsia="Calibri" w:hAnsi="Calibri"/>
          <w:sz w:val="18"/>
          <w:szCs w:val="18"/>
          <w:color w:val="auto"/>
        </w:rPr>
      </w:pPr>
    </w:p>
    <w:p>
      <w:pPr>
        <w:ind w:left="380" w:right="60" w:hanging="372"/>
        <w:spacing w:after="0" w:line="235" w:lineRule="auto"/>
        <w:tabs>
          <w:tab w:leader="none" w:pos="3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These amounts do not relate to new equity awards to Messrs. Stewart or Wentzel—rather, they represent the incremental fair value of the treatment of their outstanding equity awards at the tme of their retrement. For each of the retring ofcers, the Board determined that his departure consttuted a Board-approved retrement from service, and therefore, pursuant to the terms of the award agreements, his outstanding restricted stock (both tme-vestng awards and performance-vestng awards for which the performance conditon had been satsfed) accelerated vestng upon retrement, and Mr. Wentzel's outstanding stock optons will survive for the remaining term following retrement. The value of these retrement-related items is refected in the table, in each case computed in accordance with FASB ASC Topic 718.</w:t>
      </w:r>
    </w:p>
    <w:p>
      <w:pPr>
        <w:spacing w:after="0" w:line="108" w:lineRule="exact"/>
        <w:rPr>
          <w:rFonts w:ascii="Calibri" w:cs="Calibri" w:eastAsia="Calibri" w:hAnsi="Calibri"/>
          <w:sz w:val="18"/>
          <w:szCs w:val="18"/>
          <w:color w:val="auto"/>
        </w:rPr>
      </w:pPr>
    </w:p>
    <w:p>
      <w:pPr>
        <w:ind w:left="380" w:hanging="372"/>
        <w:spacing w:after="0"/>
        <w:tabs>
          <w:tab w:leader="none" w:pos="3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Mr. Wentzel retred efectve June 1, 2023.</w:t>
      </w:r>
    </w:p>
    <w:p>
      <w:pPr>
        <w:spacing w:after="0" w:line="20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center"/>
        <w:spacing w:after="0"/>
        <w:rPr>
          <w:sz w:val="20"/>
          <w:szCs w:val="20"/>
          <w:color w:val="auto"/>
        </w:rPr>
      </w:pPr>
      <w:r>
        <w:rPr>
          <w:rFonts w:ascii="Calibri" w:cs="Calibri" w:eastAsia="Calibri" w:hAnsi="Calibri"/>
          <w:sz w:val="18"/>
          <w:szCs w:val="18"/>
          <w:b w:val="1"/>
          <w:bCs w:val="1"/>
          <w:color w:val="auto"/>
        </w:rPr>
        <w:t>Grants of Plan-Based Awards</w:t>
      </w:r>
    </w:p>
    <w:p>
      <w:pPr>
        <w:spacing w:after="0" w:line="32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the grants of plan-based awards made during fscal 2024 to the Named Executve Ofcers.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Calibri" w:cs="Calibri" w:eastAsia="Calibri" w:hAnsi="Calibri"/>
                <w:sz w:val="13"/>
                <w:szCs w:val="13"/>
                <w:b w:val="1"/>
                <w:bCs w:val="1"/>
                <w:color w:val="auto"/>
                <w:w w:val="98"/>
              </w:rPr>
              <w:t>All Other</w:t>
            </w: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w w:val="98"/>
              </w:rPr>
              <w:t>All Other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Calibri" w:cs="Calibri" w:eastAsia="Calibri" w:hAnsi="Calibri"/>
                <w:sz w:val="13"/>
                <w:szCs w:val="13"/>
                <w:b w:val="1"/>
                <w:bCs w:val="1"/>
                <w:color w:val="auto"/>
                <w:w w:val="95"/>
              </w:rPr>
              <w:t>Stock</w:t>
            </w: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4"/>
            <w:vMerge w:val="restart"/>
          </w:tcPr>
          <w:p>
            <w:pPr>
              <w:jc w:val="center"/>
              <w:ind w:right="40"/>
              <w:spacing w:after="0"/>
              <w:rPr>
                <w:sz w:val="20"/>
                <w:szCs w:val="20"/>
                <w:color w:val="auto"/>
              </w:rPr>
            </w:pPr>
            <w:r>
              <w:rPr>
                <w:rFonts w:ascii="Calibri" w:cs="Calibri" w:eastAsia="Calibri" w:hAnsi="Calibri"/>
                <w:sz w:val="13"/>
                <w:szCs w:val="13"/>
                <w:b w:val="1"/>
                <w:bCs w:val="1"/>
                <w:color w:val="auto"/>
                <w:w w:val="98"/>
              </w:rPr>
              <w:t>Estmated Future Payouts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6"/>
            <w:vMerge w:val="restart"/>
          </w:tcPr>
          <w:p>
            <w:pPr>
              <w:jc w:val="center"/>
              <w:ind w:right="240"/>
              <w:spacing w:after="0"/>
              <w:rPr>
                <w:sz w:val="20"/>
                <w:szCs w:val="20"/>
                <w:color w:val="auto"/>
              </w:rPr>
            </w:pPr>
            <w:r>
              <w:rPr>
                <w:rFonts w:ascii="Calibri" w:cs="Calibri" w:eastAsia="Calibri" w:hAnsi="Calibri"/>
                <w:sz w:val="13"/>
                <w:szCs w:val="13"/>
                <w:b w:val="1"/>
                <w:bCs w:val="1"/>
                <w:color w:val="auto"/>
                <w:w w:val="98"/>
              </w:rPr>
              <w:t>Estmated Future Payouts</w:t>
            </w:r>
          </w:p>
        </w:tc>
        <w:tc>
          <w:tcPr>
            <w:tcW w:w="940" w:type="dxa"/>
            <w:vAlign w:val="bottom"/>
            <w:gridSpan w:val="2"/>
          </w:tcPr>
          <w:p>
            <w:pPr>
              <w:jc w:val="center"/>
              <w:ind w:right="260"/>
              <w:spacing w:after="0" w:line="149" w:lineRule="exact"/>
              <w:rPr>
                <w:sz w:val="20"/>
                <w:szCs w:val="20"/>
                <w:color w:val="auto"/>
              </w:rPr>
            </w:pPr>
            <w:r>
              <w:rPr>
                <w:rFonts w:ascii="Calibri" w:cs="Calibri" w:eastAsia="Calibri" w:hAnsi="Calibri"/>
                <w:sz w:val="13"/>
                <w:szCs w:val="13"/>
                <w:b w:val="1"/>
                <w:bCs w:val="1"/>
                <w:color w:val="auto"/>
                <w:w w:val="99"/>
              </w:rPr>
              <w:t>Awards:</w:t>
            </w: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Awards:</w:t>
            </w:r>
          </w:p>
        </w:tc>
        <w:tc>
          <w:tcPr>
            <w:tcW w:w="2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4"/>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60" w:type="dxa"/>
            <w:vAlign w:val="bottom"/>
            <w:gridSpan w:val="6"/>
            <w:vMerge w:val="continue"/>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Calibri" w:cs="Calibri" w:eastAsia="Calibri" w:hAnsi="Calibri"/>
                <w:sz w:val="13"/>
                <w:szCs w:val="13"/>
                <w:b w:val="1"/>
                <w:bCs w:val="1"/>
                <w:color w:val="auto"/>
                <w:w w:val="95"/>
              </w:rPr>
              <w:t>Number of</w:t>
            </w:r>
          </w:p>
        </w:tc>
        <w:tc>
          <w:tcPr>
            <w:tcW w:w="8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5"/>
              </w:rPr>
              <w:t>Number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Calibri" w:cs="Calibri" w:eastAsia="Calibri" w:hAnsi="Calibri"/>
                <w:sz w:val="13"/>
                <w:szCs w:val="13"/>
                <w:b w:val="1"/>
                <w:bCs w:val="1"/>
                <w:color w:val="auto"/>
                <w:w w:val="96"/>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5"/>
          </w:tcPr>
          <w:p>
            <w:pPr>
              <w:jc w:val="center"/>
              <w:ind w:left="533"/>
              <w:spacing w:after="0" w:line="149" w:lineRule="exact"/>
              <w:rPr>
                <w:sz w:val="20"/>
                <w:szCs w:val="20"/>
                <w:color w:val="auto"/>
              </w:rPr>
            </w:pPr>
            <w:r>
              <w:rPr>
                <w:rFonts w:ascii="Calibri" w:cs="Calibri" w:eastAsia="Calibri" w:hAnsi="Calibri"/>
                <w:sz w:val="13"/>
                <w:szCs w:val="13"/>
                <w:b w:val="1"/>
                <w:bCs w:val="1"/>
                <w:color w:val="auto"/>
                <w:w w:val="99"/>
              </w:rPr>
              <w:t>Under Non-Equity Incentve</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6"/>
          </w:tcPr>
          <w:p>
            <w:pPr>
              <w:jc w:val="center"/>
              <w:ind w:right="240"/>
              <w:spacing w:after="0" w:line="149" w:lineRule="exact"/>
              <w:rPr>
                <w:sz w:val="20"/>
                <w:szCs w:val="20"/>
                <w:color w:val="auto"/>
              </w:rPr>
            </w:pPr>
            <w:r>
              <w:rPr>
                <w:rFonts w:ascii="Calibri" w:cs="Calibri" w:eastAsia="Calibri" w:hAnsi="Calibri"/>
                <w:sz w:val="13"/>
                <w:szCs w:val="13"/>
                <w:b w:val="1"/>
                <w:bCs w:val="1"/>
                <w:color w:val="auto"/>
                <w:w w:val="99"/>
              </w:rPr>
              <w:t>Under Equity Incentve Plan</w:t>
            </w:r>
          </w:p>
        </w:tc>
        <w:tc>
          <w:tcPr>
            <w:tcW w:w="940" w:type="dxa"/>
            <w:vAlign w:val="bottom"/>
            <w:gridSpan w:val="2"/>
          </w:tcPr>
          <w:p>
            <w:pPr>
              <w:jc w:val="center"/>
              <w:ind w:right="260"/>
              <w:spacing w:after="0" w:line="149" w:lineRule="exact"/>
              <w:rPr>
                <w:sz w:val="20"/>
                <w:szCs w:val="20"/>
                <w:color w:val="auto"/>
              </w:rPr>
            </w:pPr>
            <w:r>
              <w:rPr>
                <w:rFonts w:ascii="Calibri" w:cs="Calibri" w:eastAsia="Calibri" w:hAnsi="Calibri"/>
                <w:sz w:val="13"/>
                <w:szCs w:val="13"/>
                <w:b w:val="1"/>
                <w:bCs w:val="1"/>
                <w:color w:val="auto"/>
                <w:w w:val="96"/>
              </w:rPr>
              <w:t>Shares of</w:t>
            </w: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Securites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Calibri" w:cs="Calibri" w:eastAsia="Calibri" w:hAnsi="Calibri"/>
                <w:sz w:val="13"/>
                <w:szCs w:val="13"/>
                <w:b w:val="1"/>
                <w:bCs w:val="1"/>
                <w:color w:val="auto"/>
              </w:rPr>
              <w:t>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8"/>
              </w:rPr>
              <w:t>Plan Awards</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line="149" w:lineRule="exact"/>
              <w:rPr>
                <w:sz w:val="20"/>
                <w:szCs w:val="20"/>
                <w:color w:val="auto"/>
              </w:rPr>
            </w:pPr>
            <w:r>
              <w:rPr>
                <w:rFonts w:ascii="Calibri" w:cs="Calibri" w:eastAsia="Calibri" w:hAnsi="Calibri"/>
                <w:sz w:val="13"/>
                <w:szCs w:val="13"/>
                <w:b w:val="1"/>
                <w:bCs w:val="1"/>
                <w:color w:val="auto"/>
                <w:w w:val="93"/>
              </w:rPr>
              <w:t>Awards</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Calibri" w:cs="Calibri" w:eastAsia="Calibri" w:hAnsi="Calibri"/>
                <w:sz w:val="13"/>
                <w:szCs w:val="13"/>
                <w:b w:val="1"/>
                <w:bCs w:val="1"/>
                <w:color w:val="auto"/>
                <w:w w:val="95"/>
              </w:rPr>
              <w:t>Stock</w:t>
            </w: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Underlying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Calibri" w:cs="Calibri" w:eastAsia="Calibri" w:hAnsi="Calibri"/>
                <w:sz w:val="13"/>
                <w:szCs w:val="13"/>
                <w:b w:val="1"/>
                <w:bCs w:val="1"/>
                <w:color w:val="auto"/>
                <w:w w:val="98"/>
              </w:rPr>
              <w:t>Stock 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Calibri" w:cs="Calibri" w:eastAsia="Calibri" w:hAnsi="Calibri"/>
                <w:sz w:val="13"/>
                <w:szCs w:val="13"/>
                <w:b w:val="1"/>
                <w:bCs w:val="1"/>
                <w:color w:val="auto"/>
                <w:w w:val="97"/>
              </w:rPr>
              <w:t>Grant</w:t>
            </w:r>
          </w:p>
        </w:tc>
        <w:tc>
          <w:tcPr>
            <w:tcW w:w="6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6"/>
              </w:rPr>
              <w:t>Threshold</w:t>
            </w:r>
          </w:p>
        </w:tc>
        <w:tc>
          <w:tcPr>
            <w:tcW w:w="240" w:type="dxa"/>
            <w:vAlign w:val="bottom"/>
          </w:tcPr>
          <w:p>
            <w:pPr>
              <w:spacing w:after="0"/>
              <w:rPr>
                <w:sz w:val="11"/>
                <w:szCs w:val="11"/>
                <w:color w:val="auto"/>
              </w:rPr>
            </w:pPr>
          </w:p>
        </w:tc>
        <w:tc>
          <w:tcPr>
            <w:tcW w:w="860" w:type="dxa"/>
            <w:vAlign w:val="bottom"/>
          </w:tcPr>
          <w:p>
            <w:pPr>
              <w:jc w:val="right"/>
              <w:ind w:right="193"/>
              <w:spacing w:after="0" w:line="135" w:lineRule="exact"/>
              <w:rPr>
                <w:sz w:val="20"/>
                <w:szCs w:val="20"/>
                <w:color w:val="auto"/>
              </w:rPr>
            </w:pPr>
            <w:r>
              <w:rPr>
                <w:rFonts w:ascii="Calibri" w:cs="Calibri" w:eastAsia="Calibri" w:hAnsi="Calibri"/>
                <w:sz w:val="13"/>
                <w:szCs w:val="13"/>
                <w:b w:val="1"/>
                <w:bCs w:val="1"/>
                <w:color w:val="auto"/>
              </w:rPr>
              <w:t>Target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7"/>
              </w:rPr>
              <w:t>Maximum</w:t>
            </w:r>
          </w:p>
        </w:tc>
        <w:tc>
          <w:tcPr>
            <w:tcW w:w="240" w:type="dxa"/>
            <w:vAlign w:val="bottom"/>
          </w:tcPr>
          <w:p>
            <w:pPr>
              <w:spacing w:after="0"/>
              <w:rPr>
                <w:sz w:val="11"/>
                <w:szCs w:val="11"/>
                <w:color w:val="auto"/>
              </w:rPr>
            </w:pPr>
          </w:p>
        </w:tc>
        <w:tc>
          <w:tcPr>
            <w:tcW w:w="680" w:type="dxa"/>
            <w:vAlign w:val="bottom"/>
          </w:tcPr>
          <w:p>
            <w:pPr>
              <w:jc w:val="right"/>
              <w:ind w:right="13"/>
              <w:spacing w:after="0" w:line="135" w:lineRule="exact"/>
              <w:rPr>
                <w:sz w:val="20"/>
                <w:szCs w:val="20"/>
                <w:color w:val="auto"/>
              </w:rPr>
            </w:pPr>
            <w:r>
              <w:rPr>
                <w:rFonts w:ascii="Calibri" w:cs="Calibri" w:eastAsia="Calibri" w:hAnsi="Calibri"/>
                <w:sz w:val="13"/>
                <w:szCs w:val="13"/>
                <w:b w:val="1"/>
                <w:bCs w:val="1"/>
                <w:color w:val="auto"/>
              </w:rPr>
              <w:t>Threshold</w:t>
            </w:r>
          </w:p>
        </w:tc>
        <w:tc>
          <w:tcPr>
            <w:tcW w:w="240" w:type="dxa"/>
            <w:vAlign w:val="bottom"/>
          </w:tcPr>
          <w:p>
            <w:pPr>
              <w:spacing w:after="0"/>
              <w:rPr>
                <w:sz w:val="11"/>
                <w:szCs w:val="11"/>
                <w:color w:val="auto"/>
              </w:rPr>
            </w:pPr>
          </w:p>
        </w:tc>
        <w:tc>
          <w:tcPr>
            <w:tcW w:w="660" w:type="dxa"/>
            <w:vAlign w:val="bottom"/>
          </w:tcPr>
          <w:p>
            <w:pPr>
              <w:jc w:val="right"/>
              <w:ind w:right="113"/>
              <w:spacing w:after="0" w:line="135" w:lineRule="exact"/>
              <w:rPr>
                <w:sz w:val="20"/>
                <w:szCs w:val="20"/>
                <w:color w:val="auto"/>
              </w:rPr>
            </w:pPr>
            <w:r>
              <w:rPr>
                <w:rFonts w:ascii="Calibri" w:cs="Calibri" w:eastAsia="Calibri" w:hAnsi="Calibri"/>
                <w:sz w:val="13"/>
                <w:szCs w:val="13"/>
                <w:b w:val="1"/>
                <w:bCs w:val="1"/>
                <w:color w:val="auto"/>
              </w:rPr>
              <w:t>Target</w:t>
            </w:r>
          </w:p>
        </w:tc>
        <w:tc>
          <w:tcPr>
            <w:tcW w:w="2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Calibri" w:cs="Calibri" w:eastAsia="Calibri" w:hAnsi="Calibri"/>
                <w:sz w:val="13"/>
                <w:szCs w:val="13"/>
                <w:b w:val="1"/>
                <w:bCs w:val="1"/>
                <w:color w:val="auto"/>
                <w:w w:val="94"/>
              </w:rPr>
              <w:t>Maximum</w:t>
            </w:r>
          </w:p>
        </w:tc>
        <w:tc>
          <w:tcPr>
            <w:tcW w:w="940" w:type="dxa"/>
            <w:vAlign w:val="bottom"/>
            <w:gridSpan w:val="2"/>
          </w:tcPr>
          <w:p>
            <w:pPr>
              <w:jc w:val="center"/>
              <w:ind w:right="240"/>
              <w:spacing w:after="0" w:line="135" w:lineRule="exact"/>
              <w:rPr>
                <w:sz w:val="20"/>
                <w:szCs w:val="20"/>
                <w:color w:val="auto"/>
              </w:rPr>
            </w:pPr>
            <w:r>
              <w:rPr>
                <w:rFonts w:ascii="Calibri" w:cs="Calibri" w:eastAsia="Calibri" w:hAnsi="Calibri"/>
                <w:sz w:val="13"/>
                <w:szCs w:val="13"/>
                <w:b w:val="1"/>
                <w:bCs w:val="1"/>
                <w:color w:val="auto"/>
                <w:w w:val="97"/>
              </w:rPr>
              <w:t>or Units</w:t>
            </w:r>
          </w:p>
        </w:tc>
        <w:tc>
          <w:tcPr>
            <w:tcW w:w="8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rPr>
              <w:t>Optons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Calibri" w:cs="Calibri" w:eastAsia="Calibri" w:hAnsi="Calibri"/>
                <w:sz w:val="13"/>
                <w:szCs w:val="13"/>
                <w:b w:val="1"/>
                <w:bCs w:val="1"/>
                <w:color w:val="auto"/>
              </w:rPr>
              <w:t>Opton</w:t>
            </w:r>
          </w:p>
        </w:tc>
        <w:tc>
          <w:tcPr>
            <w:tcW w:w="0" w:type="dxa"/>
            <w:vAlign w:val="bottom"/>
          </w:tcPr>
          <w:p>
            <w:pPr>
              <w:spacing w:after="0"/>
              <w:rPr>
                <w:sz w:val="1"/>
                <w:szCs w:val="1"/>
                <w:color w:val="auto"/>
              </w:rPr>
            </w:pPr>
          </w:p>
        </w:tc>
      </w:tr>
      <w:tr>
        <w:trPr>
          <w:trHeight w:val="160"/>
        </w:trPr>
        <w:tc>
          <w:tcPr>
            <w:tcW w:w="1840" w:type="dxa"/>
            <w:vAlign w:val="bottom"/>
            <w:gridSpan w:val="3"/>
          </w:tcPr>
          <w:p>
            <w:pPr>
              <w:ind w:left="20"/>
              <w:spacing w:after="0"/>
              <w:rPr>
                <w:sz w:val="20"/>
                <w:szCs w:val="20"/>
                <w:color w:val="auto"/>
              </w:rPr>
            </w:pPr>
            <w:r>
              <w:rPr>
                <w:rFonts w:ascii="Calibri" w:cs="Calibri" w:eastAsia="Calibri" w:hAnsi="Calibri"/>
                <w:sz w:val="13"/>
                <w:szCs w:val="13"/>
                <w:b w:val="1"/>
                <w:bCs w:val="1"/>
                <w:color w:val="auto"/>
              </w:rPr>
              <w:t>Name</w:t>
            </w:r>
          </w:p>
        </w:tc>
        <w:tc>
          <w:tcPr>
            <w:tcW w:w="12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Calibri" w:cs="Calibri" w:eastAsia="Calibri" w:hAnsi="Calibri"/>
                <w:sz w:val="13"/>
                <w:szCs w:val="13"/>
                <w:b w:val="1"/>
                <w:bCs w:val="1"/>
                <w:color w:val="auto"/>
                <w:w w:val="93"/>
              </w:rPr>
              <w:t>Date</w:t>
            </w:r>
          </w:p>
        </w:tc>
        <w:tc>
          <w:tcPr>
            <w:tcW w:w="640" w:type="dxa"/>
            <w:vAlign w:val="bottom"/>
          </w:tcPr>
          <w:p>
            <w:pPr>
              <w:jc w:val="right"/>
              <w:ind w:right="173"/>
              <w:spacing w:after="0"/>
              <w:rPr>
                <w:sz w:val="20"/>
                <w:szCs w:val="20"/>
                <w:color w:val="auto"/>
              </w:rPr>
            </w:pPr>
            <w:r>
              <w:rPr>
                <w:rFonts w:ascii="Calibri" w:cs="Calibri" w:eastAsia="Calibri" w:hAnsi="Calibri"/>
                <w:sz w:val="13"/>
                <w:szCs w:val="13"/>
                <w:b w:val="1"/>
                <w:bCs w:val="1"/>
                <w:color w:val="auto"/>
              </w:rPr>
              <w:t>($)</w:t>
            </w:r>
          </w:p>
        </w:tc>
        <w:tc>
          <w:tcPr>
            <w:tcW w:w="1100" w:type="dxa"/>
            <w:vAlign w:val="bottom"/>
            <w:gridSpan w:val="2"/>
          </w:tcPr>
          <w:p>
            <w:pPr>
              <w:jc w:val="right"/>
              <w:ind w:right="293"/>
              <w:spacing w:after="0"/>
              <w:rPr>
                <w:sz w:val="20"/>
                <w:szCs w:val="20"/>
                <w:color w:val="auto"/>
              </w:rPr>
            </w:pPr>
            <w:r>
              <w:rPr>
                <w:rFonts w:ascii="Calibri" w:cs="Calibri" w:eastAsia="Calibri" w:hAnsi="Calibri"/>
                <w:sz w:val="13"/>
                <w:szCs w:val="13"/>
                <w:b w:val="1"/>
                <w:bCs w:val="1"/>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192"/>
              <w:spacing w:after="0"/>
              <w:rPr>
                <w:sz w:val="20"/>
                <w:szCs w:val="20"/>
                <w:color w:val="auto"/>
              </w:rPr>
            </w:pPr>
            <w:r>
              <w:rPr>
                <w:rFonts w:ascii="Calibri" w:cs="Calibri" w:eastAsia="Calibri" w:hAnsi="Calibri"/>
                <w:sz w:val="13"/>
                <w:szCs w:val="13"/>
                <w:b w:val="1"/>
                <w:bCs w:val="1"/>
                <w:color w:val="auto"/>
              </w:rPr>
              <w:t>($)</w:t>
            </w:r>
          </w:p>
        </w:tc>
        <w:tc>
          <w:tcPr>
            <w:tcW w:w="920" w:type="dxa"/>
            <w:vAlign w:val="bottom"/>
            <w:gridSpan w:val="2"/>
          </w:tcPr>
          <w:p>
            <w:pPr>
              <w:jc w:val="right"/>
              <w:ind w:right="213"/>
              <w:spacing w:after="0"/>
              <w:rPr>
                <w:sz w:val="20"/>
                <w:szCs w:val="20"/>
                <w:color w:val="auto"/>
              </w:rPr>
            </w:pPr>
            <w:r>
              <w:rPr>
                <w:rFonts w:ascii="Calibri" w:cs="Calibri" w:eastAsia="Calibri" w:hAnsi="Calibri"/>
                <w:sz w:val="13"/>
                <w:szCs w:val="13"/>
                <w:b w:val="1"/>
                <w:bCs w:val="1"/>
                <w:color w:val="auto"/>
              </w:rPr>
              <w:t>(#)</w:t>
            </w:r>
          </w:p>
        </w:tc>
        <w:tc>
          <w:tcPr>
            <w:tcW w:w="240" w:type="dxa"/>
            <w:vAlign w:val="bottom"/>
          </w:tcPr>
          <w:p>
            <w:pPr>
              <w:spacing w:after="0"/>
              <w:rPr>
                <w:sz w:val="13"/>
                <w:szCs w:val="13"/>
                <w:color w:val="auto"/>
              </w:rPr>
            </w:pPr>
          </w:p>
        </w:tc>
        <w:tc>
          <w:tcPr>
            <w:tcW w:w="660" w:type="dxa"/>
            <w:vAlign w:val="bottom"/>
          </w:tcPr>
          <w:p>
            <w:pPr>
              <w:jc w:val="right"/>
              <w:ind w:right="193"/>
              <w:spacing w:after="0"/>
              <w:rPr>
                <w:sz w:val="20"/>
                <w:szCs w:val="20"/>
                <w:color w:val="auto"/>
              </w:rPr>
            </w:pPr>
            <w:r>
              <w:rPr>
                <w:rFonts w:ascii="Calibri" w:cs="Calibri" w:eastAsia="Calibri" w:hAnsi="Calibri"/>
                <w:sz w:val="13"/>
                <w:szCs w:val="13"/>
                <w:b w:val="1"/>
                <w:bCs w:val="1"/>
                <w:color w:val="auto"/>
              </w:rPr>
              <w:t>(#)</w:t>
            </w:r>
          </w:p>
        </w:tc>
        <w:tc>
          <w:tcPr>
            <w:tcW w:w="840" w:type="dxa"/>
            <w:vAlign w:val="bottom"/>
            <w:gridSpan w:val="2"/>
          </w:tcPr>
          <w:p>
            <w:pPr>
              <w:jc w:val="center"/>
              <w:ind w:left="159"/>
              <w:spacing w:after="0"/>
              <w:rPr>
                <w:sz w:val="20"/>
                <w:szCs w:val="20"/>
                <w:color w:val="auto"/>
              </w:rPr>
            </w:pPr>
            <w:r>
              <w:rPr>
                <w:rFonts w:ascii="Calibri" w:cs="Calibri" w:eastAsia="Calibri" w:hAnsi="Calibri"/>
                <w:sz w:val="13"/>
                <w:szCs w:val="13"/>
                <w:b w:val="1"/>
                <w:bCs w:val="1"/>
                <w:color w:val="auto"/>
                <w:w w:val="95"/>
              </w:rPr>
              <w:t>(#)</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line="160" w:lineRule="exact"/>
              <w:rPr>
                <w:sz w:val="20"/>
                <w:szCs w:val="20"/>
                <w:color w:val="auto"/>
              </w:rPr>
            </w:pPr>
            <w:r>
              <w:rPr>
                <w:rFonts w:ascii="Calibri" w:cs="Calibri" w:eastAsia="Calibri" w:hAnsi="Calibri"/>
                <w:sz w:val="13"/>
                <w:szCs w:val="13"/>
                <w:b w:val="1"/>
                <w:bCs w:val="1"/>
                <w:color w:val="auto"/>
                <w:w w:val="90"/>
              </w:rPr>
              <w:t>Awards</w:t>
            </w:r>
            <w:r>
              <w:rPr>
                <w:rFonts w:ascii="Calibri" w:cs="Calibri" w:eastAsia="Calibri" w:hAnsi="Calibri"/>
                <w:sz w:val="16"/>
                <w:szCs w:val="16"/>
                <w:b w:val="1"/>
                <w:bCs w:val="1"/>
                <w:color w:val="auto"/>
                <w:w w:val="90"/>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840" w:type="dxa"/>
            <w:vAlign w:val="bottom"/>
            <w:gridSpan w:val="3"/>
            <w:vMerge w:val="restart"/>
            <w:shd w:val="clear" w:color="auto" w:fill="CFF0FC"/>
          </w:tcPr>
          <w:p>
            <w:pPr>
              <w:ind w:left="20"/>
              <w:spacing w:after="0" w:line="151" w:lineRule="exact"/>
              <w:rPr>
                <w:sz w:val="20"/>
                <w:szCs w:val="20"/>
                <w:color w:val="auto"/>
              </w:rPr>
            </w:pPr>
            <w:r>
              <w:rPr>
                <w:rFonts w:ascii="Calibri" w:cs="Calibri" w:eastAsia="Calibri" w:hAnsi="Calibri"/>
                <w:sz w:val="14"/>
                <w:szCs w:val="14"/>
                <w:color w:val="auto"/>
              </w:rPr>
              <w:t>Michael R. Haack</w:t>
            </w:r>
          </w:p>
        </w:tc>
        <w:tc>
          <w:tcPr>
            <w:tcW w:w="920" w:type="dxa"/>
            <w:vAlign w:val="bottom"/>
            <w:gridSpan w:val="2"/>
            <w:vMerge w:val="restart"/>
            <w:shd w:val="clear" w:color="auto" w:fill="CFF0FC"/>
          </w:tcPr>
          <w:p>
            <w:pPr>
              <w:jc w:val="center"/>
              <w:ind w:left="48"/>
              <w:spacing w:after="0" w:line="151" w:lineRule="exact"/>
              <w:rPr>
                <w:sz w:val="20"/>
                <w:szCs w:val="20"/>
                <w:color w:val="auto"/>
              </w:rPr>
            </w:pPr>
            <w:r>
              <w:rPr>
                <w:rFonts w:ascii="Calibri" w:cs="Calibri" w:eastAsia="Calibri" w:hAnsi="Calibri"/>
                <w:sz w:val="14"/>
                <w:szCs w:val="14"/>
                <w:color w:val="auto"/>
              </w:rPr>
              <w:t>5/17/23</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ind w:left="500"/>
              <w:spacing w:after="0" w:line="151" w:lineRule="exact"/>
              <w:rPr>
                <w:sz w:val="20"/>
                <w:szCs w:val="20"/>
                <w:color w:val="auto"/>
              </w:rPr>
            </w:pPr>
            <w:r>
              <w:rPr>
                <w:rFonts w:ascii="Calibri" w:cs="Calibri" w:eastAsia="Calibri" w:hAnsi="Calibri"/>
                <w:sz w:val="14"/>
                <w:szCs w:val="14"/>
                <w:color w:val="auto"/>
                <w:w w:val="94"/>
              </w:rPr>
              <w:t>—</w:t>
            </w:r>
          </w:p>
        </w:tc>
        <w:tc>
          <w:tcPr>
            <w:tcW w:w="1100" w:type="dxa"/>
            <w:vAlign w:val="bottom"/>
            <w:gridSpan w:val="2"/>
            <w:vMerge w:val="restart"/>
            <w:shd w:val="clear" w:color="auto" w:fill="CFF0FC"/>
          </w:tcPr>
          <w:p>
            <w:pPr>
              <w:jc w:val="right"/>
              <w:spacing w:after="0" w:line="151" w:lineRule="exact"/>
              <w:rPr>
                <w:sz w:val="20"/>
                <w:szCs w:val="20"/>
                <w:color w:val="auto"/>
              </w:rPr>
            </w:pPr>
            <w:r>
              <w:rPr>
                <w:rFonts w:ascii="Calibri" w:cs="Calibri" w:eastAsia="Calibri" w:hAnsi="Calibri"/>
                <w:sz w:val="14"/>
                <w:szCs w:val="14"/>
                <w:color w:val="auto"/>
              </w:rPr>
              <w:t>2,218,253</w:t>
            </w:r>
          </w:p>
        </w:tc>
        <w:tc>
          <w:tcPr>
            <w:tcW w:w="260" w:type="dxa"/>
            <w:vAlign w:val="bottom"/>
            <w:shd w:val="clear" w:color="auto" w:fill="CFF0FC"/>
          </w:tcPr>
          <w:p>
            <w:pPr>
              <w:jc w:val="right"/>
              <w:spacing w:after="0" w:line="95" w:lineRule="exact"/>
              <w:rPr>
                <w:sz w:val="20"/>
                <w:szCs w:val="20"/>
                <w:color w:val="auto"/>
              </w:rPr>
            </w:pPr>
            <w:r>
              <w:rPr>
                <w:rFonts w:ascii="Calibri" w:cs="Calibri" w:eastAsia="Calibri" w:hAnsi="Calibri"/>
                <w:sz w:val="10"/>
                <w:szCs w:val="10"/>
                <w:color w:val="auto"/>
              </w:rPr>
              <w:t>(2)</w:t>
            </w:r>
          </w:p>
        </w:tc>
        <w:tc>
          <w:tcPr>
            <w:tcW w:w="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ind w:left="460"/>
              <w:spacing w:after="0" w:line="151" w:lineRule="exact"/>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jc w:val="right"/>
              <w:spacing w:after="0" w:line="151" w:lineRule="exact"/>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line="151" w:lineRule="exact"/>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ind w:left="460"/>
              <w:spacing w:after="0" w:line="151" w:lineRule="exact"/>
              <w:rPr>
                <w:sz w:val="20"/>
                <w:szCs w:val="20"/>
                <w:color w:val="auto"/>
              </w:rPr>
            </w:pPr>
            <w:r>
              <w:rPr>
                <w:rFonts w:ascii="Calibri" w:cs="Calibri" w:eastAsia="Calibri" w:hAnsi="Calibri"/>
                <w:sz w:val="14"/>
                <w:szCs w:val="14"/>
                <w:color w:val="auto"/>
              </w:rPr>
              <w:t>—</w:t>
            </w:r>
          </w:p>
        </w:tc>
        <w:tc>
          <w:tcPr>
            <w:tcW w:w="940" w:type="dxa"/>
            <w:vAlign w:val="bottom"/>
            <w:gridSpan w:val="2"/>
            <w:vMerge w:val="restart"/>
            <w:shd w:val="clear" w:color="auto" w:fill="CFF0FC"/>
          </w:tcPr>
          <w:p>
            <w:pPr>
              <w:jc w:val="right"/>
              <w:ind w:right="240"/>
              <w:spacing w:after="0" w:line="151" w:lineRule="exact"/>
              <w:rPr>
                <w:sz w:val="20"/>
                <w:szCs w:val="20"/>
                <w:color w:val="auto"/>
              </w:rPr>
            </w:pPr>
            <w:r>
              <w:rPr>
                <w:rFonts w:ascii="Calibri" w:cs="Calibri" w:eastAsia="Calibri" w:hAnsi="Calibri"/>
                <w:sz w:val="14"/>
                <w:szCs w:val="14"/>
                <w:color w:val="auto"/>
              </w:rPr>
              <w:t>—</w:t>
            </w:r>
          </w:p>
        </w:tc>
        <w:tc>
          <w:tcPr>
            <w:tcW w:w="840" w:type="dxa"/>
            <w:vAlign w:val="bottom"/>
            <w:vMerge w:val="restart"/>
            <w:shd w:val="clear" w:color="auto" w:fill="CFF0FC"/>
          </w:tcPr>
          <w:p>
            <w:pPr>
              <w:ind w:left="700"/>
              <w:spacing w:after="0" w:line="151" w:lineRule="exact"/>
              <w:rPr>
                <w:sz w:val="20"/>
                <w:szCs w:val="20"/>
                <w:color w:val="auto"/>
              </w:rPr>
            </w:pPr>
            <w:r>
              <w:rPr>
                <w:rFonts w:ascii="Calibri" w:cs="Calibri" w:eastAsia="Calibri" w:hAnsi="Calibri"/>
                <w:sz w:val="14"/>
                <w:szCs w:val="14"/>
                <w:color w:val="auto"/>
                <w:w w:val="94"/>
              </w:rPr>
              <w:t>—</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20"/>
              <w:spacing w:after="0" w:line="151"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56"/>
        </w:trPr>
        <w:tc>
          <w:tcPr>
            <w:tcW w:w="1840" w:type="dxa"/>
            <w:vAlign w:val="bottom"/>
            <w:gridSpan w:val="3"/>
            <w:vMerge w:val="continue"/>
            <w:shd w:val="clear" w:color="auto" w:fill="CFF0FC"/>
          </w:tcPr>
          <w:p>
            <w:pPr>
              <w:spacing w:after="0"/>
              <w:rPr>
                <w:sz w:val="4"/>
                <w:szCs w:val="4"/>
                <w:color w:val="auto"/>
              </w:rPr>
            </w:pPr>
          </w:p>
        </w:tc>
        <w:tc>
          <w:tcPr>
            <w:tcW w:w="920" w:type="dxa"/>
            <w:vAlign w:val="bottom"/>
            <w:gridSpan w:val="2"/>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vMerge w:val="continue"/>
            <w:shd w:val="clear" w:color="auto" w:fill="CFF0FC"/>
          </w:tcPr>
          <w:p>
            <w:pPr>
              <w:spacing w:after="0"/>
              <w:rPr>
                <w:sz w:val="4"/>
                <w:szCs w:val="4"/>
                <w:color w:val="auto"/>
              </w:rPr>
            </w:pPr>
          </w:p>
        </w:tc>
        <w:tc>
          <w:tcPr>
            <w:tcW w:w="1100" w:type="dxa"/>
            <w:vAlign w:val="bottom"/>
            <w:gridSpan w:val="2"/>
            <w:vMerge w:val="continue"/>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6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6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66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840" w:type="dxa"/>
            <w:vAlign w:val="bottom"/>
            <w:gridSpan w:val="2"/>
            <w:vMerge w:val="continue"/>
            <w:shd w:val="clear" w:color="auto" w:fill="CFF0FC"/>
          </w:tcPr>
          <w:p>
            <w:pPr>
              <w:spacing w:after="0"/>
              <w:rPr>
                <w:sz w:val="4"/>
                <w:szCs w:val="4"/>
                <w:color w:val="auto"/>
              </w:rPr>
            </w:pPr>
          </w:p>
        </w:tc>
        <w:tc>
          <w:tcPr>
            <w:tcW w:w="940" w:type="dxa"/>
            <w:vAlign w:val="bottom"/>
            <w:gridSpan w:val="2"/>
            <w:vMerge w:val="continue"/>
            <w:shd w:val="clear" w:color="auto" w:fill="CFF0FC"/>
          </w:tcPr>
          <w:p>
            <w:pPr>
              <w:spacing w:after="0"/>
              <w:rPr>
                <w:sz w:val="4"/>
                <w:szCs w:val="4"/>
                <w:color w:val="auto"/>
              </w:rPr>
            </w:pPr>
          </w:p>
        </w:tc>
        <w:tc>
          <w:tcPr>
            <w:tcW w:w="840" w:type="dxa"/>
            <w:vAlign w:val="bottom"/>
            <w:vMerge w:val="continue"/>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20" w:type="dxa"/>
            <w:vAlign w:val="bottom"/>
            <w:gridSpan w:val="2"/>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Calibri" w:cs="Calibri" w:eastAsia="Calibri" w:hAnsi="Calibri"/>
                <w:sz w:val="10"/>
                <w:szCs w:val="10"/>
                <w:color w:val="auto"/>
              </w:rPr>
              <w:t>(3</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2,400,00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5/23/23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ind w:left="50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ind w:left="46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460"/>
              <w:spacing w:after="0"/>
              <w:rPr>
                <w:sz w:val="20"/>
                <w:szCs w:val="20"/>
                <w:color w:val="auto"/>
              </w:rPr>
            </w:pPr>
            <w:r>
              <w:rPr>
                <w:rFonts w:ascii="Calibri" w:cs="Calibri" w:eastAsia="Calibri" w:hAnsi="Calibri"/>
                <w:sz w:val="14"/>
                <w:szCs w:val="14"/>
                <w:color w:val="auto"/>
              </w:rPr>
              <w:t>—</w:t>
            </w:r>
          </w:p>
        </w:tc>
        <w:tc>
          <w:tcPr>
            <w:tcW w:w="940" w:type="dxa"/>
            <w:vAlign w:val="bottom"/>
            <w:gridSpan w:val="2"/>
            <w:shd w:val="clear" w:color="auto" w:fill="CFF0FC"/>
          </w:tcPr>
          <w:p>
            <w:pPr>
              <w:jc w:val="right"/>
              <w:ind w:right="60"/>
              <w:spacing w:after="0" w:line="212" w:lineRule="exact"/>
              <w:rPr>
                <w:sz w:val="20"/>
                <w:szCs w:val="20"/>
                <w:color w:val="auto"/>
              </w:rPr>
            </w:pPr>
            <w:r>
              <w:rPr>
                <w:rFonts w:ascii="Calibri" w:cs="Calibri" w:eastAsia="Calibri" w:hAnsi="Calibri"/>
                <w:sz w:val="14"/>
                <w:szCs w:val="14"/>
                <w:color w:val="auto"/>
              </w:rPr>
              <w:t xml:space="preserve">14,393  </w:t>
            </w:r>
            <w:r>
              <w:rPr>
                <w:rFonts w:ascii="Calibri" w:cs="Calibri" w:eastAsia="Calibri" w:hAnsi="Calibri"/>
                <w:sz w:val="19"/>
                <w:szCs w:val="19"/>
                <w:color w:val="auto"/>
                <w:vertAlign w:val="superscript"/>
              </w:rPr>
              <w:t>)</w:t>
            </w:r>
          </w:p>
        </w:tc>
        <w:tc>
          <w:tcPr>
            <w:tcW w:w="840" w:type="dxa"/>
            <w:vAlign w:val="bottom"/>
            <w:shd w:val="clear" w:color="auto" w:fill="CFF0FC"/>
          </w:tcPr>
          <w:p>
            <w:pPr>
              <w:ind w:left="700"/>
              <w:spacing w:after="0"/>
              <w:rPr>
                <w:sz w:val="20"/>
                <w:szCs w:val="20"/>
                <w:color w:val="auto"/>
              </w:rPr>
            </w:pPr>
            <w:r>
              <w:rPr>
                <w:rFonts w:ascii="Calibri" w:cs="Calibri" w:eastAsia="Calibri" w:hAnsi="Calibri"/>
                <w:sz w:val="14"/>
                <w:szCs w:val="14"/>
                <w:color w:val="auto"/>
                <w:w w:val="94"/>
              </w:rPr>
              <w:t>—</w:t>
            </w:r>
          </w:p>
        </w:tc>
        <w:tc>
          <w:tcPr>
            <w:tcW w:w="30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40"/>
              <w:spacing w:after="0"/>
              <w:rPr>
                <w:sz w:val="20"/>
                <w:szCs w:val="20"/>
                <w:color w:val="auto"/>
              </w:rPr>
            </w:pPr>
            <w:r>
              <w:rPr>
                <w:rFonts w:ascii="Calibri" w:cs="Calibri" w:eastAsia="Calibri" w:hAnsi="Calibri"/>
                <w:sz w:val="10"/>
                <w:szCs w:val="10"/>
                <w:color w:val="auto"/>
              </w:rPr>
              <w:t>(4</w:t>
            </w: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Calibri" w:cs="Calibri" w:eastAsia="Calibri" w:hAnsi="Calibri"/>
                <w:sz w:val="14"/>
                <w:szCs w:val="14"/>
                <w:color w:val="auto"/>
              </w:rPr>
              <w:t>2,400,00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center"/>
              <w:spacing w:after="0"/>
              <w:rPr>
                <w:sz w:val="20"/>
                <w:szCs w:val="20"/>
                <w:color w:val="auto"/>
              </w:rPr>
            </w:pPr>
            <w:r>
              <w:rPr>
                <w:rFonts w:ascii="Calibri" w:cs="Calibri" w:eastAsia="Calibri" w:hAnsi="Calibri"/>
                <w:sz w:val="14"/>
                <w:szCs w:val="14"/>
                <w:color w:val="auto"/>
              </w:rPr>
              <w:t>5/23/23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ind w:left="500"/>
              <w:spacing w:after="0"/>
              <w:rPr>
                <w:sz w:val="20"/>
                <w:szCs w:val="20"/>
                <w:color w:val="auto"/>
              </w:rPr>
            </w:pPr>
            <w:r>
              <w:rPr>
                <w:rFonts w:ascii="Calibri" w:cs="Calibri" w:eastAsia="Calibri" w:hAnsi="Calibri"/>
                <w:sz w:val="14"/>
                <w:szCs w:val="14"/>
                <w:color w:val="auto"/>
                <w:w w:val="94"/>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ind w:left="460"/>
              <w:spacing w:after="0"/>
              <w:rPr>
                <w:sz w:val="20"/>
                <w:szCs w:val="20"/>
                <w:color w:val="auto"/>
              </w:rPr>
            </w:pPr>
            <w:r>
              <w:rPr>
                <w:rFonts w:ascii="Calibri" w:cs="Calibri" w:eastAsia="Calibri" w:hAnsi="Calibri"/>
                <w:sz w:val="14"/>
                <w:szCs w:val="14"/>
                <w:color w:val="auto"/>
                <w:w w:val="94"/>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11,515</w:t>
            </w:r>
          </w:p>
        </w:tc>
        <w:tc>
          <w:tcPr>
            <w:tcW w:w="240" w:type="dxa"/>
            <w:vAlign w:val="bottom"/>
            <w:shd w:val="clear" w:color="auto" w:fill="CFF0FC"/>
          </w:tcPr>
          <w:p>
            <w:pPr>
              <w:jc w:val="right"/>
              <w:spacing w:after="0" w:line="114" w:lineRule="exact"/>
              <w:rPr>
                <w:sz w:val="20"/>
                <w:szCs w:val="20"/>
                <w:color w:val="auto"/>
              </w:rPr>
            </w:pPr>
            <w:r>
              <w:rPr>
                <w:rFonts w:ascii="Calibri" w:cs="Calibri" w:eastAsia="Calibri" w:hAnsi="Calibri"/>
                <w:sz w:val="10"/>
                <w:szCs w:val="10"/>
                <w:color w:val="auto"/>
              </w:rPr>
              <w:t>(4)</w:t>
            </w: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14,393</w:t>
            </w:r>
          </w:p>
        </w:tc>
        <w:tc>
          <w:tcPr>
            <w:tcW w:w="1080" w:type="dxa"/>
            <w:vAlign w:val="bottom"/>
            <w:gridSpan w:val="3"/>
            <w:shd w:val="clear" w:color="auto" w:fill="CFF0FC"/>
          </w:tcPr>
          <w:p>
            <w:pPr>
              <w:jc w:val="center"/>
              <w:spacing w:after="0" w:line="212" w:lineRule="exact"/>
              <w:rPr>
                <w:sz w:val="20"/>
                <w:szCs w:val="20"/>
                <w:color w:val="auto"/>
              </w:rPr>
            </w:pPr>
            <w:r>
              <w:rPr>
                <w:rFonts w:ascii="Calibri" w:cs="Calibri" w:eastAsia="Calibri" w:hAnsi="Calibri"/>
                <w:sz w:val="19"/>
                <w:szCs w:val="19"/>
                <w:color w:val="auto"/>
                <w:vertAlign w:val="superscript"/>
              </w:rPr>
              <w:t>(4)</w:t>
            </w:r>
            <w:r>
              <w:rPr>
                <w:rFonts w:ascii="Calibri" w:cs="Calibri" w:eastAsia="Calibri" w:hAnsi="Calibri"/>
                <w:sz w:val="14"/>
                <w:szCs w:val="14"/>
                <w:color w:val="auto"/>
              </w:rPr>
              <w:t xml:space="preserve">     17,272  </w:t>
            </w:r>
            <w:r>
              <w:rPr>
                <w:rFonts w:ascii="Calibri" w:cs="Calibri" w:eastAsia="Calibri" w:hAnsi="Calibri"/>
                <w:sz w:val="19"/>
                <w:szCs w:val="19"/>
                <w:color w:val="auto"/>
                <w:vertAlign w:val="superscript"/>
              </w:rPr>
              <w:t>)</w:t>
            </w:r>
          </w:p>
        </w:tc>
        <w:tc>
          <w:tcPr>
            <w:tcW w:w="9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CFF0FC"/>
          </w:tcPr>
          <w:p>
            <w:pPr>
              <w:ind w:left="700"/>
              <w:spacing w:after="0"/>
              <w:rPr>
                <w:sz w:val="20"/>
                <w:szCs w:val="20"/>
                <w:color w:val="auto"/>
              </w:rPr>
            </w:pPr>
            <w:r>
              <w:rPr>
                <w:rFonts w:ascii="Calibri" w:cs="Calibri" w:eastAsia="Calibri" w:hAnsi="Calibri"/>
                <w:sz w:val="14"/>
                <w:szCs w:val="14"/>
                <w:color w:val="auto"/>
                <w:w w:val="94"/>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76" w:right="339" w:bottom="1440" w:gutter="0" w:footer="0" w:header="0"/>
        </w:sectPr>
      </w:pPr>
    </w:p>
    <w:tbl>
      <w:tblPr>
        <w:tblLayout w:type="fixed"/>
        <w:tblInd w:w="20" w:type="dxa"/>
        <w:tblCellMar>
          <w:top w:w="0" w:type="dxa"/>
          <w:left w:w="0" w:type="dxa"/>
          <w:bottom w:w="0" w:type="dxa"/>
          <w:right w:w="0" w:type="dxa"/>
        </w:tblCellMar>
      </w:tblPr>
      <w:tr>
        <w:trPr>
          <w:trHeight w:val="114"/>
        </w:trPr>
        <w:tc>
          <w:tcPr>
            <w:tcW w:w="1480" w:type="dxa"/>
            <w:vAlign w:val="bottom"/>
            <w:vMerge w:val="restart"/>
          </w:tcPr>
          <w:p>
            <w:pPr>
              <w:spacing w:after="0"/>
              <w:rPr>
                <w:sz w:val="20"/>
                <w:szCs w:val="20"/>
                <w:color w:val="auto"/>
              </w:rPr>
            </w:pPr>
            <w:r>
              <w:rPr>
                <w:rFonts w:ascii="Calibri" w:cs="Calibri" w:eastAsia="Calibri" w:hAnsi="Calibri"/>
                <w:sz w:val="14"/>
                <w:szCs w:val="14"/>
                <w:color w:val="auto"/>
              </w:rPr>
              <w:t>D. Craig Kesler</w:t>
            </w:r>
          </w:p>
        </w:tc>
        <w:tc>
          <w:tcPr>
            <w:tcW w:w="1480" w:type="dxa"/>
            <w:vAlign w:val="bottom"/>
            <w:vMerge w:val="restart"/>
          </w:tcPr>
          <w:p>
            <w:pPr>
              <w:jc w:val="right"/>
              <w:ind w:right="308"/>
              <w:spacing w:after="0"/>
              <w:rPr>
                <w:sz w:val="20"/>
                <w:szCs w:val="20"/>
                <w:color w:val="auto"/>
              </w:rPr>
            </w:pPr>
            <w:r>
              <w:rPr>
                <w:rFonts w:ascii="Calibri" w:cs="Calibri" w:eastAsia="Calibri" w:hAnsi="Calibri"/>
                <w:sz w:val="14"/>
                <w:szCs w:val="14"/>
                <w:color w:val="auto"/>
              </w:rPr>
              <w:t>5/17/23</w:t>
            </w:r>
          </w:p>
        </w:tc>
        <w:tc>
          <w:tcPr>
            <w:tcW w:w="780" w:type="dxa"/>
            <w:vAlign w:val="bottom"/>
            <w:vMerge w:val="restart"/>
          </w:tcPr>
          <w:p>
            <w:pPr>
              <w:ind w:left="400"/>
              <w:spacing w:after="0"/>
              <w:rPr>
                <w:sz w:val="20"/>
                <w:szCs w:val="20"/>
                <w:color w:val="auto"/>
              </w:rPr>
            </w:pPr>
            <w:r>
              <w:rPr>
                <w:rFonts w:ascii="Calibri" w:cs="Calibri" w:eastAsia="Calibri" w:hAnsi="Calibri"/>
                <w:sz w:val="14"/>
                <w:szCs w:val="14"/>
                <w:color w:val="auto"/>
              </w:rPr>
              <w:t>—</w:t>
            </w:r>
          </w:p>
        </w:tc>
        <w:tc>
          <w:tcPr>
            <w:tcW w:w="920" w:type="dxa"/>
            <w:vAlign w:val="bottom"/>
            <w:vMerge w:val="restart"/>
          </w:tcPr>
          <w:p>
            <w:pPr>
              <w:jc w:val="right"/>
              <w:spacing w:after="0"/>
              <w:rPr>
                <w:sz w:val="20"/>
                <w:szCs w:val="20"/>
                <w:color w:val="auto"/>
              </w:rPr>
            </w:pPr>
            <w:r>
              <w:rPr>
                <w:rFonts w:ascii="Calibri" w:cs="Calibri" w:eastAsia="Calibri" w:hAnsi="Calibri"/>
                <w:sz w:val="14"/>
                <w:szCs w:val="14"/>
                <w:color w:val="auto"/>
              </w:rPr>
              <w:t>1,069,515</w:t>
            </w:r>
          </w:p>
        </w:tc>
        <w:tc>
          <w:tcPr>
            <w:tcW w:w="460" w:type="dxa"/>
            <w:vAlign w:val="bottom"/>
          </w:tcPr>
          <w:p>
            <w:pPr>
              <w:jc w:val="right"/>
              <w:ind w:right="232"/>
              <w:spacing w:after="0" w:line="114" w:lineRule="exact"/>
              <w:rPr>
                <w:sz w:val="20"/>
                <w:szCs w:val="20"/>
                <w:color w:val="auto"/>
              </w:rPr>
            </w:pPr>
            <w:r>
              <w:rPr>
                <w:rFonts w:ascii="Calibri" w:cs="Calibri" w:eastAsia="Calibri" w:hAnsi="Calibri"/>
                <w:sz w:val="10"/>
                <w:szCs w:val="10"/>
                <w:color w:val="auto"/>
              </w:rPr>
              <w:t>(2)</w:t>
            </w:r>
          </w:p>
        </w:tc>
        <w:tc>
          <w:tcPr>
            <w:tcW w:w="680" w:type="dxa"/>
            <w:vAlign w:val="bottom"/>
            <w:vMerge w:val="restart"/>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3"/>
                <w:szCs w:val="23"/>
                <w:color w:val="auto"/>
              </w:rPr>
            </w:pPr>
          </w:p>
        </w:tc>
        <w:tc>
          <w:tcPr>
            <w:tcW w:w="148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780" w:type="dxa"/>
            <w:vAlign w:val="bottom"/>
          </w:tcPr>
          <w:p>
            <w:pPr>
              <w:ind w:left="400"/>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23"/>
                <w:szCs w:val="23"/>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40" w:type="dxa"/>
            <w:vAlign w:val="bottom"/>
            <w:vMerge w:val="restart"/>
          </w:tcPr>
          <w:p>
            <w:pPr>
              <w:ind w:left="60"/>
              <w:spacing w:after="0"/>
              <w:rPr>
                <w:sz w:val="20"/>
                <w:szCs w:val="20"/>
                <w:color w:val="auto"/>
              </w:rPr>
            </w:pPr>
            <w:r>
              <w:rPr>
                <w:rFonts w:ascii="Calibri" w:cs="Calibri" w:eastAsia="Calibri" w:hAnsi="Calibri"/>
                <w:sz w:val="10"/>
                <w:szCs w:val="10"/>
                <w:color w:val="auto"/>
                <w:w w:val="73"/>
              </w:rPr>
              <w:t>(4</w:t>
            </w: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780" w:type="dxa"/>
            <w:vAlign w:val="bottom"/>
          </w:tcPr>
          <w:p>
            <w:pPr>
              <w:ind w:left="400"/>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3,120</w:t>
            </w:r>
          </w:p>
        </w:tc>
        <w:tc>
          <w:tcPr>
            <w:tcW w:w="340" w:type="dxa"/>
            <w:vAlign w:val="bottom"/>
          </w:tcPr>
          <w:p>
            <w:pPr>
              <w:jc w:val="right"/>
              <w:ind w:right="13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3,899</w:t>
            </w:r>
          </w:p>
        </w:tc>
        <w:tc>
          <w:tcPr>
            <w:tcW w:w="320" w:type="dxa"/>
            <w:vAlign w:val="bottom"/>
          </w:tcPr>
          <w:p>
            <w:pPr>
              <w:jc w:val="right"/>
              <w:ind w:right="9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4,679</w:t>
            </w:r>
          </w:p>
        </w:tc>
        <w:tc>
          <w:tcPr>
            <w:tcW w:w="140" w:type="dxa"/>
            <w:vAlign w:val="bottom"/>
          </w:tcPr>
          <w:p>
            <w:pPr>
              <w:ind w:left="6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500" w:type="dxa"/>
            <w:vAlign w:val="bottom"/>
            <w:vMerge w:val="restart"/>
          </w:tcPr>
          <w:p>
            <w:pPr>
              <w:ind w:left="60"/>
              <w:spacing w:after="0"/>
              <w:rPr>
                <w:sz w:val="20"/>
                <w:szCs w:val="20"/>
                <w:color w:val="auto"/>
              </w:rPr>
            </w:pPr>
            <w:r>
              <w:rPr>
                <w:rFonts w:ascii="Calibri" w:cs="Calibri" w:eastAsia="Calibri" w:hAnsi="Calibri"/>
                <w:sz w:val="10"/>
                <w:szCs w:val="10"/>
                <w:color w:val="auto"/>
              </w:rPr>
              <w:t>(3</w:t>
            </w: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0" w:type="dxa"/>
            <w:vAlign w:val="bottom"/>
          </w:tcPr>
          <w:p>
            <w:pPr>
              <w:jc w:val="right"/>
              <w:ind w:right="8"/>
              <w:spacing w:after="0"/>
              <w:rPr>
                <w:sz w:val="20"/>
                <w:szCs w:val="20"/>
                <w:color w:val="auto"/>
              </w:rPr>
            </w:pPr>
            <w:r>
              <w:rPr>
                <w:rFonts w:ascii="Calibri" w:cs="Calibri" w:eastAsia="Calibri" w:hAnsi="Calibri"/>
                <w:sz w:val="14"/>
                <w:szCs w:val="14"/>
                <w:color w:val="auto"/>
                <w:w w:val="93"/>
              </w:rPr>
              <w:t>3,899</w:t>
            </w:r>
          </w:p>
        </w:tc>
        <w:tc>
          <w:tcPr>
            <w:tcW w:w="500" w:type="dxa"/>
            <w:vAlign w:val="bottom"/>
          </w:tcPr>
          <w:p>
            <w:pPr>
              <w:ind w:left="60"/>
              <w:spacing w:after="0"/>
              <w:rPr>
                <w:sz w:val="20"/>
                <w:szCs w:val="20"/>
                <w:color w:val="auto"/>
              </w:rPr>
            </w:pPr>
            <w:r>
              <w:rPr>
                <w:rFonts w:ascii="Calibri" w:cs="Calibri" w:eastAsia="Calibri" w:hAnsi="Calibri"/>
                <w:sz w:val="10"/>
                <w:szCs w:val="10"/>
                <w:color w:val="auto"/>
              </w:rPr>
              <w:t>)</w:t>
            </w: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650,000</w:t>
            </w:r>
          </w:p>
        </w:tc>
        <w:tc>
          <w:tcPr>
            <w:tcW w:w="0" w:type="dxa"/>
            <w:vAlign w:val="bottom"/>
          </w:tcPr>
          <w:p>
            <w:pPr>
              <w:spacing w:after="0"/>
              <w:rPr>
                <w:sz w:val="1"/>
                <w:szCs w:val="1"/>
                <w:color w:val="auto"/>
              </w:rPr>
            </w:pPr>
          </w:p>
        </w:tc>
      </w:tr>
      <w:tr>
        <w:trPr>
          <w:trHeight w:val="270"/>
        </w:trPr>
        <w:tc>
          <w:tcPr>
            <w:tcW w:w="4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500" w:type="dxa"/>
            <w:vAlign w:val="bottom"/>
          </w:tcPr>
          <w:p>
            <w:pPr>
              <w:spacing w:after="0"/>
              <w:rPr>
                <w:sz w:val="23"/>
                <w:szCs w:val="23"/>
                <w:color w:val="auto"/>
              </w:rPr>
            </w:pP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650,000</w:t>
            </w:r>
          </w:p>
        </w:tc>
        <w:tc>
          <w:tcPr>
            <w:tcW w:w="0" w:type="dxa"/>
            <w:vAlign w:val="bottom"/>
          </w:tcPr>
          <w:p>
            <w:pPr>
              <w:spacing w:after="0"/>
              <w:rPr>
                <w:sz w:val="1"/>
                <w:szCs w:val="1"/>
                <w:color w:val="auto"/>
              </w:rPr>
            </w:pPr>
          </w:p>
        </w:tc>
      </w:tr>
    </w:tbl>
    <w:p>
      <w:pPr>
        <w:spacing w:after="0" w:line="33" w:lineRule="exact"/>
        <w:rPr>
          <w:sz w:val="20"/>
          <w:szCs w:val="20"/>
          <w:color w:val="auto"/>
        </w:rPr>
      </w:pPr>
    </w:p>
    <w:p>
      <w:pPr>
        <w:sectPr>
          <w:pgSz w:w="11900" w:h="16838" w:orient="portrait"/>
          <w:cols w:equalWidth="0" w:num="2">
            <w:col w:w="8400" w:space="420"/>
            <w:col w:w="2420"/>
          </w:cols>
          <w:pgMar w:left="320" w:top="976" w:right="33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1840" w:type="dxa"/>
            <w:vAlign w:val="bottom"/>
            <w:vMerge w:val="restart"/>
            <w:shd w:val="clear" w:color="auto" w:fill="CFF0FC"/>
          </w:tcPr>
          <w:p>
            <w:pPr>
              <w:ind w:left="20"/>
              <w:spacing w:after="0"/>
              <w:rPr>
                <w:sz w:val="20"/>
                <w:szCs w:val="20"/>
                <w:color w:val="auto"/>
              </w:rPr>
            </w:pPr>
            <w:r>
              <w:rPr>
                <w:rFonts w:ascii="Calibri" w:cs="Calibri" w:eastAsia="Calibri" w:hAnsi="Calibri"/>
                <w:sz w:val="14"/>
                <w:szCs w:val="14"/>
                <w:color w:val="auto"/>
              </w:rPr>
              <w:t>Mat Newby</w:t>
            </w:r>
          </w:p>
        </w:tc>
        <w:tc>
          <w:tcPr>
            <w:tcW w:w="1140" w:type="dxa"/>
            <w:vAlign w:val="bottom"/>
            <w:gridSpan w:val="2"/>
            <w:vMerge w:val="restart"/>
          </w:tcPr>
          <w:p>
            <w:pPr>
              <w:jc w:val="right"/>
              <w:ind w:right="308"/>
              <w:spacing w:after="0"/>
              <w:rPr>
                <w:sz w:val="20"/>
                <w:szCs w:val="20"/>
                <w:color w:val="auto"/>
              </w:rPr>
            </w:pPr>
            <w:r>
              <w:rPr>
                <w:rFonts w:ascii="Calibri" w:cs="Calibri" w:eastAsia="Calibri" w:hAnsi="Calibri"/>
                <w:sz w:val="14"/>
                <w:szCs w:val="14"/>
                <w:color w:val="auto"/>
              </w:rPr>
              <w:t>5/17/23</w:t>
            </w:r>
          </w:p>
        </w:tc>
        <w:tc>
          <w:tcPr>
            <w:tcW w:w="840" w:type="dxa"/>
            <w:vAlign w:val="bottom"/>
            <w:vMerge w:val="restart"/>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spacing w:after="0"/>
              <w:rPr>
                <w:sz w:val="20"/>
                <w:szCs w:val="20"/>
                <w:color w:val="auto"/>
              </w:rPr>
            </w:pPr>
            <w:r>
              <w:rPr>
                <w:rFonts w:ascii="Calibri" w:cs="Calibri" w:eastAsia="Calibri" w:hAnsi="Calibri"/>
                <w:sz w:val="14"/>
                <w:szCs w:val="14"/>
                <w:color w:val="auto"/>
              </w:rPr>
              <w:t>594,175</w:t>
            </w:r>
          </w:p>
        </w:tc>
        <w:tc>
          <w:tcPr>
            <w:tcW w:w="460" w:type="dxa"/>
            <w:vAlign w:val="bottom"/>
          </w:tcPr>
          <w:p>
            <w:pPr>
              <w:jc w:val="right"/>
              <w:ind w:right="232"/>
              <w:spacing w:after="0"/>
              <w:rPr>
                <w:sz w:val="20"/>
                <w:szCs w:val="20"/>
                <w:color w:val="auto"/>
              </w:rPr>
            </w:pPr>
            <w:r>
              <w:rPr>
                <w:rFonts w:ascii="Calibri" w:cs="Calibri" w:eastAsia="Calibri" w:hAnsi="Calibri"/>
                <w:sz w:val="10"/>
                <w:szCs w:val="10"/>
                <w:color w:val="auto"/>
              </w:rPr>
              <w:t>(2)</w:t>
            </w:r>
          </w:p>
        </w:tc>
        <w:tc>
          <w:tcPr>
            <w:tcW w:w="680" w:type="dxa"/>
            <w:vAlign w:val="bottom"/>
            <w:vMerge w:val="restart"/>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500" w:type="dxa"/>
            <w:vAlign w:val="bottom"/>
          </w:tcPr>
          <w:p>
            <w:pPr>
              <w:spacing w:after="0"/>
              <w:rPr>
                <w:sz w:val="11"/>
                <w:szCs w:val="11"/>
                <w:color w:val="auto"/>
              </w:rPr>
            </w:pPr>
          </w:p>
        </w:tc>
        <w:tc>
          <w:tcPr>
            <w:tcW w:w="700" w:type="dxa"/>
            <w:vAlign w:val="bottom"/>
            <w:vMerge w:val="restart"/>
          </w:tcPr>
          <w:p>
            <w:pPr>
              <w:ind w:left="360"/>
              <w:spacing w:after="0"/>
              <w:rPr>
                <w:sz w:val="20"/>
                <w:szCs w:val="20"/>
                <w:color w:val="auto"/>
              </w:rPr>
            </w:pPr>
            <w:r>
              <w:rPr>
                <w:rFonts w:ascii="Calibri" w:cs="Calibri" w:eastAsia="Calibri" w:hAnsi="Calibri"/>
                <w:sz w:val="14"/>
                <w:szCs w:val="14"/>
                <w:color w:val="auto"/>
              </w:rPr>
              <w:t>—</w:t>
            </w:r>
          </w:p>
        </w:tc>
        <w:tc>
          <w:tcPr>
            <w:tcW w:w="820" w:type="dxa"/>
            <w:vAlign w:val="bottom"/>
            <w:vMerge w:val="restart"/>
          </w:tcPr>
          <w:p>
            <w:pPr>
              <w:jc w:val="right"/>
              <w:ind w:right="48"/>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99"/>
        </w:trPr>
        <w:tc>
          <w:tcPr>
            <w:tcW w:w="1840" w:type="dxa"/>
            <w:vAlign w:val="bottom"/>
            <w:vMerge w:val="continue"/>
            <w:shd w:val="clear" w:color="auto" w:fill="CFF0FC"/>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tcPr>
          <w:p>
            <w:pPr>
              <w:ind w:left="60"/>
              <w:spacing w:after="0" w:line="100" w:lineRule="exact"/>
              <w:rPr>
                <w:sz w:val="20"/>
                <w:szCs w:val="20"/>
                <w:color w:val="auto"/>
              </w:rPr>
            </w:pPr>
            <w:r>
              <w:rPr>
                <w:rFonts w:ascii="Calibri" w:cs="Calibri" w:eastAsia="Calibri" w:hAnsi="Calibri"/>
                <w:sz w:val="10"/>
                <w:szCs w:val="10"/>
                <w:color w:val="auto"/>
              </w:rPr>
              <w:t>(3</w:t>
            </w: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8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2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60" w:type="dxa"/>
            <w:vAlign w:val="bottom"/>
            <w:vMerge w:val="restart"/>
          </w:tcPr>
          <w:p>
            <w:pPr>
              <w:ind w:left="60"/>
              <w:spacing w:after="0"/>
              <w:rPr>
                <w:sz w:val="20"/>
                <w:szCs w:val="20"/>
                <w:color w:val="auto"/>
              </w:rPr>
            </w:pPr>
            <w:r>
              <w:rPr>
                <w:rFonts w:ascii="Calibri" w:cs="Calibri" w:eastAsia="Calibri" w:hAnsi="Calibri"/>
                <w:sz w:val="10"/>
                <w:szCs w:val="10"/>
                <w:color w:val="auto"/>
              </w:rPr>
              <w:t>(4</w:t>
            </w:r>
          </w:p>
        </w:tc>
        <w:tc>
          <w:tcPr>
            <w:tcW w:w="600" w:type="dxa"/>
            <w:vAlign w:val="bottom"/>
          </w:tcPr>
          <w:p>
            <w:pPr>
              <w:jc w:val="right"/>
              <w:ind w:right="8"/>
              <w:spacing w:after="0"/>
              <w:rPr>
                <w:sz w:val="20"/>
                <w:szCs w:val="20"/>
                <w:color w:val="auto"/>
              </w:rPr>
            </w:pPr>
            <w:r>
              <w:rPr>
                <w:rFonts w:ascii="Calibri" w:cs="Calibri" w:eastAsia="Calibri" w:hAnsi="Calibri"/>
                <w:sz w:val="14"/>
                <w:szCs w:val="14"/>
                <w:color w:val="auto"/>
              </w:rPr>
              <w:t>2,249</w:t>
            </w:r>
          </w:p>
        </w:tc>
        <w:tc>
          <w:tcPr>
            <w:tcW w:w="500" w:type="dxa"/>
            <w:vAlign w:val="bottom"/>
          </w:tcPr>
          <w:p>
            <w:pPr>
              <w:ind w:left="60"/>
              <w:spacing w:after="0"/>
              <w:rPr>
                <w:sz w:val="20"/>
                <w:szCs w:val="20"/>
                <w:color w:val="auto"/>
              </w:rPr>
            </w:pPr>
            <w:r>
              <w:rPr>
                <w:rFonts w:ascii="Calibri" w:cs="Calibri" w:eastAsia="Calibri" w:hAnsi="Calibri"/>
                <w:sz w:val="10"/>
                <w:szCs w:val="10"/>
                <w:color w:val="auto"/>
              </w:rPr>
              <w:t>)</w:t>
            </w: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48"/>
              <w:spacing w:after="0"/>
              <w:rPr>
                <w:sz w:val="20"/>
                <w:szCs w:val="20"/>
                <w:color w:val="auto"/>
              </w:rPr>
            </w:pPr>
            <w:r>
              <w:rPr>
                <w:rFonts w:ascii="Calibri" w:cs="Calibri" w:eastAsia="Calibri" w:hAnsi="Calibri"/>
                <w:sz w:val="14"/>
                <w:szCs w:val="14"/>
                <w:color w:val="auto"/>
              </w:rPr>
              <w:t>375,000</w:t>
            </w:r>
          </w:p>
        </w:tc>
        <w:tc>
          <w:tcPr>
            <w:tcW w:w="0" w:type="dxa"/>
            <w:vAlign w:val="bottom"/>
          </w:tcPr>
          <w:p>
            <w:pPr>
              <w:spacing w:after="0"/>
              <w:rPr>
                <w:sz w:val="1"/>
                <w:szCs w:val="1"/>
                <w:color w:val="auto"/>
              </w:rPr>
            </w:pPr>
          </w:p>
        </w:tc>
      </w:tr>
      <w:tr>
        <w:trPr>
          <w:trHeight w:val="85"/>
        </w:trPr>
        <w:tc>
          <w:tcPr>
            <w:tcW w:w="18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1,800</w:t>
            </w:r>
          </w:p>
        </w:tc>
        <w:tc>
          <w:tcPr>
            <w:tcW w:w="340" w:type="dxa"/>
            <w:vAlign w:val="bottom"/>
          </w:tcPr>
          <w:p>
            <w:pPr>
              <w:jc w:val="right"/>
              <w:ind w:right="13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2,249</w:t>
            </w:r>
          </w:p>
        </w:tc>
        <w:tc>
          <w:tcPr>
            <w:tcW w:w="320" w:type="dxa"/>
            <w:vAlign w:val="bottom"/>
          </w:tcPr>
          <w:p>
            <w:pPr>
              <w:jc w:val="right"/>
              <w:ind w:right="9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2,700</w:t>
            </w:r>
          </w:p>
        </w:tc>
        <w:tc>
          <w:tcPr>
            <w:tcW w:w="360" w:type="dxa"/>
            <w:vAlign w:val="bottom"/>
          </w:tcPr>
          <w:p>
            <w:pPr>
              <w:ind w:left="60"/>
              <w:spacing w:after="0"/>
              <w:rPr>
                <w:sz w:val="20"/>
                <w:szCs w:val="20"/>
                <w:color w:val="auto"/>
              </w:rPr>
            </w:pPr>
            <w:r>
              <w:rPr>
                <w:rFonts w:ascii="Calibri" w:cs="Calibri" w:eastAsia="Calibri" w:hAnsi="Calibri"/>
                <w:sz w:val="10"/>
                <w:szCs w:val="10"/>
                <w:color w:val="auto"/>
              </w:rPr>
              <w:t>)</w:t>
            </w:r>
          </w:p>
        </w:tc>
        <w:tc>
          <w:tcPr>
            <w:tcW w:w="6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500" w:type="dxa"/>
            <w:vAlign w:val="bottom"/>
          </w:tcPr>
          <w:p>
            <w:pPr>
              <w:spacing w:after="0"/>
              <w:rPr>
                <w:sz w:val="16"/>
                <w:szCs w:val="16"/>
                <w:color w:val="auto"/>
              </w:rPr>
            </w:pP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48"/>
              <w:spacing w:after="0"/>
              <w:rPr>
                <w:sz w:val="20"/>
                <w:szCs w:val="20"/>
                <w:color w:val="auto"/>
              </w:rPr>
            </w:pPr>
            <w:r>
              <w:rPr>
                <w:rFonts w:ascii="Calibri" w:cs="Calibri" w:eastAsia="Calibri" w:hAnsi="Calibri"/>
                <w:sz w:val="14"/>
                <w:szCs w:val="14"/>
                <w:color w:val="auto"/>
              </w:rPr>
              <w:t>375,000</w:t>
            </w:r>
          </w:p>
        </w:tc>
        <w:tc>
          <w:tcPr>
            <w:tcW w:w="0" w:type="dxa"/>
            <w:vAlign w:val="bottom"/>
          </w:tcPr>
          <w:p>
            <w:pPr>
              <w:spacing w:after="0"/>
              <w:rPr>
                <w:sz w:val="1"/>
                <w:szCs w:val="1"/>
                <w:color w:val="auto"/>
              </w:rPr>
            </w:pPr>
          </w:p>
        </w:tc>
      </w:tr>
      <w:tr>
        <w:trPr>
          <w:trHeight w:val="33"/>
        </w:trPr>
        <w:tc>
          <w:tcPr>
            <w:tcW w:w="18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-342265</wp:posOffset>
            </wp:positionV>
            <wp:extent cx="5966460" cy="342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34290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tbl>
      <w:tblPr>
        <w:tblLayout w:type="fixed"/>
        <w:tblInd w:w="20" w:type="dxa"/>
        <w:tblCellMar>
          <w:top w:w="0" w:type="dxa"/>
          <w:left w:w="0" w:type="dxa"/>
          <w:bottom w:w="0" w:type="dxa"/>
          <w:right w:w="0" w:type="dxa"/>
        </w:tblCellMar>
      </w:tblPr>
      <w:tr>
        <w:trPr>
          <w:trHeight w:val="114"/>
        </w:trPr>
        <w:tc>
          <w:tcPr>
            <w:tcW w:w="1360" w:type="dxa"/>
            <w:vAlign w:val="bottom"/>
            <w:vMerge w:val="restart"/>
          </w:tcPr>
          <w:p>
            <w:pPr>
              <w:spacing w:after="0"/>
              <w:rPr>
                <w:sz w:val="20"/>
                <w:szCs w:val="20"/>
                <w:color w:val="auto"/>
              </w:rPr>
            </w:pPr>
            <w:r>
              <w:rPr>
                <w:rFonts w:ascii="Calibri" w:cs="Calibri" w:eastAsia="Calibri" w:hAnsi="Calibri"/>
                <w:sz w:val="14"/>
                <w:szCs w:val="14"/>
                <w:color w:val="auto"/>
              </w:rPr>
              <w:t>Eric Cribbs</w:t>
            </w:r>
          </w:p>
        </w:tc>
        <w:tc>
          <w:tcPr>
            <w:tcW w:w="1600" w:type="dxa"/>
            <w:vAlign w:val="bottom"/>
            <w:vMerge w:val="restart"/>
          </w:tcPr>
          <w:p>
            <w:pPr>
              <w:jc w:val="right"/>
              <w:ind w:right="308"/>
              <w:spacing w:after="0"/>
              <w:rPr>
                <w:sz w:val="20"/>
                <w:szCs w:val="20"/>
                <w:color w:val="auto"/>
              </w:rPr>
            </w:pPr>
            <w:r>
              <w:rPr>
                <w:rFonts w:ascii="Calibri" w:cs="Calibri" w:eastAsia="Calibri" w:hAnsi="Calibri"/>
                <w:sz w:val="14"/>
                <w:szCs w:val="14"/>
                <w:color w:val="auto"/>
              </w:rPr>
              <w:t>5/17/23</w:t>
            </w:r>
          </w:p>
        </w:tc>
        <w:tc>
          <w:tcPr>
            <w:tcW w:w="840" w:type="dxa"/>
            <w:vAlign w:val="bottom"/>
            <w:vMerge w:val="restart"/>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spacing w:after="0"/>
              <w:rPr>
                <w:sz w:val="20"/>
                <w:szCs w:val="20"/>
                <w:color w:val="auto"/>
              </w:rPr>
            </w:pPr>
            <w:r>
              <w:rPr>
                <w:rFonts w:ascii="Calibri" w:cs="Calibri" w:eastAsia="Calibri" w:hAnsi="Calibri"/>
                <w:sz w:val="14"/>
                <w:szCs w:val="14"/>
                <w:color w:val="auto"/>
              </w:rPr>
              <w:t>450,000</w:t>
            </w:r>
          </w:p>
        </w:tc>
        <w:tc>
          <w:tcPr>
            <w:tcW w:w="460" w:type="dxa"/>
            <w:vAlign w:val="bottom"/>
          </w:tcPr>
          <w:p>
            <w:pPr>
              <w:jc w:val="right"/>
              <w:ind w:right="232"/>
              <w:spacing w:after="0" w:line="114" w:lineRule="exact"/>
              <w:rPr>
                <w:sz w:val="20"/>
                <w:szCs w:val="20"/>
                <w:color w:val="auto"/>
              </w:rPr>
            </w:pPr>
            <w:r>
              <w:rPr>
                <w:rFonts w:ascii="Calibri" w:cs="Calibri" w:eastAsia="Calibri" w:hAnsi="Calibri"/>
                <w:sz w:val="10"/>
                <w:szCs w:val="10"/>
                <w:color w:val="auto"/>
              </w:rPr>
              <w:t>(2)</w:t>
            </w:r>
          </w:p>
        </w:tc>
        <w:tc>
          <w:tcPr>
            <w:tcW w:w="680" w:type="dxa"/>
            <w:vAlign w:val="bottom"/>
            <w:vMerge w:val="restart"/>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36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1360" w:type="dxa"/>
            <w:vAlign w:val="bottom"/>
          </w:tcPr>
          <w:p>
            <w:pPr>
              <w:spacing w:after="0"/>
              <w:rPr>
                <w:sz w:val="23"/>
                <w:szCs w:val="23"/>
                <w:color w:val="auto"/>
              </w:rPr>
            </w:pPr>
          </w:p>
        </w:tc>
        <w:tc>
          <w:tcPr>
            <w:tcW w:w="160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23"/>
                <w:szCs w:val="23"/>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0</w:t>
            </w:r>
          </w:p>
        </w:tc>
        <w:tc>
          <w:tcPr>
            <w:tcW w:w="32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40" w:type="dxa"/>
            <w:vAlign w:val="bottom"/>
            <w:vMerge w:val="restart"/>
          </w:tcPr>
          <w:p>
            <w:pPr>
              <w:ind w:left="60"/>
              <w:spacing w:after="0"/>
              <w:rPr>
                <w:sz w:val="20"/>
                <w:szCs w:val="20"/>
                <w:color w:val="auto"/>
              </w:rPr>
            </w:pPr>
            <w:r>
              <w:rPr>
                <w:rFonts w:ascii="Calibri" w:cs="Calibri" w:eastAsia="Calibri" w:hAnsi="Calibri"/>
                <w:sz w:val="10"/>
                <w:szCs w:val="10"/>
                <w:color w:val="auto"/>
                <w:w w:val="73"/>
              </w:rPr>
              <w:t>(4</w:t>
            </w:r>
          </w:p>
        </w:tc>
        <w:tc>
          <w:tcPr>
            <w:tcW w:w="0" w:type="dxa"/>
            <w:vAlign w:val="bottom"/>
          </w:tcPr>
          <w:p>
            <w:pPr>
              <w:spacing w:after="0"/>
              <w:rPr>
                <w:sz w:val="1"/>
                <w:szCs w:val="1"/>
                <w:color w:val="auto"/>
              </w:rPr>
            </w:pPr>
          </w:p>
        </w:tc>
      </w:tr>
      <w:tr>
        <w:trPr>
          <w:trHeight w:val="85"/>
        </w:trPr>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160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1,200</w:t>
            </w:r>
          </w:p>
        </w:tc>
        <w:tc>
          <w:tcPr>
            <w:tcW w:w="340" w:type="dxa"/>
            <w:vAlign w:val="bottom"/>
          </w:tcPr>
          <w:p>
            <w:pPr>
              <w:jc w:val="right"/>
              <w:ind w:right="13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1,500</w:t>
            </w:r>
          </w:p>
        </w:tc>
        <w:tc>
          <w:tcPr>
            <w:tcW w:w="320" w:type="dxa"/>
            <w:vAlign w:val="bottom"/>
          </w:tcPr>
          <w:p>
            <w:pPr>
              <w:jc w:val="right"/>
              <w:ind w:right="9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1,800</w:t>
            </w:r>
          </w:p>
        </w:tc>
        <w:tc>
          <w:tcPr>
            <w:tcW w:w="140" w:type="dxa"/>
            <w:vAlign w:val="bottom"/>
          </w:tcPr>
          <w:p>
            <w:pPr>
              <w:ind w:left="6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500" w:type="dxa"/>
            <w:vAlign w:val="bottom"/>
            <w:vMerge w:val="restart"/>
          </w:tcPr>
          <w:p>
            <w:pPr>
              <w:ind w:left="60"/>
              <w:spacing w:after="0"/>
              <w:rPr>
                <w:sz w:val="20"/>
                <w:szCs w:val="20"/>
                <w:color w:val="auto"/>
              </w:rPr>
            </w:pPr>
            <w:r>
              <w:rPr>
                <w:rFonts w:ascii="Calibri" w:cs="Calibri" w:eastAsia="Calibri" w:hAnsi="Calibri"/>
                <w:sz w:val="10"/>
                <w:szCs w:val="10"/>
                <w:color w:val="auto"/>
              </w:rPr>
              <w:t>(3</w:t>
            </w: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0" w:type="dxa"/>
            <w:vAlign w:val="bottom"/>
          </w:tcPr>
          <w:p>
            <w:pPr>
              <w:jc w:val="right"/>
              <w:ind w:right="8"/>
              <w:spacing w:after="0"/>
              <w:rPr>
                <w:sz w:val="20"/>
                <w:szCs w:val="20"/>
                <w:color w:val="auto"/>
              </w:rPr>
            </w:pPr>
            <w:r>
              <w:rPr>
                <w:rFonts w:ascii="Calibri" w:cs="Calibri" w:eastAsia="Calibri" w:hAnsi="Calibri"/>
                <w:sz w:val="14"/>
                <w:szCs w:val="14"/>
                <w:color w:val="auto"/>
                <w:w w:val="93"/>
              </w:rPr>
              <w:t>1,500</w:t>
            </w:r>
          </w:p>
        </w:tc>
        <w:tc>
          <w:tcPr>
            <w:tcW w:w="500" w:type="dxa"/>
            <w:vAlign w:val="bottom"/>
          </w:tcPr>
          <w:p>
            <w:pPr>
              <w:ind w:left="60"/>
              <w:spacing w:after="0"/>
              <w:rPr>
                <w:sz w:val="20"/>
                <w:szCs w:val="20"/>
                <w:color w:val="auto"/>
              </w:rPr>
            </w:pPr>
            <w:r>
              <w:rPr>
                <w:rFonts w:ascii="Calibri" w:cs="Calibri" w:eastAsia="Calibri" w:hAnsi="Calibri"/>
                <w:sz w:val="10"/>
                <w:szCs w:val="10"/>
                <w:color w:val="auto"/>
              </w:rPr>
              <w:t>)</w:t>
            </w: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250,000</w:t>
            </w:r>
          </w:p>
        </w:tc>
        <w:tc>
          <w:tcPr>
            <w:tcW w:w="0" w:type="dxa"/>
            <w:vAlign w:val="bottom"/>
          </w:tcPr>
          <w:p>
            <w:pPr>
              <w:spacing w:after="0"/>
              <w:rPr>
                <w:sz w:val="1"/>
                <w:szCs w:val="1"/>
                <w:color w:val="auto"/>
              </w:rPr>
            </w:pPr>
          </w:p>
        </w:tc>
      </w:tr>
      <w:tr>
        <w:trPr>
          <w:trHeight w:val="270"/>
        </w:trPr>
        <w:tc>
          <w:tcPr>
            <w:tcW w:w="4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500" w:type="dxa"/>
            <w:vAlign w:val="bottom"/>
          </w:tcPr>
          <w:p>
            <w:pPr>
              <w:spacing w:after="0"/>
              <w:rPr>
                <w:sz w:val="23"/>
                <w:szCs w:val="23"/>
                <w:color w:val="auto"/>
              </w:rPr>
            </w:pPr>
          </w:p>
        </w:tc>
        <w:tc>
          <w:tcPr>
            <w:tcW w:w="700" w:type="dxa"/>
            <w:vAlign w:val="bottom"/>
          </w:tcPr>
          <w:p>
            <w:pPr>
              <w:ind w:left="3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250,000</w:t>
            </w:r>
          </w:p>
        </w:tc>
        <w:tc>
          <w:tcPr>
            <w:tcW w:w="0" w:type="dxa"/>
            <w:vAlign w:val="bottom"/>
          </w:tcPr>
          <w:p>
            <w:pPr>
              <w:spacing w:after="0"/>
              <w:rPr>
                <w:sz w:val="1"/>
                <w:szCs w:val="1"/>
                <w:color w:val="auto"/>
              </w:rPr>
            </w:pPr>
          </w:p>
        </w:tc>
      </w:tr>
    </w:tbl>
    <w:p>
      <w:pPr>
        <w:spacing w:after="0" w:line="33" w:lineRule="exact"/>
        <w:rPr>
          <w:sz w:val="20"/>
          <w:szCs w:val="20"/>
          <w:color w:val="auto"/>
        </w:rPr>
      </w:pPr>
    </w:p>
    <w:p>
      <w:pPr>
        <w:sectPr>
          <w:pgSz w:w="11900" w:h="16838" w:orient="portrait"/>
          <w:cols w:equalWidth="0" w:num="2">
            <w:col w:w="8400" w:space="420"/>
            <w:col w:w="2420"/>
          </w:cols>
          <w:pgMar w:left="320" w:top="976" w:right="33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1840" w:type="dxa"/>
            <w:vAlign w:val="bottom"/>
            <w:vMerge w:val="restart"/>
            <w:shd w:val="clear" w:color="auto" w:fill="CFF0FC"/>
          </w:tcPr>
          <w:p>
            <w:pPr>
              <w:ind w:left="20"/>
              <w:spacing w:after="0"/>
              <w:rPr>
                <w:sz w:val="20"/>
                <w:szCs w:val="20"/>
                <w:color w:val="auto"/>
              </w:rPr>
            </w:pPr>
            <w:r>
              <w:rPr>
                <w:rFonts w:ascii="Calibri" w:cs="Calibri" w:eastAsia="Calibri" w:hAnsi="Calibri"/>
                <w:sz w:val="14"/>
                <w:szCs w:val="14"/>
                <w:color w:val="auto"/>
              </w:rPr>
              <w:t>Tony Thompson</w:t>
            </w:r>
          </w:p>
        </w:tc>
        <w:tc>
          <w:tcPr>
            <w:tcW w:w="1140" w:type="dxa"/>
            <w:vAlign w:val="bottom"/>
            <w:gridSpan w:val="2"/>
            <w:vMerge w:val="restart"/>
          </w:tcPr>
          <w:p>
            <w:pPr>
              <w:jc w:val="right"/>
              <w:ind w:right="308"/>
              <w:spacing w:after="0"/>
              <w:rPr>
                <w:sz w:val="20"/>
                <w:szCs w:val="20"/>
                <w:color w:val="auto"/>
              </w:rPr>
            </w:pPr>
            <w:r>
              <w:rPr>
                <w:rFonts w:ascii="Calibri" w:cs="Calibri" w:eastAsia="Calibri" w:hAnsi="Calibri"/>
                <w:sz w:val="14"/>
                <w:szCs w:val="14"/>
                <w:color w:val="auto"/>
              </w:rPr>
              <w:t>5/17/23</w:t>
            </w:r>
          </w:p>
        </w:tc>
        <w:tc>
          <w:tcPr>
            <w:tcW w:w="840" w:type="dxa"/>
            <w:vAlign w:val="bottom"/>
            <w:vMerge w:val="restart"/>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spacing w:after="0"/>
              <w:rPr>
                <w:sz w:val="20"/>
                <w:szCs w:val="20"/>
                <w:color w:val="auto"/>
              </w:rPr>
            </w:pPr>
            <w:r>
              <w:rPr>
                <w:rFonts w:ascii="Calibri" w:cs="Calibri" w:eastAsia="Calibri" w:hAnsi="Calibri"/>
                <w:sz w:val="14"/>
                <w:szCs w:val="14"/>
                <w:color w:val="auto"/>
              </w:rPr>
              <w:t>350,000</w:t>
            </w:r>
          </w:p>
        </w:tc>
        <w:tc>
          <w:tcPr>
            <w:tcW w:w="460" w:type="dxa"/>
            <w:vAlign w:val="bottom"/>
          </w:tcPr>
          <w:p>
            <w:pPr>
              <w:jc w:val="right"/>
              <w:ind w:right="232"/>
              <w:spacing w:after="0"/>
              <w:rPr>
                <w:sz w:val="20"/>
                <w:szCs w:val="20"/>
                <w:color w:val="auto"/>
              </w:rPr>
            </w:pPr>
            <w:r>
              <w:rPr>
                <w:rFonts w:ascii="Calibri" w:cs="Calibri" w:eastAsia="Calibri" w:hAnsi="Calibri"/>
                <w:sz w:val="10"/>
                <w:szCs w:val="10"/>
                <w:color w:val="auto"/>
              </w:rPr>
              <w:t>(2)</w:t>
            </w:r>
          </w:p>
        </w:tc>
        <w:tc>
          <w:tcPr>
            <w:tcW w:w="680" w:type="dxa"/>
            <w:vAlign w:val="bottom"/>
            <w:vMerge w:val="restart"/>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1"/>
                <w:szCs w:val="11"/>
                <w:color w:val="auto"/>
              </w:rPr>
            </w:pPr>
          </w:p>
        </w:tc>
        <w:tc>
          <w:tcPr>
            <w:tcW w:w="5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1"/>
                <w:szCs w:val="11"/>
                <w:color w:val="auto"/>
              </w:rPr>
            </w:pPr>
          </w:p>
        </w:tc>
        <w:tc>
          <w:tcPr>
            <w:tcW w:w="740" w:type="dxa"/>
            <w:vAlign w:val="bottom"/>
            <w:vMerge w:val="restart"/>
          </w:tcPr>
          <w:p>
            <w:pPr>
              <w:jc w:val="right"/>
              <w:ind w:right="48"/>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99"/>
        </w:trPr>
        <w:tc>
          <w:tcPr>
            <w:tcW w:w="1840" w:type="dxa"/>
            <w:vAlign w:val="bottom"/>
            <w:vMerge w:val="continue"/>
            <w:shd w:val="clear" w:color="auto" w:fill="CFF0FC"/>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ind w:left="60"/>
              <w:spacing w:after="0" w:line="100" w:lineRule="exact"/>
              <w:rPr>
                <w:sz w:val="20"/>
                <w:szCs w:val="20"/>
                <w:color w:val="auto"/>
              </w:rPr>
            </w:pPr>
            <w:r>
              <w:rPr>
                <w:rFonts w:ascii="Calibri" w:cs="Calibri" w:eastAsia="Calibri" w:hAnsi="Calibri"/>
                <w:sz w:val="10"/>
                <w:szCs w:val="10"/>
                <w:color w:val="auto"/>
              </w:rPr>
              <w:t>(3</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8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2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20" w:type="dxa"/>
            <w:vAlign w:val="bottom"/>
            <w:vMerge w:val="restart"/>
          </w:tcPr>
          <w:p>
            <w:pPr>
              <w:ind w:left="60"/>
              <w:spacing w:after="0"/>
              <w:rPr>
                <w:sz w:val="20"/>
                <w:szCs w:val="20"/>
                <w:color w:val="auto"/>
              </w:rPr>
            </w:pPr>
            <w:r>
              <w:rPr>
                <w:rFonts w:ascii="Calibri" w:cs="Calibri" w:eastAsia="Calibri" w:hAnsi="Calibri"/>
                <w:sz w:val="10"/>
                <w:szCs w:val="10"/>
                <w:color w:val="auto"/>
              </w:rPr>
              <w:t>(4</w:t>
            </w: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1,350</w:t>
            </w:r>
          </w:p>
        </w:tc>
        <w:tc>
          <w:tcPr>
            <w:tcW w:w="400" w:type="dxa"/>
            <w:vAlign w:val="bottom"/>
          </w:tcPr>
          <w:p>
            <w:pPr>
              <w:ind w:left="60"/>
              <w:spacing w:after="0"/>
              <w:rPr>
                <w:sz w:val="20"/>
                <w:szCs w:val="20"/>
                <w:color w:val="auto"/>
              </w:rPr>
            </w:pPr>
            <w:r>
              <w:rPr>
                <w:rFonts w:ascii="Calibri" w:cs="Calibri" w:eastAsia="Calibri" w:hAnsi="Calibri"/>
                <w:sz w:val="10"/>
                <w:szCs w:val="10"/>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225,000</w:t>
            </w:r>
          </w:p>
        </w:tc>
        <w:tc>
          <w:tcPr>
            <w:tcW w:w="0" w:type="dxa"/>
            <w:vAlign w:val="bottom"/>
          </w:tcPr>
          <w:p>
            <w:pPr>
              <w:spacing w:after="0"/>
              <w:rPr>
                <w:sz w:val="1"/>
                <w:szCs w:val="1"/>
                <w:color w:val="auto"/>
              </w:rPr>
            </w:pPr>
          </w:p>
        </w:tc>
      </w:tr>
      <w:tr>
        <w:trPr>
          <w:trHeight w:val="85"/>
        </w:trPr>
        <w:tc>
          <w:tcPr>
            <w:tcW w:w="18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8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Pr>
          <w:p>
            <w:pPr>
              <w:jc w:val="right"/>
              <w:ind w:right="308"/>
              <w:spacing w:after="0"/>
              <w:rPr>
                <w:sz w:val="20"/>
                <w:szCs w:val="20"/>
                <w:color w:val="auto"/>
              </w:rPr>
            </w:pPr>
            <w:r>
              <w:rPr>
                <w:rFonts w:ascii="Calibri" w:cs="Calibri" w:eastAsia="Calibri" w:hAnsi="Calibri"/>
                <w:sz w:val="14"/>
                <w:szCs w:val="14"/>
                <w:color w:val="auto"/>
              </w:rPr>
              <w:t>5/23/23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1,080</w:t>
            </w:r>
          </w:p>
        </w:tc>
        <w:tc>
          <w:tcPr>
            <w:tcW w:w="340" w:type="dxa"/>
            <w:vAlign w:val="bottom"/>
          </w:tcPr>
          <w:p>
            <w:pPr>
              <w:jc w:val="right"/>
              <w:ind w:right="13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spacing w:after="0"/>
              <w:rPr>
                <w:sz w:val="20"/>
                <w:szCs w:val="20"/>
                <w:color w:val="auto"/>
              </w:rPr>
            </w:pPr>
            <w:r>
              <w:rPr>
                <w:rFonts w:ascii="Calibri" w:cs="Calibri" w:eastAsia="Calibri" w:hAnsi="Calibri"/>
                <w:sz w:val="14"/>
                <w:szCs w:val="14"/>
                <w:color w:val="auto"/>
              </w:rPr>
              <w:t>1,350</w:t>
            </w:r>
          </w:p>
        </w:tc>
        <w:tc>
          <w:tcPr>
            <w:tcW w:w="320" w:type="dxa"/>
            <w:vAlign w:val="bottom"/>
          </w:tcPr>
          <w:p>
            <w:pPr>
              <w:jc w:val="right"/>
              <w:ind w:right="92"/>
              <w:spacing w:after="0"/>
              <w:rPr>
                <w:sz w:val="20"/>
                <w:szCs w:val="20"/>
                <w:color w:val="auto"/>
              </w:rPr>
            </w:pPr>
            <w:r>
              <w:rPr>
                <w:rFonts w:ascii="Calibri" w:cs="Calibri" w:eastAsia="Calibri" w:hAnsi="Calibri"/>
                <w:sz w:val="10"/>
                <w:szCs w:val="10"/>
                <w:color w:val="auto"/>
              </w:rPr>
              <w:t>(4)</w:t>
            </w: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1,620</w:t>
            </w:r>
          </w:p>
        </w:tc>
        <w:tc>
          <w:tcPr>
            <w:tcW w:w="320" w:type="dxa"/>
            <w:vAlign w:val="bottom"/>
          </w:tcPr>
          <w:p>
            <w:pPr>
              <w:ind w:left="60"/>
              <w:spacing w:after="0"/>
              <w:rPr>
                <w:sz w:val="20"/>
                <w:szCs w:val="20"/>
                <w:color w:val="auto"/>
              </w:rPr>
            </w:pPr>
            <w:r>
              <w:rPr>
                <w:rFonts w:ascii="Calibri" w:cs="Calibri" w:eastAsia="Calibri" w:hAnsi="Calibri"/>
                <w:sz w:val="10"/>
                <w:szCs w:val="10"/>
                <w:color w:val="auto"/>
              </w:rPr>
              <w:t>)</w:t>
            </w: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225,000</w:t>
            </w:r>
          </w:p>
        </w:tc>
        <w:tc>
          <w:tcPr>
            <w:tcW w:w="0" w:type="dxa"/>
            <w:vAlign w:val="bottom"/>
          </w:tcPr>
          <w:p>
            <w:pPr>
              <w:spacing w:after="0"/>
              <w:rPr>
                <w:sz w:val="1"/>
                <w:szCs w:val="1"/>
                <w:color w:val="auto"/>
              </w:rPr>
            </w:pPr>
          </w:p>
        </w:tc>
      </w:tr>
      <w:tr>
        <w:trPr>
          <w:trHeight w:val="166"/>
        </w:trPr>
        <w:tc>
          <w:tcPr>
            <w:tcW w:w="1840" w:type="dxa"/>
            <w:vAlign w:val="bottom"/>
          </w:tcPr>
          <w:p>
            <w:pPr>
              <w:ind w:left="20"/>
              <w:spacing w:after="0" w:line="166" w:lineRule="exact"/>
              <w:rPr>
                <w:sz w:val="20"/>
                <w:szCs w:val="20"/>
                <w:color w:val="auto"/>
              </w:rPr>
            </w:pPr>
            <w:r>
              <w:rPr>
                <w:rFonts w:ascii="Calibri" w:cs="Calibri" w:eastAsia="Calibri" w:hAnsi="Calibri"/>
                <w:sz w:val="14"/>
                <w:szCs w:val="14"/>
                <w:color w:val="auto"/>
              </w:rPr>
              <w:t>Robert S. Stewart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alibri" w:cs="Calibri" w:eastAsia="Calibri" w:hAnsi="Calibri"/>
                <w:sz w:val="10"/>
                <w:szCs w:val="10"/>
                <w:color w:val="auto"/>
              </w:rPr>
              <w:t>(5</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48"/>
              <w:spacing w:after="0" w:line="166" w:lineRule="exact"/>
              <w:rPr>
                <w:sz w:val="20"/>
                <w:szCs w:val="20"/>
                <w:color w:val="auto"/>
              </w:rPr>
            </w:pPr>
            <w:r>
              <w:rPr>
                <w:rFonts w:ascii="Calibri" w:cs="Calibri" w:eastAsia="Calibri" w:hAnsi="Calibri"/>
                <w:sz w:val="14"/>
                <w:szCs w:val="14"/>
                <w:color w:val="auto"/>
              </w:rPr>
              <w:t>2,203,87</w:t>
            </w: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140" w:type="dxa"/>
            <w:vAlign w:val="bottom"/>
            <w:gridSpan w:val="2"/>
          </w:tcPr>
          <w:p>
            <w:pPr>
              <w:jc w:val="right"/>
              <w:ind w:right="308"/>
              <w:spacing w:after="0"/>
              <w:rPr>
                <w:sz w:val="20"/>
                <w:szCs w:val="20"/>
                <w:color w:val="auto"/>
              </w:rPr>
            </w:pPr>
            <w:r>
              <w:rPr>
                <w:rFonts w:ascii="Calibri" w:cs="Calibri" w:eastAsia="Calibri" w:hAnsi="Calibri"/>
                <w:sz w:val="14"/>
                <w:szCs w:val="14"/>
                <w:color w:val="auto"/>
              </w:rPr>
              <w:t>5/16/23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13,547</w:t>
            </w:r>
          </w:p>
        </w:tc>
        <w:tc>
          <w:tcPr>
            <w:tcW w:w="400" w:type="dxa"/>
            <w:vAlign w:val="bottom"/>
          </w:tcPr>
          <w:p>
            <w:pPr>
              <w:ind w:left="60"/>
              <w:spacing w:after="0" w:line="114" w:lineRule="exact"/>
              <w:rPr>
                <w:sz w:val="20"/>
                <w:szCs w:val="20"/>
                <w:color w:val="auto"/>
              </w:rPr>
            </w:pPr>
            <w:r>
              <w:rPr>
                <w:rFonts w:ascii="Calibri" w:cs="Calibri" w:eastAsia="Calibri" w:hAnsi="Calibri"/>
                <w:sz w:val="10"/>
                <w:szCs w:val="10"/>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0</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vMerge w:val="restart"/>
          </w:tcPr>
          <w:p>
            <w:pPr>
              <w:jc w:val="right"/>
              <w:ind w:right="48"/>
              <w:spacing w:after="0"/>
              <w:rPr>
                <w:sz w:val="20"/>
                <w:szCs w:val="20"/>
                <w:color w:val="auto"/>
              </w:rPr>
            </w:pPr>
            <w:r>
              <w:rPr>
                <w:rFonts w:ascii="Calibri" w:cs="Calibri" w:eastAsia="Calibri" w:hAnsi="Calibri"/>
                <w:sz w:val="14"/>
                <w:szCs w:val="14"/>
                <w:color w:val="auto"/>
              </w:rPr>
              <w:t>1,469,30</w:t>
            </w:r>
          </w:p>
        </w:tc>
        <w:tc>
          <w:tcPr>
            <w:tcW w:w="0" w:type="dxa"/>
            <w:vAlign w:val="bottom"/>
          </w:tcPr>
          <w:p>
            <w:pPr>
              <w:spacing w:after="0" w:line="20" w:lineRule="exact"/>
              <w:rPr>
                <w:sz w:val="1"/>
                <w:szCs w:val="1"/>
                <w:color w:val="auto"/>
              </w:rPr>
            </w:pPr>
          </w:p>
        </w:tc>
      </w:tr>
      <w:tr>
        <w:trPr>
          <w:trHeight w:val="166"/>
        </w:trPr>
        <w:tc>
          <w:tcPr>
            <w:tcW w:w="1840" w:type="dxa"/>
            <w:vAlign w:val="bottom"/>
            <w:shd w:val="clear" w:color="auto" w:fill="CFF0FC"/>
          </w:tcPr>
          <w:p>
            <w:pPr>
              <w:ind w:left="20"/>
              <w:spacing w:after="0" w:line="166" w:lineRule="exact"/>
              <w:rPr>
                <w:sz w:val="20"/>
                <w:szCs w:val="20"/>
                <w:color w:val="auto"/>
              </w:rPr>
            </w:pPr>
            <w:r>
              <w:rPr>
                <w:rFonts w:ascii="Calibri" w:cs="Calibri" w:eastAsia="Calibri" w:hAnsi="Calibri"/>
                <w:sz w:val="14"/>
                <w:szCs w:val="14"/>
                <w:color w:val="auto"/>
              </w:rPr>
              <w:t>Steven L. Wentzel</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alibri" w:cs="Calibri" w:eastAsia="Calibri" w:hAnsi="Calibri"/>
                <w:sz w:val="10"/>
                <w:szCs w:val="10"/>
                <w:color w:val="auto"/>
              </w:rPr>
              <w:t>(5</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FF0FC"/>
          </w:tcPr>
          <w:p>
            <w:pPr>
              <w:spacing w:after="0"/>
              <w:rPr>
                <w:sz w:val="15"/>
                <w:szCs w:val="15"/>
                <w:color w:val="auto"/>
              </w:rPr>
            </w:pPr>
          </w:p>
        </w:tc>
        <w:tc>
          <w:tcPr>
            <w:tcW w:w="1140" w:type="dxa"/>
            <w:vAlign w:val="bottom"/>
            <w:gridSpan w:val="2"/>
          </w:tcPr>
          <w:p>
            <w:pPr>
              <w:jc w:val="right"/>
              <w:ind w:right="308"/>
              <w:spacing w:after="0"/>
              <w:rPr>
                <w:sz w:val="20"/>
                <w:szCs w:val="20"/>
                <w:color w:val="auto"/>
              </w:rPr>
            </w:pPr>
            <w:r>
              <w:rPr>
                <w:rFonts w:ascii="Calibri" w:cs="Calibri" w:eastAsia="Calibri" w:hAnsi="Calibri"/>
                <w:sz w:val="14"/>
                <w:szCs w:val="14"/>
                <w:color w:val="auto"/>
              </w:rPr>
              <w:t>5/16/23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9,030</w:t>
            </w:r>
          </w:p>
        </w:tc>
        <w:tc>
          <w:tcPr>
            <w:tcW w:w="400" w:type="dxa"/>
            <w:vAlign w:val="bottom"/>
          </w:tcPr>
          <w:p>
            <w:pPr>
              <w:ind w:left="60"/>
              <w:spacing w:after="0" w:line="114" w:lineRule="exact"/>
              <w:rPr>
                <w:sz w:val="20"/>
                <w:szCs w:val="20"/>
                <w:color w:val="auto"/>
              </w:rPr>
            </w:pPr>
            <w:r>
              <w:rPr>
                <w:rFonts w:ascii="Calibri" w:cs="Calibri" w:eastAsia="Calibri" w:hAnsi="Calibri"/>
                <w:sz w:val="10"/>
                <w:szCs w:val="10"/>
                <w:color w:val="auto"/>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vMerge w:val="restart"/>
          </w:tcPr>
          <w:p>
            <w:pPr>
              <w:ind w:left="80"/>
              <w:spacing w:after="0"/>
              <w:rPr>
                <w:sz w:val="20"/>
                <w:szCs w:val="20"/>
                <w:color w:val="auto"/>
              </w:rPr>
            </w:pPr>
            <w:r>
              <w:rPr>
                <w:rFonts w:ascii="Calibri" w:cs="Calibri" w:eastAsia="Calibri" w:hAnsi="Calibri"/>
                <w:sz w:val="10"/>
                <w:szCs w:val="10"/>
                <w:color w:val="auto"/>
              </w:rPr>
              <w:t>(5</w:t>
            </w: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4</w:t>
            </w:r>
          </w:p>
        </w:tc>
        <w:tc>
          <w:tcPr>
            <w:tcW w:w="0" w:type="dxa"/>
            <w:vAlign w:val="bottom"/>
          </w:tcPr>
          <w:p>
            <w:pPr>
              <w:spacing w:after="0"/>
              <w:rPr>
                <w:sz w:val="1"/>
                <w:szCs w:val="1"/>
                <w:color w:val="auto"/>
              </w:rPr>
            </w:pPr>
          </w:p>
        </w:tc>
      </w:tr>
      <w:tr>
        <w:trPr>
          <w:trHeight w:val="85"/>
        </w:trPr>
        <w:tc>
          <w:tcPr>
            <w:tcW w:w="1840" w:type="dxa"/>
            <w:vAlign w:val="bottom"/>
            <w:shd w:val="clear" w:color="auto" w:fill="CFF0FC"/>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840" w:type="dxa"/>
            <w:vAlign w:val="bottom"/>
            <w:shd w:val="clear" w:color="auto" w:fill="CFF0FC"/>
          </w:tcPr>
          <w:p>
            <w:pPr>
              <w:spacing w:after="0"/>
              <w:rPr>
                <w:sz w:val="16"/>
                <w:szCs w:val="16"/>
                <w:color w:val="auto"/>
              </w:rPr>
            </w:pPr>
          </w:p>
        </w:tc>
        <w:tc>
          <w:tcPr>
            <w:tcW w:w="1140" w:type="dxa"/>
            <w:vAlign w:val="bottom"/>
            <w:gridSpan w:val="2"/>
          </w:tcPr>
          <w:p>
            <w:pPr>
              <w:jc w:val="right"/>
              <w:ind w:right="308"/>
              <w:spacing w:after="0"/>
              <w:rPr>
                <w:sz w:val="20"/>
                <w:szCs w:val="20"/>
                <w:color w:val="auto"/>
              </w:rPr>
            </w:pPr>
            <w:r>
              <w:rPr>
                <w:rFonts w:ascii="Calibri" w:cs="Calibri" w:eastAsia="Calibri" w:hAnsi="Calibri"/>
                <w:sz w:val="14"/>
                <w:szCs w:val="14"/>
                <w:color w:val="auto"/>
              </w:rPr>
              <w:t>5/16/23</w:t>
            </w:r>
          </w:p>
        </w:tc>
        <w:tc>
          <w:tcPr>
            <w:tcW w:w="8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2,582</w:t>
            </w:r>
          </w:p>
        </w:tc>
        <w:tc>
          <w:tcPr>
            <w:tcW w:w="240" w:type="dxa"/>
            <w:vAlign w:val="bottom"/>
          </w:tcPr>
          <w:p>
            <w:pPr>
              <w:ind w:left="80"/>
              <w:spacing w:after="0"/>
              <w:rPr>
                <w:sz w:val="20"/>
                <w:szCs w:val="20"/>
                <w:color w:val="auto"/>
              </w:rPr>
            </w:pPr>
            <w:r>
              <w:rPr>
                <w:rFonts w:ascii="Calibri" w:cs="Calibri" w:eastAsia="Calibri" w:hAnsi="Calibri"/>
                <w:sz w:val="10"/>
                <w:szCs w:val="10"/>
                <w:color w:val="auto"/>
              </w:rPr>
              <w:t>)</w:t>
            </w:r>
          </w:p>
        </w:tc>
        <w:tc>
          <w:tcPr>
            <w:tcW w:w="740" w:type="dxa"/>
            <w:vAlign w:val="bottom"/>
          </w:tcPr>
          <w:p>
            <w:pPr>
              <w:jc w:val="right"/>
              <w:ind w:right="48"/>
              <w:spacing w:after="0"/>
              <w:rPr>
                <w:sz w:val="20"/>
                <w:szCs w:val="20"/>
                <w:color w:val="auto"/>
              </w:rPr>
            </w:pPr>
            <w:r>
              <w:rPr>
                <w:rFonts w:ascii="Calibri" w:cs="Calibri" w:eastAsia="Calibri" w:hAnsi="Calibri"/>
                <w:sz w:val="14"/>
                <w:szCs w:val="14"/>
                <w:color w:val="auto"/>
              </w:rPr>
              <w:t>56,115</w:t>
            </w:r>
          </w:p>
        </w:tc>
        <w:tc>
          <w:tcPr>
            <w:tcW w:w="0" w:type="dxa"/>
            <w:vAlign w:val="bottom"/>
          </w:tcPr>
          <w:p>
            <w:pPr>
              <w:spacing w:after="0"/>
              <w:rPr>
                <w:sz w:val="1"/>
                <w:szCs w:val="1"/>
                <w:color w:val="auto"/>
              </w:rPr>
            </w:pPr>
          </w:p>
        </w:tc>
      </w:tr>
      <w:tr>
        <w:trPr>
          <w:trHeight w:val="33"/>
        </w:trPr>
        <w:tc>
          <w:tcPr>
            <w:tcW w:w="1840" w:type="dxa"/>
            <w:vAlign w:val="bottom"/>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-993775</wp:posOffset>
            </wp:positionV>
            <wp:extent cx="5966460"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646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1" w:lineRule="exact"/>
        <w:rPr>
          <w:sz w:val="20"/>
          <w:szCs w:val="20"/>
          <w:color w:val="auto"/>
        </w:rPr>
      </w:pPr>
    </w:p>
    <w:p>
      <w:pPr>
        <w:jc w:val="both"/>
        <w:ind w:left="380" w:right="100" w:hanging="372"/>
        <w:spacing w:after="0" w:line="235" w:lineRule="auto"/>
        <w:tabs>
          <w:tab w:leader="none" w:pos="3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amounts included in this column refect the grant date fair value of the award computed in accordance with FASB ASC Topic 718. Assumptons used in the calculaton of these amounts are included in footnote (K) to the Company’s audited fnancial statements for the fscal year ended March 31, 2024 included in the Fiscal 2024 Form 10-K.</w:t>
      </w:r>
    </w:p>
    <w:p>
      <w:pPr>
        <w:spacing w:after="0" w:line="110" w:lineRule="exact"/>
        <w:rPr>
          <w:rFonts w:ascii="Calibri" w:cs="Calibri" w:eastAsia="Calibri" w:hAnsi="Calibri"/>
          <w:sz w:val="18"/>
          <w:szCs w:val="18"/>
          <w:color w:val="auto"/>
        </w:rPr>
      </w:pPr>
    </w:p>
    <w:p>
      <w:pPr>
        <w:ind w:left="380" w:right="20" w:hanging="372"/>
        <w:spacing w:after="0" w:line="251" w:lineRule="auto"/>
        <w:tabs>
          <w:tab w:leader="none" w:pos="38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These amounts represent the maximum annual incentve payments potentally payable to the Named Executve Ofcers pursuant to the Eagle Annual Incentve Program or the Divisional Annual Cash Incentve Award Programs, as applicable, for fscal 2024. They represent the lower of (i) the individual's pool percentage multplied by the applicable operatng earnings or EBITDA for the fscal year; and (ii) the individual cap amount described in the fscal 2024 programs (a multple of base salary or a separately approved cap amount, as applicable). The actual pay-outs to the Named Executve Ofcers were as follows: Mr. Haack - $2,107,341; Mr. Kesler - $1,016,039; Mr. Newby - $564,466; Mr. Cribbs - $443,260; and Mr. Thompson - $329,169. These annual incentve programs, including individual caps on potental awards, are described in greater detail in “Annual Cash Incentve Award” above.</w:t>
      </w:r>
    </w:p>
    <w:p>
      <w:pPr>
        <w:spacing w:after="0" w:line="101" w:lineRule="exact"/>
        <w:rPr>
          <w:rFonts w:ascii="Calibri" w:cs="Calibri" w:eastAsia="Calibri" w:hAnsi="Calibri"/>
          <w:sz w:val="17"/>
          <w:szCs w:val="17"/>
          <w:color w:val="auto"/>
        </w:rPr>
      </w:pPr>
    </w:p>
    <w:p>
      <w:pPr>
        <w:ind w:left="380" w:right="80" w:hanging="372"/>
        <w:spacing w:after="0" w:line="235" w:lineRule="auto"/>
        <w:tabs>
          <w:tab w:leader="none" w:pos="3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These amounts represent grants of tme-vestng restricted stock made on May 23, 2023 under our 2013 Incentve Plan. One-third of the restricted stock vested on March 31, 2024, and restrictons on the remaining restricted stock will lapse ratably on March 31 of 2025 and 2026. These restricted stock grants are described in greater detail in “Long-Term Incentve Compensaton—Fiscal 2024 Grants” above.</w:t>
      </w:r>
    </w:p>
    <w:p>
      <w:pPr>
        <w:spacing w:after="0" w:line="110" w:lineRule="exact"/>
        <w:rPr>
          <w:rFonts w:ascii="Calibri" w:cs="Calibri" w:eastAsia="Calibri" w:hAnsi="Calibri"/>
          <w:sz w:val="18"/>
          <w:szCs w:val="18"/>
          <w:color w:val="auto"/>
        </w:rPr>
      </w:pPr>
    </w:p>
    <w:p>
      <w:pPr>
        <w:ind w:left="380" w:right="20" w:hanging="372"/>
        <w:spacing w:after="0" w:line="251" w:lineRule="auto"/>
        <w:tabs>
          <w:tab w:leader="none" w:pos="38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These amounts represent grants of performance-based restricted stock made on May 23, 2023 under our 2013 Incentve Plan. The vestng of the restricted stock is subject to performance vestng criteria. Twenty-fve percent of the target performance shares are subject to a one-year performance period, 25% are subject to a two-year performance period, and 50% are subject to a three-year performance period. On May 3, 2024, the Compensaton Commitee determined that 120% of the target award subject to the one-year performance period had been earned, and the earned restricted stock vested on May 10, 2024. These restricted stock grants are described in greater detail in “Long-Term Incentve Compensaton—Fiscal 2024 Grants” above.</w:t>
      </w:r>
    </w:p>
    <w:p>
      <w:pPr>
        <w:spacing w:after="0" w:line="102" w:lineRule="exact"/>
        <w:rPr>
          <w:rFonts w:ascii="Calibri" w:cs="Calibri" w:eastAsia="Calibri" w:hAnsi="Calibri"/>
          <w:sz w:val="17"/>
          <w:szCs w:val="17"/>
          <w:color w:val="auto"/>
        </w:rPr>
      </w:pPr>
    </w:p>
    <w:p>
      <w:pPr>
        <w:ind w:left="380" w:right="60" w:hanging="372"/>
        <w:spacing w:after="0" w:line="235" w:lineRule="auto"/>
        <w:tabs>
          <w:tab w:leader="none" w:pos="3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These amounts do not relate to new equity awards to Messrs. Stewart or Wentzel—rather, they represent the incremental fair value of the treatment of their outstanding equity awards at the tme of their retrement. For each of the retring ofcers, the Board determined that his departure consttuted a Board-approved retrement from service, and therefore, pursuant to the terms of the award agreements, his outstanding restricted stock (both tme-vestng awards and performance-vestng awards for which the performance conditon had been satsfed) accelerated vestng upon retrement, and Mr. Wentzel's outstanding stock optons will survive for the remaining term following retrement. The value of these retrement-related items is refected in the far right column of this table, in each case computed in accordance with FASB ASC Topic 718.</w:t>
      </w:r>
    </w:p>
    <w:p>
      <w:pPr>
        <w:spacing w:after="0" w:line="20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58" w:name="page59"/>
    <w:bookmarkEnd w:id="58"/>
    <w:p>
      <w:pPr>
        <w:ind w:left="2940"/>
        <w:spacing w:after="0"/>
        <w:rPr>
          <w:sz w:val="20"/>
          <w:szCs w:val="20"/>
          <w:color w:val="auto"/>
        </w:rPr>
      </w:pPr>
      <w:r>
        <w:rPr>
          <w:rFonts w:ascii="Calibri" w:cs="Calibri" w:eastAsia="Calibri" w:hAnsi="Calibri"/>
          <w:sz w:val="20"/>
          <w:szCs w:val="20"/>
          <w:color w:val="auto"/>
        </w:rPr>
        <w:t>_______________________________</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Eagle Materials Inc. - 2024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489585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59" w:name="page60"/>
    <w:bookmarkEnd w:id="59"/>
    <w:p>
      <w:pPr>
        <w:jc w:val="center"/>
        <w:ind w:right="-19"/>
        <w:spacing w:after="0"/>
        <w:rPr>
          <w:sz w:val="20"/>
          <w:szCs w:val="20"/>
          <w:color w:val="auto"/>
        </w:rPr>
      </w:pPr>
      <w:r>
        <w:rPr>
          <w:rFonts w:ascii="Calibri" w:cs="Calibri" w:eastAsia="Calibri" w:hAnsi="Calibri"/>
          <w:sz w:val="18"/>
          <w:szCs w:val="18"/>
          <w:b w:val="1"/>
          <w:bCs w:val="1"/>
          <w:color w:val="auto"/>
        </w:rPr>
        <w:t>Outstanding Equity Awards at 2024 Fiscal Year-End</w:t>
      </w:r>
    </w:p>
    <w:p>
      <w:pPr>
        <w:spacing w:after="0" w:line="21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stock-based compensaton awards outstanding at the end of fscal 2024 for each of the Named Executve Ofcers.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3"/>
                <w:szCs w:val="13"/>
                <w:b w:val="1"/>
                <w:bCs w:val="1"/>
                <w:color w:val="auto"/>
              </w:rPr>
              <w:t>Opton Awards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3"/>
          </w:tcPr>
          <w:p>
            <w:pPr>
              <w:jc w:val="right"/>
              <w:ind w:right="465"/>
              <w:spacing w:after="0"/>
              <w:rPr>
                <w:sz w:val="20"/>
                <w:szCs w:val="20"/>
                <w:color w:val="auto"/>
              </w:rPr>
            </w:pPr>
            <w:r>
              <w:rPr>
                <w:rFonts w:ascii="Calibri" w:cs="Calibri" w:eastAsia="Calibri" w:hAnsi="Calibri"/>
                <w:sz w:val="13"/>
                <w:szCs w:val="13"/>
                <w:b w:val="1"/>
                <w:bCs w:val="1"/>
                <w:color w:val="auto"/>
              </w:rPr>
              <w:t>Stock Awards</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5" w:lineRule="exact"/>
              <w:rPr>
                <w:sz w:val="20"/>
                <w:szCs w:val="20"/>
                <w:color w:val="auto"/>
              </w:rPr>
            </w:pPr>
            <w:r>
              <w:rPr>
                <w:rFonts w:ascii="Calibri" w:cs="Calibri" w:eastAsia="Calibri" w:hAnsi="Calibri"/>
                <w:sz w:val="13"/>
                <w:szCs w:val="13"/>
                <w:b w:val="1"/>
                <w:bCs w:val="1"/>
                <w:color w:val="auto"/>
                <w:w w:val="93"/>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rPr>
              <w:t>Incentve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rPr>
              <w:t>Plan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3"/>
              </w:rPr>
              <w:t>Equity</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9"/>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Incentve</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Equity</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Plan</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4"/>
              </w:rPr>
              <w:t>Payout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Incentve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Awards:</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7"/>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3"/>
              </w:rPr>
              <w:t>Plan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Market</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7"/>
              </w:rPr>
              <w:t>Unearned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Awards: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3"/>
              </w:rPr>
              <w:t>Value of</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Unearned</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1"/>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Shares or</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1"/>
              </w:rPr>
              <w:t>Shares,</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8"/>
              </w:rPr>
              <w:t>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Securites</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Securites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Securites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Shares or</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Units of</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Units</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or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Underlying</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Underlying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Underlying</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Units of</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Stock</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or Other</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Rights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Unexercised</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Unexercised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Unexercised</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Stock That</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That</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Rights That</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8"/>
              </w:rPr>
              <w:t>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Optons</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Unearned</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Exercise</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3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5"/>
              </w:rPr>
              <w:t>Exercisable</w:t>
            </w:r>
          </w:p>
        </w:tc>
        <w:tc>
          <w:tcPr>
            <w:tcW w:w="24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7"/>
              </w:rPr>
              <w:t>Unexercisable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rPr>
              <w:t>Optons</w:t>
            </w:r>
          </w:p>
        </w:tc>
        <w:tc>
          <w:tcPr>
            <w:tcW w:w="24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7"/>
              </w:rPr>
              <w:t>Price</w:t>
            </w:r>
          </w:p>
        </w:tc>
        <w:tc>
          <w:tcPr>
            <w:tcW w:w="20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rPr>
              <w:t>Expiraton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40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20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360" w:type="dxa"/>
            <w:vAlign w:val="bottom"/>
          </w:tcPr>
          <w:p>
            <w:pPr>
              <w:spacing w:after="0"/>
              <w:rPr>
                <w:sz w:val="11"/>
                <w:szCs w:val="11"/>
                <w:color w:val="auto"/>
              </w:rPr>
            </w:pPr>
          </w:p>
        </w:tc>
        <w:tc>
          <w:tcPr>
            <w:tcW w:w="900" w:type="dxa"/>
            <w:vAlign w:val="bottom"/>
            <w:gridSpan w:val="2"/>
          </w:tcPr>
          <w:p>
            <w:pPr>
              <w:jc w:val="center"/>
              <w:ind w:right="100"/>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0" w:type="dxa"/>
            <w:vAlign w:val="bottom"/>
          </w:tcPr>
          <w:p>
            <w:pPr>
              <w:spacing w:after="0"/>
              <w:rPr>
                <w:sz w:val="1"/>
                <w:szCs w:val="1"/>
                <w:color w:val="auto"/>
              </w:rPr>
            </w:pPr>
          </w:p>
        </w:tc>
      </w:tr>
      <w:tr>
        <w:trPr>
          <w:trHeight w:val="160"/>
        </w:trPr>
        <w:tc>
          <w:tcPr>
            <w:tcW w:w="1420" w:type="dxa"/>
            <w:vAlign w:val="bottom"/>
            <w:gridSpan w:val="3"/>
          </w:tcPr>
          <w:p>
            <w:pPr>
              <w:ind w:left="20"/>
              <w:spacing w:after="0"/>
              <w:rPr>
                <w:sz w:val="20"/>
                <w:szCs w:val="20"/>
                <w:color w:val="auto"/>
              </w:rPr>
            </w:pPr>
            <w:r>
              <w:rPr>
                <w:rFonts w:ascii="Calibri" w:cs="Calibri" w:eastAsia="Calibri" w:hAnsi="Calibri"/>
                <w:sz w:val="13"/>
                <w:szCs w:val="13"/>
                <w:b w:val="1"/>
                <w:bCs w:val="1"/>
                <w:color w:val="auto"/>
              </w:rPr>
              <w:t>Name</w:t>
            </w:r>
          </w:p>
        </w:tc>
        <w:tc>
          <w:tcPr>
            <w:tcW w:w="960" w:type="dxa"/>
            <w:vAlign w:val="bottom"/>
            <w:gridSpan w:val="2"/>
          </w:tcPr>
          <w:p>
            <w:pPr>
              <w:jc w:val="center"/>
              <w:ind w:left="21"/>
              <w:spacing w:after="0"/>
              <w:rPr>
                <w:sz w:val="20"/>
                <w:szCs w:val="20"/>
                <w:color w:val="auto"/>
              </w:rPr>
            </w:pPr>
            <w:r>
              <w:rPr>
                <w:rFonts w:ascii="Calibri" w:cs="Calibri" w:eastAsia="Calibri" w:hAnsi="Calibri"/>
                <w:sz w:val="13"/>
                <w:szCs w:val="13"/>
                <w:b w:val="1"/>
                <w:bCs w:val="1"/>
                <w:color w:val="auto"/>
                <w:w w:val="95"/>
              </w:rPr>
              <w:t>(#)</w:t>
            </w:r>
          </w:p>
        </w:tc>
        <w:tc>
          <w:tcPr>
            <w:tcW w:w="1100" w:type="dxa"/>
            <w:vAlign w:val="bottom"/>
            <w:gridSpan w:val="2"/>
          </w:tcPr>
          <w:p>
            <w:pPr>
              <w:jc w:val="center"/>
              <w:ind w:left="163"/>
              <w:spacing w:after="0"/>
              <w:rPr>
                <w:sz w:val="20"/>
                <w:szCs w:val="20"/>
                <w:color w:val="auto"/>
              </w:rPr>
            </w:pPr>
            <w:r>
              <w:rPr>
                <w:rFonts w:ascii="Calibri" w:cs="Calibri" w:eastAsia="Calibri" w:hAnsi="Calibri"/>
                <w:sz w:val="13"/>
                <w:szCs w:val="13"/>
                <w:b w:val="1"/>
                <w:bCs w:val="1"/>
                <w:color w:val="auto"/>
                <w:w w:val="95"/>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left="97"/>
              <w:spacing w:after="0"/>
              <w:rPr>
                <w:sz w:val="20"/>
                <w:szCs w:val="20"/>
                <w:color w:val="auto"/>
              </w:rPr>
            </w:pPr>
            <w:r>
              <w:rPr>
                <w:rFonts w:ascii="Calibri" w:cs="Calibri" w:eastAsia="Calibri" w:hAnsi="Calibri"/>
                <w:sz w:val="13"/>
                <w:szCs w:val="13"/>
                <w:b w:val="1"/>
                <w:bCs w:val="1"/>
                <w:color w:val="auto"/>
                <w:w w:val="95"/>
              </w:rPr>
              <w:t>(#)</w:t>
            </w:r>
          </w:p>
        </w:tc>
        <w:tc>
          <w:tcPr>
            <w:tcW w:w="920" w:type="dxa"/>
            <w:vAlign w:val="bottom"/>
            <w:gridSpan w:val="2"/>
          </w:tcPr>
          <w:p>
            <w:pPr>
              <w:jc w:val="center"/>
              <w:ind w:left="140"/>
              <w:spacing w:after="0"/>
              <w:rPr>
                <w:sz w:val="20"/>
                <w:szCs w:val="20"/>
                <w:color w:val="auto"/>
              </w:rPr>
            </w:pPr>
            <w:r>
              <w:rPr>
                <w:rFonts w:ascii="Calibri" w:cs="Calibri" w:eastAsia="Calibri" w:hAnsi="Calibri"/>
                <w:sz w:val="13"/>
                <w:szCs w:val="13"/>
                <w:b w:val="1"/>
                <w:bCs w:val="1"/>
                <w:color w:val="auto"/>
                <w:w w:val="94"/>
              </w:rPr>
              <w:t>($)</w:t>
            </w: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Date</w:t>
            </w:r>
          </w:p>
        </w:tc>
        <w:tc>
          <w:tcPr>
            <w:tcW w:w="1060" w:type="dxa"/>
            <w:vAlign w:val="bottom"/>
            <w:gridSpan w:val="3"/>
          </w:tcPr>
          <w:p>
            <w:pPr>
              <w:jc w:val="center"/>
              <w:ind w:left="157"/>
              <w:spacing w:after="0"/>
              <w:rPr>
                <w:sz w:val="20"/>
                <w:szCs w:val="20"/>
                <w:color w:val="auto"/>
              </w:rPr>
            </w:pPr>
            <w:r>
              <w:rPr>
                <w:rFonts w:ascii="Calibri" w:cs="Calibri" w:eastAsia="Calibri" w:hAnsi="Calibri"/>
                <w:sz w:val="13"/>
                <w:szCs w:val="13"/>
                <w:b w:val="1"/>
                <w:bCs w:val="1"/>
                <w:color w:val="auto"/>
              </w:rPr>
              <w:t>(#)</w:t>
            </w:r>
          </w:p>
        </w:tc>
        <w:tc>
          <w:tcPr>
            <w:tcW w:w="4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Calibri" w:cs="Calibri" w:eastAsia="Calibri" w:hAnsi="Calibri"/>
                <w:sz w:val="13"/>
                <w:szCs w:val="13"/>
                <w:b w:val="1"/>
                <w:bCs w:val="1"/>
                <w:color w:val="auto"/>
                <w:w w:val="89"/>
              </w:rPr>
              <w:t>($)</w:t>
            </w:r>
            <w:r>
              <w:rPr>
                <w:rFonts w:ascii="Calibri" w:cs="Calibri" w:eastAsia="Calibri" w:hAnsi="Calibri"/>
                <w:sz w:val="16"/>
                <w:szCs w:val="16"/>
                <w:b w:val="1"/>
                <w:bCs w:val="1"/>
                <w:color w:val="auto"/>
                <w:w w:val="89"/>
                <w:vertAlign w:val="superscript"/>
              </w:rPr>
              <w:t>(1)</w:t>
            </w:r>
          </w:p>
        </w:tc>
        <w:tc>
          <w:tcPr>
            <w:tcW w:w="880" w:type="dxa"/>
            <w:vAlign w:val="bottom"/>
            <w:gridSpan w:val="2"/>
          </w:tcPr>
          <w:p>
            <w:pPr>
              <w:jc w:val="center"/>
              <w:ind w:left="121"/>
              <w:spacing w:after="0"/>
              <w:rPr>
                <w:sz w:val="20"/>
                <w:szCs w:val="20"/>
                <w:color w:val="auto"/>
              </w:rPr>
            </w:pPr>
            <w:r>
              <w:rPr>
                <w:rFonts w:ascii="Calibri" w:cs="Calibri" w:eastAsia="Calibri" w:hAnsi="Calibri"/>
                <w:sz w:val="13"/>
                <w:szCs w:val="13"/>
                <w:b w:val="1"/>
                <w:bCs w:val="1"/>
                <w:color w:val="auto"/>
              </w:rPr>
              <w:t>(#)</w:t>
            </w:r>
          </w:p>
        </w:tc>
        <w:tc>
          <w:tcPr>
            <w:tcW w:w="3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Calibri" w:cs="Calibri" w:eastAsia="Calibri" w:hAnsi="Calibri"/>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20" w:type="dxa"/>
            <w:vAlign w:val="bottom"/>
            <w:gridSpan w:val="3"/>
            <w:shd w:val="clear" w:color="auto" w:fill="CFF0FC"/>
          </w:tcPr>
          <w:p>
            <w:pPr>
              <w:ind w:left="20"/>
              <w:spacing w:after="0" w:line="174" w:lineRule="exact"/>
              <w:rPr>
                <w:sz w:val="20"/>
                <w:szCs w:val="20"/>
                <w:color w:val="auto"/>
              </w:rPr>
            </w:pPr>
            <w:r>
              <w:rPr>
                <w:rFonts w:ascii="Calibri" w:cs="Calibri" w:eastAsia="Calibri" w:hAnsi="Calibri"/>
                <w:sz w:val="16"/>
                <w:szCs w:val="16"/>
                <w:color w:val="auto"/>
              </w:rPr>
              <w:t>Michael R. Haack</w:t>
            </w:r>
          </w:p>
        </w:tc>
        <w:tc>
          <w:tcPr>
            <w:tcW w:w="960" w:type="dxa"/>
            <w:vAlign w:val="bottom"/>
            <w:gridSpan w:val="2"/>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20,979</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ind w:left="700"/>
              <w:spacing w:after="0" w:line="174" w:lineRule="exact"/>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91.58</w:t>
            </w:r>
          </w:p>
        </w:tc>
        <w:tc>
          <w:tcPr>
            <w:tcW w:w="1100" w:type="dxa"/>
            <w:vAlign w:val="bottom"/>
            <w:gridSpan w:val="2"/>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05/16/2029</w:t>
            </w:r>
          </w:p>
        </w:tc>
        <w:tc>
          <w:tcPr>
            <w:tcW w:w="120" w:type="dxa"/>
            <w:vAlign w:val="bottom"/>
            <w:tcBorders>
              <w:right w:val="single" w:sz="8" w:color="auto"/>
            </w:tcBorders>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4,309</w:t>
            </w:r>
          </w:p>
        </w:tc>
        <w:tc>
          <w:tcPr>
            <w:tcW w:w="400" w:type="dxa"/>
            <w:vAlign w:val="bottom"/>
            <w:shd w:val="clear" w:color="auto" w:fill="CFF0FC"/>
          </w:tcPr>
          <w:p>
            <w:pPr>
              <w:ind w:left="120"/>
              <w:spacing w:after="0" w:line="128" w:lineRule="exact"/>
              <w:rPr>
                <w:sz w:val="20"/>
                <w:szCs w:val="20"/>
                <w:color w:val="auto"/>
              </w:rPr>
            </w:pPr>
            <w:r>
              <w:rPr>
                <w:rFonts w:ascii="Calibri" w:cs="Calibri" w:eastAsia="Calibri" w:hAnsi="Calibri"/>
                <w:sz w:val="11"/>
                <w:szCs w:val="11"/>
                <w:color w:val="auto"/>
              </w:rPr>
              <w:t>(4)</w:t>
            </w:r>
          </w:p>
        </w:tc>
        <w:tc>
          <w:tcPr>
            <w:tcW w:w="840" w:type="dxa"/>
            <w:vAlign w:val="bottom"/>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$ 1,170,971</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74" w:lineRule="exact"/>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line="174"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35,662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3,590</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(5)</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975,583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19,812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8,022</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(6)</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2,179,979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6,954</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6,953</w:t>
            </w:r>
          </w:p>
        </w:tc>
        <w:tc>
          <w:tcPr>
            <w:tcW w:w="280" w:type="dxa"/>
            <w:vAlign w:val="bottom"/>
            <w:gridSpan w:val="2"/>
            <w:shd w:val="clear" w:color="auto" w:fill="CFF0FC"/>
          </w:tcPr>
          <w:p>
            <w:pPr>
              <w:jc w:val="right"/>
              <w:ind w:right="20"/>
              <w:spacing w:after="0"/>
              <w:rPr>
                <w:sz w:val="20"/>
                <w:szCs w:val="20"/>
                <w:color w:val="auto"/>
              </w:rPr>
            </w:pPr>
            <w:r>
              <w:rPr>
                <w:rFonts w:ascii="Calibri" w:cs="Calibri" w:eastAsia="Calibri" w:hAnsi="Calibri"/>
                <w:sz w:val="11"/>
                <w:szCs w:val="11"/>
                <w:color w:val="auto"/>
              </w:rPr>
              <w:t>(2)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126.22</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05/19/2032</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6,684</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(7)</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1,816,377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5,795</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5,794</w:t>
            </w:r>
          </w:p>
        </w:tc>
        <w:tc>
          <w:tcPr>
            <w:tcW w:w="280" w:type="dxa"/>
            <w:vAlign w:val="bottom"/>
            <w:gridSpan w:val="2"/>
            <w:shd w:val="clear" w:color="auto" w:fill="CFF0FC"/>
          </w:tcPr>
          <w:p>
            <w:pPr>
              <w:jc w:val="right"/>
              <w:ind w:right="20"/>
              <w:spacing w:after="0"/>
              <w:rPr>
                <w:sz w:val="20"/>
                <w:szCs w:val="20"/>
                <w:color w:val="auto"/>
              </w:rPr>
            </w:pPr>
            <w:r>
              <w:rPr>
                <w:rFonts w:ascii="Calibri" w:cs="Calibri" w:eastAsia="Calibri" w:hAnsi="Calibri"/>
                <w:sz w:val="11"/>
                <w:szCs w:val="11"/>
                <w:color w:val="auto"/>
              </w:rPr>
              <w:t>(3)</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126.22</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05/19/2032</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4,318</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(8)</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1,173,417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1,173,41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6"/>
                <w:szCs w:val="16"/>
                <w:color w:val="auto"/>
              </w:rPr>
              <w:t>4,318</w:t>
            </w:r>
          </w:p>
        </w:tc>
        <w:tc>
          <w:tcPr>
            <w:tcW w:w="3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1"/>
                <w:szCs w:val="11"/>
                <w:color w:val="auto"/>
              </w:rPr>
              <w:t>(9)</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2,346,83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vMerge w:val="restart"/>
          </w:tcPr>
          <w:p>
            <w:pPr>
              <w:ind w:left="120"/>
              <w:spacing w:after="0"/>
              <w:rPr>
                <w:sz w:val="20"/>
                <w:szCs w:val="20"/>
                <w:color w:val="auto"/>
              </w:rPr>
            </w:pPr>
            <w:r>
              <w:rPr>
                <w:rFonts w:ascii="Calibri" w:cs="Calibri" w:eastAsia="Calibri" w:hAnsi="Calibri"/>
                <w:sz w:val="11"/>
                <w:szCs w:val="11"/>
                <w:color w:val="auto"/>
              </w:rPr>
              <w:t>(11</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6"/>
                <w:szCs w:val="16"/>
                <w:color w:val="auto"/>
              </w:rPr>
              <w:t>8,636</w:t>
            </w:r>
          </w:p>
        </w:tc>
        <w:tc>
          <w:tcPr>
            <w:tcW w:w="360" w:type="dxa"/>
            <w:vAlign w:val="bottom"/>
          </w:tcPr>
          <w:p>
            <w:pPr>
              <w:ind w:left="120"/>
              <w:spacing w:after="0" w:line="130" w:lineRule="exact"/>
              <w:rPr>
                <w:sz w:val="20"/>
                <w:szCs w:val="20"/>
                <w:color w:val="auto"/>
              </w:rPr>
            </w:pPr>
            <w:r>
              <w:rPr>
                <w:rFonts w:ascii="Calibri" w:cs="Calibri" w:eastAsia="Calibri" w:hAnsi="Calibri"/>
                <w:sz w:val="11"/>
                <w:szCs w:val="11"/>
                <w:color w:val="auto"/>
              </w:rPr>
              <w:t>(10)</w:t>
            </w:r>
          </w:p>
        </w:tc>
        <w:tc>
          <w:tcPr>
            <w:tcW w:w="800" w:type="dxa"/>
            <w:vAlign w:val="bottom"/>
          </w:tcPr>
          <w:p>
            <w:pPr>
              <w:jc w:val="right"/>
              <w:spacing w:after="0"/>
              <w:rPr>
                <w:sz w:val="20"/>
                <w:szCs w:val="20"/>
                <w:color w:val="auto"/>
              </w:rPr>
            </w:pPr>
            <w:r>
              <w:rPr>
                <w:rFonts w:ascii="Calibri" w:cs="Calibri" w:eastAsia="Calibri" w:hAnsi="Calibri"/>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CFF0FC"/>
            </w:tcBorders>
            <w:shd w:val="clear" w:color="auto" w:fill="CFF0FC"/>
          </w:tcPr>
          <w:p>
            <w:pPr>
              <w:spacing w:after="0"/>
              <w:rPr>
                <w:sz w:val="6"/>
                <w:szCs w:val="6"/>
                <w:color w:val="auto"/>
              </w:rPr>
            </w:pPr>
          </w:p>
        </w:tc>
        <w:tc>
          <w:tcPr>
            <w:tcW w:w="320" w:type="dxa"/>
            <w:vAlign w:val="bottom"/>
            <w:tcBorders>
              <w:bottom w:val="single" w:sz="8" w:color="CFF0FC"/>
            </w:tcBorders>
            <w:shd w:val="clear" w:color="auto" w:fill="CFF0FC"/>
          </w:tcPr>
          <w:p>
            <w:pPr>
              <w:spacing w:after="0"/>
              <w:rPr>
                <w:sz w:val="6"/>
                <w:szCs w:val="6"/>
                <w:color w:val="auto"/>
              </w:rPr>
            </w:pPr>
          </w:p>
        </w:tc>
        <w:tc>
          <w:tcPr>
            <w:tcW w:w="1080" w:type="dxa"/>
            <w:vAlign w:val="bottom"/>
            <w:tcBorders>
              <w:bottom w:val="single" w:sz="8" w:color="CFF0FC"/>
            </w:tcBorders>
            <w:shd w:val="clear" w:color="auto" w:fill="CFF0FC"/>
          </w:tcPr>
          <w:p>
            <w:pPr>
              <w:spacing w:after="0"/>
              <w:rPr>
                <w:sz w:val="6"/>
                <w:szCs w:val="6"/>
                <w:color w:val="auto"/>
              </w:rPr>
            </w:pPr>
          </w:p>
        </w:tc>
        <w:tc>
          <w:tcPr>
            <w:tcW w:w="120" w:type="dxa"/>
            <w:vAlign w:val="bottom"/>
            <w:tcBorders>
              <w:bottom w:val="single" w:sz="8" w:color="CFF0FC"/>
            </w:tcBorders>
            <w:shd w:val="clear" w:color="auto" w:fill="CFF0FC"/>
          </w:tcPr>
          <w:p>
            <w:pPr>
              <w:spacing w:after="0"/>
              <w:rPr>
                <w:sz w:val="6"/>
                <w:szCs w:val="6"/>
                <w:color w:val="auto"/>
              </w:rPr>
            </w:pPr>
          </w:p>
        </w:tc>
        <w:tc>
          <w:tcPr>
            <w:tcW w:w="840" w:type="dxa"/>
            <w:vAlign w:val="bottom"/>
            <w:tcBorders>
              <w:bottom w:val="single" w:sz="8" w:color="CFF0FC"/>
            </w:tcBorders>
            <w:shd w:val="clear" w:color="auto" w:fill="CFF0FC"/>
          </w:tcPr>
          <w:p>
            <w:pPr>
              <w:spacing w:after="0"/>
              <w:rPr>
                <w:sz w:val="6"/>
                <w:szCs w:val="6"/>
                <w:color w:val="auto"/>
              </w:rPr>
            </w:pPr>
          </w:p>
        </w:tc>
        <w:tc>
          <w:tcPr>
            <w:tcW w:w="240" w:type="dxa"/>
            <w:vAlign w:val="bottom"/>
            <w:tcBorders>
              <w:bottom w:val="single" w:sz="8" w:color="CFF0FC"/>
            </w:tcBorders>
            <w:shd w:val="clear" w:color="auto" w:fill="CFF0FC"/>
          </w:tcPr>
          <w:p>
            <w:pPr>
              <w:spacing w:after="0"/>
              <w:rPr>
                <w:sz w:val="6"/>
                <w:szCs w:val="6"/>
                <w:color w:val="auto"/>
              </w:rPr>
            </w:pPr>
          </w:p>
        </w:tc>
        <w:tc>
          <w:tcPr>
            <w:tcW w:w="860" w:type="dxa"/>
            <w:vAlign w:val="bottom"/>
            <w:tcBorders>
              <w:bottom w:val="single" w:sz="8" w:color="CFF0FC"/>
            </w:tcBorders>
            <w:shd w:val="clear" w:color="auto" w:fill="CFF0FC"/>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9,595</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2,607,441</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1"/>
        </w:trPr>
        <w:tc>
          <w:tcPr>
            <w:tcW w:w="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vMerge w:val="restart"/>
          </w:tcPr>
          <w:p>
            <w:pPr>
              <w:ind w:left="120"/>
              <w:spacing w:after="0"/>
              <w:rPr>
                <w:sz w:val="20"/>
                <w:szCs w:val="20"/>
                <w:color w:val="auto"/>
              </w:rPr>
            </w:pPr>
            <w:r>
              <w:rPr>
                <w:rFonts w:ascii="Calibri" w:cs="Calibri" w:eastAsia="Calibri" w:hAnsi="Calibri"/>
                <w:sz w:val="11"/>
                <w:szCs w:val="11"/>
                <w:color w:val="auto"/>
              </w:rPr>
              <w:t>(12</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1420" w:type="dxa"/>
            <w:vAlign w:val="bottom"/>
            <w:gridSpan w:val="3"/>
            <w:vMerge w:val="restart"/>
          </w:tcPr>
          <w:p>
            <w:pPr>
              <w:ind w:left="20"/>
              <w:spacing w:after="0" w:line="193" w:lineRule="exact"/>
              <w:rPr>
                <w:sz w:val="20"/>
                <w:szCs w:val="20"/>
                <w:color w:val="auto"/>
              </w:rPr>
            </w:pPr>
            <w:r>
              <w:rPr>
                <w:rFonts w:ascii="Calibri" w:cs="Calibri" w:eastAsia="Calibri" w:hAnsi="Calibri"/>
                <w:sz w:val="16"/>
                <w:szCs w:val="16"/>
                <w:color w:val="auto"/>
              </w:rPr>
              <w:t>D. Craig Kesler</w:t>
            </w: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20" w:type="dxa"/>
            <w:vAlign w:val="bottom"/>
            <w:gridSpan w:val="3"/>
            <w:vMerge w:val="continue"/>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9,646</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91.58</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05/16/2029</w:t>
            </w: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11,667</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3,170,507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9,135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91.58</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05/16/2029</w:t>
            </w: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1,077</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(4)</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292,675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8,586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897</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(5)</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243,760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11,322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1,782</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(6)</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484,259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1,546</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1,545</w:t>
            </w:r>
          </w:p>
        </w:tc>
        <w:tc>
          <w:tcPr>
            <w:tcW w:w="280" w:type="dxa"/>
            <w:vAlign w:val="bottom"/>
            <w:gridSpan w:val="2"/>
          </w:tcPr>
          <w:p>
            <w:pPr>
              <w:jc w:val="right"/>
              <w:ind w:right="20"/>
              <w:spacing w:after="0"/>
              <w:rPr>
                <w:sz w:val="20"/>
                <w:szCs w:val="20"/>
                <w:color w:val="auto"/>
              </w:rPr>
            </w:pPr>
            <w:r>
              <w:rPr>
                <w:rFonts w:ascii="Calibri" w:cs="Calibri" w:eastAsia="Calibri" w:hAnsi="Calibri"/>
                <w:sz w:val="11"/>
                <w:szCs w:val="11"/>
                <w:color w:val="auto"/>
              </w:rPr>
              <w:t>(2)</w:t>
            </w: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126.22</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05/19/2032</w:t>
            </w: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1,486</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(7)</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403,821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1,288</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1,288</w:t>
            </w:r>
          </w:p>
        </w:tc>
        <w:tc>
          <w:tcPr>
            <w:tcW w:w="280" w:type="dxa"/>
            <w:vAlign w:val="bottom"/>
            <w:gridSpan w:val="2"/>
          </w:tcPr>
          <w:p>
            <w:pPr>
              <w:jc w:val="right"/>
              <w:ind w:right="20"/>
              <w:spacing w:after="0"/>
              <w:rPr>
                <w:sz w:val="20"/>
                <w:szCs w:val="20"/>
                <w:color w:val="auto"/>
              </w:rPr>
            </w:pPr>
            <w:r>
              <w:rPr>
                <w:rFonts w:ascii="Calibri" w:cs="Calibri" w:eastAsia="Calibri" w:hAnsi="Calibri"/>
                <w:sz w:val="11"/>
                <w:szCs w:val="11"/>
                <w:color w:val="auto"/>
              </w:rPr>
              <w:t>(3)</w:t>
            </w: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126.22</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05/19/2032</w:t>
            </w: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1,170</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(8)</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317,948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6"/>
                <w:szCs w:val="16"/>
                <w:color w:val="auto"/>
              </w:rPr>
              <w:t>1,170</w:t>
            </w:r>
          </w:p>
        </w:tc>
        <w:tc>
          <w:tcPr>
            <w:tcW w:w="360" w:type="dxa"/>
            <w:vAlign w:val="bottom"/>
          </w:tcPr>
          <w:p>
            <w:pPr>
              <w:ind w:left="120"/>
              <w:spacing w:after="0"/>
              <w:rPr>
                <w:sz w:val="20"/>
                <w:szCs w:val="20"/>
                <w:color w:val="auto"/>
              </w:rPr>
            </w:pPr>
            <w:r>
              <w:rPr>
                <w:rFonts w:ascii="Calibri" w:cs="Calibri" w:eastAsia="Calibri" w:hAnsi="Calibri"/>
                <w:sz w:val="11"/>
                <w:szCs w:val="11"/>
                <w:color w:val="auto"/>
              </w:rPr>
              <w:t>(9)</w:t>
            </w:r>
          </w:p>
        </w:tc>
        <w:tc>
          <w:tcPr>
            <w:tcW w:w="800" w:type="dxa"/>
            <w:vAlign w:val="bottom"/>
          </w:tcPr>
          <w:p>
            <w:pPr>
              <w:jc w:val="right"/>
              <w:spacing w:after="0"/>
              <w:rPr>
                <w:sz w:val="20"/>
                <w:szCs w:val="20"/>
                <w:color w:val="auto"/>
              </w:rPr>
            </w:pPr>
            <w:r>
              <w:rPr>
                <w:rFonts w:ascii="Calibri" w:cs="Calibri" w:eastAsia="Calibri" w:hAnsi="Calibri"/>
                <w:sz w:val="16"/>
                <w:szCs w:val="16"/>
                <w:color w:val="auto"/>
              </w:rPr>
              <w:t>317,948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vMerge w:val="restart"/>
          </w:tcPr>
          <w:p>
            <w:pPr>
              <w:ind w:left="120"/>
              <w:spacing w:after="0"/>
              <w:rPr>
                <w:sz w:val="20"/>
                <w:szCs w:val="20"/>
                <w:color w:val="auto"/>
              </w:rPr>
            </w:pPr>
            <w:r>
              <w:rPr>
                <w:rFonts w:ascii="Calibri" w:cs="Calibri" w:eastAsia="Calibri" w:hAnsi="Calibri"/>
                <w:sz w:val="11"/>
                <w:szCs w:val="11"/>
                <w:color w:val="auto"/>
              </w:rPr>
              <w:t>(11</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6"/>
                <w:szCs w:val="16"/>
                <w:color w:val="auto"/>
              </w:rPr>
              <w:t>2,339</w:t>
            </w:r>
          </w:p>
        </w:tc>
        <w:tc>
          <w:tcPr>
            <w:tcW w:w="360" w:type="dxa"/>
            <w:vAlign w:val="bottom"/>
          </w:tcPr>
          <w:p>
            <w:pPr>
              <w:ind w:left="120"/>
              <w:spacing w:after="0"/>
              <w:rPr>
                <w:sz w:val="20"/>
                <w:szCs w:val="20"/>
                <w:color w:val="auto"/>
              </w:rPr>
            </w:pPr>
            <w:r>
              <w:rPr>
                <w:rFonts w:ascii="Calibri" w:cs="Calibri" w:eastAsia="Calibri" w:hAnsi="Calibri"/>
                <w:sz w:val="11"/>
                <w:szCs w:val="11"/>
                <w:color w:val="auto"/>
              </w:rPr>
              <w:t>(10)</w:t>
            </w:r>
          </w:p>
        </w:tc>
        <w:tc>
          <w:tcPr>
            <w:tcW w:w="800" w:type="dxa"/>
            <w:vAlign w:val="bottom"/>
          </w:tcPr>
          <w:p>
            <w:pPr>
              <w:jc w:val="right"/>
              <w:spacing w:after="0"/>
              <w:rPr>
                <w:sz w:val="20"/>
                <w:szCs w:val="20"/>
                <w:color w:val="auto"/>
              </w:rPr>
            </w:pPr>
            <w:r>
              <w:rPr>
                <w:rFonts w:ascii="Calibri" w:cs="Calibri" w:eastAsia="Calibri" w:hAnsi="Calibri"/>
                <w:sz w:val="16"/>
                <w:szCs w:val="16"/>
                <w:color w:val="auto"/>
              </w:rPr>
              <w:t>635,623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2,599</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706,278</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6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420" w:type="dxa"/>
            <w:vAlign w:val="bottom"/>
            <w:gridSpan w:val="3"/>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Mat Newby</w:t>
            </w:r>
          </w:p>
        </w:tc>
        <w:tc>
          <w:tcPr>
            <w:tcW w:w="9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3,859</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ind w:left="700"/>
              <w:spacing w:after="0" w:line="193" w:lineRule="exact"/>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91.58</w:t>
            </w:r>
          </w:p>
        </w:tc>
        <w:tc>
          <w:tcPr>
            <w:tcW w:w="11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05/16/2029</w:t>
            </w:r>
          </w:p>
        </w:tc>
        <w:tc>
          <w:tcPr>
            <w:tcW w:w="120" w:type="dxa"/>
            <w:vAlign w:val="bottom"/>
            <w:tcBorders>
              <w:right w:val="single" w:sz="8" w:color="auto"/>
            </w:tcBorders>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431</w:t>
            </w:r>
          </w:p>
        </w:tc>
        <w:tc>
          <w:tcPr>
            <w:tcW w:w="400" w:type="dxa"/>
            <w:vAlign w:val="bottom"/>
            <w:shd w:val="clear" w:color="auto" w:fill="CFF0FC"/>
          </w:tcPr>
          <w:p>
            <w:pPr>
              <w:ind w:left="120"/>
              <w:spacing w:after="0" w:line="128" w:lineRule="exact"/>
              <w:rPr>
                <w:sz w:val="20"/>
                <w:szCs w:val="20"/>
                <w:color w:val="auto"/>
              </w:rPr>
            </w:pPr>
            <w:r>
              <w:rPr>
                <w:rFonts w:ascii="Calibri" w:cs="Calibri" w:eastAsia="Calibri" w:hAnsi="Calibri"/>
                <w:sz w:val="11"/>
                <w:szCs w:val="11"/>
                <w:color w:val="auto"/>
              </w:rPr>
              <w:t>(4)</w:t>
            </w:r>
          </w:p>
        </w:tc>
        <w:tc>
          <w:tcPr>
            <w:tcW w:w="8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117,124</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3,654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91.58</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05/16/2029</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359</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(5)</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97,558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2,718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1,664</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(6)</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452,192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2,265</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1,386</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(7)</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376,646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675</w:t>
            </w:r>
          </w:p>
        </w:tc>
        <w:tc>
          <w:tcPr>
            <w:tcW w:w="400" w:type="dxa"/>
            <w:vAlign w:val="bottom"/>
            <w:shd w:val="clear" w:color="auto" w:fill="CFF0FC"/>
          </w:tcPr>
          <w:p>
            <w:pPr>
              <w:ind w:left="120"/>
              <w:spacing w:after="0"/>
              <w:rPr>
                <w:sz w:val="20"/>
                <w:szCs w:val="20"/>
                <w:color w:val="auto"/>
              </w:rPr>
            </w:pPr>
            <w:r>
              <w:rPr>
                <w:rFonts w:ascii="Calibri" w:cs="Calibri" w:eastAsia="Calibri" w:hAnsi="Calibri"/>
                <w:sz w:val="11"/>
                <w:szCs w:val="11"/>
                <w:color w:val="auto"/>
              </w:rPr>
              <w:t>(8)</w:t>
            </w:r>
          </w:p>
        </w:tc>
        <w:tc>
          <w:tcPr>
            <w:tcW w:w="8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183,431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6"/>
                <w:szCs w:val="16"/>
                <w:color w:val="auto"/>
              </w:rPr>
              <w:t>675</w:t>
            </w:r>
          </w:p>
        </w:tc>
        <w:tc>
          <w:tcPr>
            <w:tcW w:w="3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1"/>
                <w:szCs w:val="11"/>
                <w:color w:val="auto"/>
              </w:rPr>
              <w:t>(9)</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183,431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400" w:type="dxa"/>
            <w:vAlign w:val="bottom"/>
            <w:vMerge w:val="restart"/>
          </w:tcPr>
          <w:p>
            <w:pPr>
              <w:ind w:left="120"/>
              <w:spacing w:after="0"/>
              <w:rPr>
                <w:sz w:val="20"/>
                <w:szCs w:val="20"/>
                <w:color w:val="auto"/>
              </w:rPr>
            </w:pPr>
            <w:r>
              <w:rPr>
                <w:rFonts w:ascii="Calibri" w:cs="Calibri" w:eastAsia="Calibri" w:hAnsi="Calibri"/>
                <w:sz w:val="11"/>
                <w:szCs w:val="11"/>
                <w:color w:val="auto"/>
              </w:rPr>
              <w:t>(11</w:t>
            </w: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8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1,350</w:t>
            </w:r>
          </w:p>
        </w:tc>
        <w:tc>
          <w:tcPr>
            <w:tcW w:w="360" w:type="dxa"/>
            <w:vAlign w:val="bottom"/>
          </w:tcPr>
          <w:p>
            <w:pPr>
              <w:ind w:left="120"/>
              <w:spacing w:after="0" w:line="128" w:lineRule="exact"/>
              <w:rPr>
                <w:sz w:val="20"/>
                <w:szCs w:val="20"/>
                <w:color w:val="auto"/>
              </w:rPr>
            </w:pPr>
            <w:r>
              <w:rPr>
                <w:rFonts w:ascii="Calibri" w:cs="Calibri" w:eastAsia="Calibri" w:hAnsi="Calibri"/>
                <w:sz w:val="11"/>
                <w:szCs w:val="11"/>
                <w:color w:val="auto"/>
              </w:rPr>
              <w:t>(10)</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366,863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CFF0FC"/>
            </w:tcBorders>
            <w:shd w:val="clear" w:color="auto" w:fill="CFF0FC"/>
          </w:tcPr>
          <w:p>
            <w:pPr>
              <w:spacing w:after="0"/>
              <w:rPr>
                <w:sz w:val="6"/>
                <w:szCs w:val="6"/>
                <w:color w:val="auto"/>
              </w:rPr>
            </w:pPr>
          </w:p>
        </w:tc>
        <w:tc>
          <w:tcPr>
            <w:tcW w:w="320" w:type="dxa"/>
            <w:vAlign w:val="bottom"/>
            <w:tcBorders>
              <w:bottom w:val="single" w:sz="8" w:color="CFF0FC"/>
            </w:tcBorders>
            <w:shd w:val="clear" w:color="auto" w:fill="CFF0FC"/>
          </w:tcPr>
          <w:p>
            <w:pPr>
              <w:spacing w:after="0"/>
              <w:rPr>
                <w:sz w:val="6"/>
                <w:szCs w:val="6"/>
                <w:color w:val="auto"/>
              </w:rPr>
            </w:pPr>
          </w:p>
        </w:tc>
        <w:tc>
          <w:tcPr>
            <w:tcW w:w="1080" w:type="dxa"/>
            <w:vAlign w:val="bottom"/>
            <w:tcBorders>
              <w:bottom w:val="single" w:sz="8" w:color="CFF0FC"/>
            </w:tcBorders>
            <w:shd w:val="clear" w:color="auto" w:fill="CFF0FC"/>
          </w:tcPr>
          <w:p>
            <w:pPr>
              <w:spacing w:after="0"/>
              <w:rPr>
                <w:sz w:val="6"/>
                <w:szCs w:val="6"/>
                <w:color w:val="auto"/>
              </w:rPr>
            </w:pPr>
          </w:p>
        </w:tc>
        <w:tc>
          <w:tcPr>
            <w:tcW w:w="120" w:type="dxa"/>
            <w:vAlign w:val="bottom"/>
            <w:tcBorders>
              <w:bottom w:val="single" w:sz="8" w:color="CFF0FC"/>
            </w:tcBorders>
            <w:shd w:val="clear" w:color="auto" w:fill="CFF0FC"/>
          </w:tcPr>
          <w:p>
            <w:pPr>
              <w:spacing w:after="0"/>
              <w:rPr>
                <w:sz w:val="6"/>
                <w:szCs w:val="6"/>
                <w:color w:val="auto"/>
              </w:rPr>
            </w:pPr>
          </w:p>
        </w:tc>
        <w:tc>
          <w:tcPr>
            <w:tcW w:w="840" w:type="dxa"/>
            <w:vAlign w:val="bottom"/>
            <w:tcBorders>
              <w:bottom w:val="single" w:sz="8" w:color="CFF0FC"/>
            </w:tcBorders>
            <w:shd w:val="clear" w:color="auto" w:fill="CFF0FC"/>
          </w:tcPr>
          <w:p>
            <w:pPr>
              <w:spacing w:after="0"/>
              <w:rPr>
                <w:sz w:val="6"/>
                <w:szCs w:val="6"/>
                <w:color w:val="auto"/>
              </w:rPr>
            </w:pPr>
          </w:p>
        </w:tc>
        <w:tc>
          <w:tcPr>
            <w:tcW w:w="240" w:type="dxa"/>
            <w:vAlign w:val="bottom"/>
            <w:tcBorders>
              <w:bottom w:val="single" w:sz="8" w:color="CFF0FC"/>
            </w:tcBorders>
            <w:shd w:val="clear" w:color="auto" w:fill="CFF0FC"/>
          </w:tcPr>
          <w:p>
            <w:pPr>
              <w:spacing w:after="0"/>
              <w:rPr>
                <w:sz w:val="6"/>
                <w:szCs w:val="6"/>
                <w:color w:val="auto"/>
              </w:rPr>
            </w:pPr>
          </w:p>
        </w:tc>
        <w:tc>
          <w:tcPr>
            <w:tcW w:w="860" w:type="dxa"/>
            <w:vAlign w:val="bottom"/>
            <w:tcBorders>
              <w:bottom w:val="single" w:sz="8" w:color="CFF0FC"/>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1,499</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407,353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420" w:type="dxa"/>
            <w:vAlign w:val="bottom"/>
            <w:gridSpan w:val="3"/>
          </w:tcPr>
          <w:p>
            <w:pPr>
              <w:ind w:left="20"/>
              <w:spacing w:after="0" w:line="193" w:lineRule="exact"/>
              <w:rPr>
                <w:sz w:val="20"/>
                <w:szCs w:val="20"/>
                <w:color w:val="auto"/>
              </w:rPr>
            </w:pPr>
            <w:r>
              <w:rPr>
                <w:rFonts w:ascii="Calibri" w:cs="Calibri" w:eastAsia="Calibri" w:hAnsi="Calibri"/>
                <w:sz w:val="16"/>
                <w:szCs w:val="16"/>
                <w:color w:val="auto"/>
              </w:rPr>
              <w:t>Eric Cribbs</w:t>
            </w:r>
          </w:p>
        </w:tc>
        <w:tc>
          <w:tcPr>
            <w:tcW w:w="1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764</w:t>
            </w:r>
          </w:p>
        </w:tc>
        <w:tc>
          <w:tcPr>
            <w:tcW w:w="24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700"/>
              <w:spacing w:after="0" w:line="193" w:lineRule="exact"/>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60.21</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tcPr>
          <w:p>
            <w:pPr>
              <w:spacing w:after="0"/>
              <w:rPr>
                <w:sz w:val="16"/>
                <w:szCs w:val="16"/>
                <w:color w:val="auto"/>
              </w:rPr>
            </w:pPr>
          </w:p>
        </w:tc>
        <w:tc>
          <w:tcPr>
            <w:tcW w:w="9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484</w:t>
            </w:r>
          </w:p>
        </w:tc>
        <w:tc>
          <w:tcPr>
            <w:tcW w:w="400" w:type="dxa"/>
            <w:vAlign w:val="bottom"/>
          </w:tcPr>
          <w:p>
            <w:pPr>
              <w:ind w:left="120"/>
              <w:spacing w:after="0" w:line="128" w:lineRule="exact"/>
              <w:rPr>
                <w:sz w:val="20"/>
                <w:szCs w:val="20"/>
                <w:color w:val="auto"/>
              </w:rPr>
            </w:pPr>
            <w:r>
              <w:rPr>
                <w:rFonts w:ascii="Calibri" w:cs="Calibri" w:eastAsia="Calibri" w:hAnsi="Calibri"/>
                <w:sz w:val="11"/>
                <w:szCs w:val="11"/>
                <w:color w:val="auto"/>
              </w:rPr>
              <w:t>(4)</w:t>
            </w: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131,527</w:t>
            </w:r>
          </w:p>
        </w:tc>
        <w:tc>
          <w:tcPr>
            <w:tcW w:w="20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6"/>
                <w:szCs w:val="16"/>
                <w:color w:val="auto"/>
              </w:rPr>
            </w:pPr>
          </w:p>
        </w:tc>
        <w:tc>
          <w:tcPr>
            <w:tcW w:w="90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auto"/>
              </w:rPr>
              <w:t>637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Calibri" w:cs="Calibri" w:eastAsia="Calibri" w:hAnsi="Calibri"/>
                <w:sz w:val="16"/>
                <w:szCs w:val="16"/>
                <w:color w:val="auto"/>
                <w:w w:val="96"/>
              </w:rPr>
              <w:t>—</w:t>
            </w:r>
          </w:p>
        </w:tc>
        <w:tc>
          <w:tcPr>
            <w:tcW w:w="920" w:type="dxa"/>
            <w:vAlign w:val="bottom"/>
            <w:gridSpan w:val="2"/>
          </w:tcPr>
          <w:p>
            <w:pPr>
              <w:jc w:val="right"/>
              <w:spacing w:after="0"/>
              <w:rPr>
                <w:sz w:val="20"/>
                <w:szCs w:val="20"/>
                <w:color w:val="auto"/>
              </w:rPr>
            </w:pPr>
            <w:r>
              <w:rPr>
                <w:rFonts w:ascii="Calibri" w:cs="Calibri" w:eastAsia="Calibri" w:hAnsi="Calibri"/>
                <w:sz w:val="16"/>
                <w:szCs w:val="16"/>
                <w:color w:val="auto"/>
              </w:rPr>
              <w:t>60.21</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05/19/2030</w:t>
            </w: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404</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(5)</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109,787</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1,070</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(6)</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290,773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891</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(7)</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242,129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450</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(8)</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122,288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6"/>
                <w:szCs w:val="16"/>
                <w:color w:val="auto"/>
              </w:rPr>
              <w:t>450</w:t>
            </w:r>
          </w:p>
        </w:tc>
        <w:tc>
          <w:tcPr>
            <w:tcW w:w="360" w:type="dxa"/>
            <w:vAlign w:val="bottom"/>
          </w:tcPr>
          <w:p>
            <w:pPr>
              <w:ind w:left="120"/>
              <w:spacing w:after="0"/>
              <w:rPr>
                <w:sz w:val="20"/>
                <w:szCs w:val="20"/>
                <w:color w:val="auto"/>
              </w:rPr>
            </w:pPr>
            <w:r>
              <w:rPr>
                <w:rFonts w:ascii="Calibri" w:cs="Calibri" w:eastAsia="Calibri" w:hAnsi="Calibri"/>
                <w:sz w:val="11"/>
                <w:szCs w:val="11"/>
                <w:color w:val="auto"/>
              </w:rPr>
              <w:t>(9)</w:t>
            </w:r>
          </w:p>
        </w:tc>
        <w:tc>
          <w:tcPr>
            <w:tcW w:w="800" w:type="dxa"/>
            <w:vAlign w:val="bottom"/>
          </w:tcPr>
          <w:p>
            <w:pPr>
              <w:jc w:val="right"/>
              <w:spacing w:after="0"/>
              <w:rPr>
                <w:sz w:val="20"/>
                <w:szCs w:val="20"/>
                <w:color w:val="auto"/>
              </w:rPr>
            </w:pPr>
            <w:r>
              <w:rPr>
                <w:rFonts w:ascii="Calibri" w:cs="Calibri" w:eastAsia="Calibri" w:hAnsi="Calibri"/>
                <w:sz w:val="16"/>
                <w:szCs w:val="16"/>
                <w:color w:val="auto"/>
              </w:rPr>
              <w:t>122,288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400" w:type="dxa"/>
            <w:vAlign w:val="bottom"/>
            <w:vMerge w:val="restart"/>
          </w:tcPr>
          <w:p>
            <w:pPr>
              <w:ind w:left="120"/>
              <w:spacing w:after="0"/>
              <w:rPr>
                <w:sz w:val="20"/>
                <w:szCs w:val="20"/>
                <w:color w:val="auto"/>
              </w:rPr>
            </w:pPr>
            <w:r>
              <w:rPr>
                <w:rFonts w:ascii="Calibri" w:cs="Calibri" w:eastAsia="Calibri" w:hAnsi="Calibri"/>
                <w:sz w:val="11"/>
                <w:szCs w:val="11"/>
                <w:color w:val="auto"/>
              </w:rPr>
              <w:t>(11</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6"/>
                <w:szCs w:val="16"/>
                <w:color w:val="auto"/>
              </w:rPr>
              <w:t>900</w:t>
            </w:r>
          </w:p>
        </w:tc>
        <w:tc>
          <w:tcPr>
            <w:tcW w:w="360" w:type="dxa"/>
            <w:vAlign w:val="bottom"/>
          </w:tcPr>
          <w:p>
            <w:pPr>
              <w:ind w:left="120"/>
              <w:spacing w:after="0"/>
              <w:rPr>
                <w:sz w:val="20"/>
                <w:szCs w:val="20"/>
                <w:color w:val="auto"/>
              </w:rPr>
            </w:pPr>
            <w:r>
              <w:rPr>
                <w:rFonts w:ascii="Calibri" w:cs="Calibri" w:eastAsia="Calibri" w:hAnsi="Calibri"/>
                <w:sz w:val="11"/>
                <w:szCs w:val="11"/>
                <w:color w:val="auto"/>
              </w:rPr>
              <w:t>(10)</w:t>
            </w:r>
          </w:p>
        </w:tc>
        <w:tc>
          <w:tcPr>
            <w:tcW w:w="800" w:type="dxa"/>
            <w:vAlign w:val="bottom"/>
          </w:tcPr>
          <w:p>
            <w:pPr>
              <w:jc w:val="right"/>
              <w:spacing w:after="0"/>
              <w:rPr>
                <w:sz w:val="20"/>
                <w:szCs w:val="20"/>
                <w:color w:val="auto"/>
              </w:rPr>
            </w:pPr>
            <w:r>
              <w:rPr>
                <w:rFonts w:ascii="Calibri" w:cs="Calibri" w:eastAsia="Calibri" w:hAnsi="Calibri"/>
                <w:sz w:val="16"/>
                <w:szCs w:val="16"/>
                <w:color w:val="auto"/>
              </w:rPr>
              <w:t>244,575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6"/>
                <w:szCs w:val="16"/>
                <w:color w:val="auto"/>
              </w:rPr>
              <w:t>1,000</w:t>
            </w:r>
          </w:p>
        </w:tc>
        <w:tc>
          <w:tcPr>
            <w:tcW w:w="400" w:type="dxa"/>
            <w:vAlign w:val="bottom"/>
          </w:tcPr>
          <w:p>
            <w:pPr>
              <w:ind w:left="120"/>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271,750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-4714240</wp:posOffset>
            </wp:positionV>
            <wp:extent cx="5469255" cy="608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69255" cy="60833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-1687830</wp:posOffset>
            </wp:positionV>
            <wp:extent cx="5546090" cy="334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6090" cy="33401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-7264400</wp:posOffset>
            </wp:positionV>
            <wp:extent cx="34290" cy="1559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1559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Calibri" w:cs="Calibri" w:eastAsia="Calibri" w:hAnsi="Calibri"/>
                <w:sz w:val="13"/>
                <w:szCs w:val="13"/>
                <w:b w:val="1"/>
                <w:bCs w:val="1"/>
                <w:color w:val="auto"/>
              </w:rPr>
              <w:t>Opton Awards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3"/>
          </w:tcPr>
          <w:p>
            <w:pPr>
              <w:jc w:val="right"/>
              <w:ind w:right="453"/>
              <w:spacing w:after="0"/>
              <w:rPr>
                <w:sz w:val="20"/>
                <w:szCs w:val="20"/>
                <w:color w:val="auto"/>
              </w:rPr>
            </w:pPr>
            <w:r>
              <w:rPr>
                <w:rFonts w:ascii="Calibri" w:cs="Calibri" w:eastAsia="Calibri" w:hAnsi="Calibri"/>
                <w:sz w:val="13"/>
                <w:szCs w:val="13"/>
                <w:b w:val="1"/>
                <w:bCs w:val="1"/>
                <w:color w:val="auto"/>
              </w:rPr>
              <w:t>Stock Awards</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20"/>
              <w:spacing w:after="0" w:line="145" w:lineRule="exact"/>
              <w:rPr>
                <w:sz w:val="20"/>
                <w:szCs w:val="20"/>
                <w:color w:val="auto"/>
              </w:rPr>
            </w:pPr>
            <w:r>
              <w:rPr>
                <w:rFonts w:ascii="Calibri" w:cs="Calibri" w:eastAsia="Calibri" w:hAnsi="Calibri"/>
                <w:sz w:val="13"/>
                <w:szCs w:val="13"/>
                <w:b w:val="1"/>
                <w:bCs w:val="1"/>
                <w:color w:val="auto"/>
                <w:w w:val="99"/>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rPr>
              <w:t>Incentve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Calibri" w:cs="Calibri" w:eastAsia="Calibri" w:hAnsi="Calibri"/>
                <w:sz w:val="13"/>
                <w:szCs w:val="13"/>
                <w:b w:val="1"/>
                <w:bCs w:val="1"/>
                <w:color w:val="auto"/>
                <w:w w:val="93"/>
              </w:rPr>
              <w:t>Plan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Equity</w:t>
            </w:r>
          </w:p>
        </w:tc>
        <w:tc>
          <w:tcPr>
            <w:tcW w:w="3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Calibri" w:cs="Calibri" w:eastAsia="Calibri" w:hAnsi="Calibri"/>
                <w:sz w:val="13"/>
                <w:szCs w:val="13"/>
                <w:b w:val="1"/>
                <w:bCs w:val="1"/>
                <w:color w:val="auto"/>
                <w:w w:val="94"/>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Incentve</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Market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3"/>
              </w:rPr>
              <w:t>Equity</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3"/>
              </w:rPr>
              <w:t>Plan</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4"/>
              </w:rPr>
              <w:t>Payout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rPr>
              <w:t>Incentve</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Awards:</w:t>
            </w:r>
          </w:p>
        </w:tc>
        <w:tc>
          <w:tcPr>
            <w:tcW w:w="3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Calibri" w:cs="Calibri" w:eastAsia="Calibri" w:hAnsi="Calibri"/>
                <w:sz w:val="13"/>
                <w:szCs w:val="13"/>
                <w:b w:val="1"/>
                <w:bCs w:val="1"/>
                <w:color w:val="auto"/>
                <w:w w:val="93"/>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rPr>
              <w:t>Plan</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Market</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7"/>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9"/>
              </w:rPr>
              <w:t>Awards: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3"/>
              </w:rPr>
              <w:t>Value of</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Unearned</w:t>
            </w:r>
          </w:p>
        </w:tc>
        <w:tc>
          <w:tcPr>
            <w:tcW w:w="3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Calibri" w:cs="Calibri" w:eastAsia="Calibri" w:hAnsi="Calibri"/>
                <w:sz w:val="13"/>
                <w:szCs w:val="13"/>
                <w:b w:val="1"/>
                <w:bCs w:val="1"/>
                <w:color w:val="auto"/>
                <w:w w:val="96"/>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3"/>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Number of</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Shares</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Shares,</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8"/>
              </w:rPr>
              <w:t>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3"/>
              <w:spacing w:after="0" w:line="149" w:lineRule="exact"/>
              <w:rPr>
                <w:sz w:val="20"/>
                <w:szCs w:val="20"/>
                <w:color w:val="auto"/>
              </w:rPr>
            </w:pPr>
            <w:r>
              <w:rPr>
                <w:rFonts w:ascii="Calibri" w:cs="Calibri" w:eastAsia="Calibri" w:hAnsi="Calibri"/>
                <w:sz w:val="13"/>
                <w:szCs w:val="13"/>
                <w:b w:val="1"/>
                <w:bCs w:val="1"/>
                <w:color w:val="auto"/>
              </w:rPr>
              <w:t>Securites</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Securites</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rPr>
              <w:t>Securites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Shares or</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or Units</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Units</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or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3"/>
              <w:spacing w:after="0" w:line="149" w:lineRule="exact"/>
              <w:rPr>
                <w:sz w:val="20"/>
                <w:szCs w:val="20"/>
                <w:color w:val="auto"/>
              </w:rPr>
            </w:pPr>
            <w:r>
              <w:rPr>
                <w:rFonts w:ascii="Calibri" w:cs="Calibri" w:eastAsia="Calibri" w:hAnsi="Calibri"/>
                <w:sz w:val="13"/>
                <w:szCs w:val="13"/>
                <w:b w:val="1"/>
                <w:bCs w:val="1"/>
                <w:color w:val="auto"/>
                <w:w w:val="97"/>
              </w:rPr>
              <w:t>Underlying</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Underlying</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4"/>
              </w:rPr>
              <w:t>Underlying</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Units of</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of Stock</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or Other</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Rights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Calibri" w:cs="Calibri" w:eastAsia="Calibri" w:hAnsi="Calibri"/>
                <w:sz w:val="13"/>
                <w:szCs w:val="13"/>
                <w:b w:val="1"/>
                <w:bCs w:val="1"/>
                <w:color w:val="auto"/>
                <w:w w:val="96"/>
              </w:rPr>
              <w:t>Unexercised</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Unexercised</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6"/>
              </w:rPr>
              <w:t>Unexercised</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Stock That</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That</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Rights That</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8"/>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3"/>
              <w:spacing w:after="0" w:line="149" w:lineRule="exact"/>
              <w:rPr>
                <w:sz w:val="20"/>
                <w:szCs w:val="20"/>
                <w:color w:val="auto"/>
              </w:rPr>
            </w:pPr>
            <w:r>
              <w:rPr>
                <w:rFonts w:ascii="Calibri" w:cs="Calibri" w:eastAsia="Calibri" w:hAnsi="Calibri"/>
                <w:sz w:val="13"/>
                <w:szCs w:val="13"/>
                <w:b w:val="1"/>
                <w:bCs w:val="1"/>
                <w:color w:val="auto"/>
              </w:rPr>
              <w:t>Optons</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Optons</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7"/>
              </w:rPr>
              <w:t>Unearned</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Exercise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Opton</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Calibri" w:cs="Calibri" w:eastAsia="Calibri" w:hAnsi="Calibri"/>
                <w:sz w:val="13"/>
                <w:szCs w:val="13"/>
                <w:b w:val="1"/>
                <w:bCs w:val="1"/>
                <w:color w:val="auto"/>
                <w:w w:val="95"/>
              </w:rPr>
              <w:t>Have Not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3"/>
              <w:spacing w:after="0" w:line="134" w:lineRule="exact"/>
              <w:rPr>
                <w:sz w:val="20"/>
                <w:szCs w:val="20"/>
                <w:color w:val="auto"/>
              </w:rPr>
            </w:pPr>
            <w:r>
              <w:rPr>
                <w:rFonts w:ascii="Calibri" w:cs="Calibri" w:eastAsia="Calibri" w:hAnsi="Calibri"/>
                <w:sz w:val="13"/>
                <w:szCs w:val="13"/>
                <w:b w:val="1"/>
                <w:bCs w:val="1"/>
                <w:color w:val="auto"/>
                <w:w w:val="95"/>
              </w:rPr>
              <w:t>Exercisable</w:t>
            </w:r>
          </w:p>
        </w:tc>
        <w:tc>
          <w:tcPr>
            <w:tcW w:w="26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4"/>
              </w:rPr>
              <w:t>Unexercisable</w:t>
            </w:r>
          </w:p>
        </w:tc>
        <w:tc>
          <w:tcPr>
            <w:tcW w:w="260" w:type="dxa"/>
            <w:vAlign w:val="bottom"/>
          </w:tcPr>
          <w:p>
            <w:pPr>
              <w:spacing w:after="0"/>
              <w:rPr>
                <w:sz w:val="11"/>
                <w:szCs w:val="11"/>
                <w:color w:val="auto"/>
              </w:rPr>
            </w:pPr>
          </w:p>
        </w:tc>
        <w:tc>
          <w:tcPr>
            <w:tcW w:w="980" w:type="dxa"/>
            <w:vAlign w:val="bottom"/>
            <w:gridSpan w:val="2"/>
          </w:tcPr>
          <w:p>
            <w:pPr>
              <w:jc w:val="center"/>
              <w:ind w:right="140"/>
              <w:spacing w:after="0" w:line="134" w:lineRule="exact"/>
              <w:rPr>
                <w:sz w:val="20"/>
                <w:szCs w:val="20"/>
                <w:color w:val="auto"/>
              </w:rPr>
            </w:pPr>
            <w:r>
              <w:rPr>
                <w:rFonts w:ascii="Calibri" w:cs="Calibri" w:eastAsia="Calibri" w:hAnsi="Calibri"/>
                <w:sz w:val="13"/>
                <w:szCs w:val="13"/>
                <w:b w:val="1"/>
                <w:bCs w:val="1"/>
                <w:color w:val="auto"/>
              </w:rPr>
              <w:t>Optons</w:t>
            </w:r>
          </w:p>
        </w:tc>
        <w:tc>
          <w:tcPr>
            <w:tcW w:w="32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7"/>
              </w:rPr>
              <w:t>Price</w:t>
            </w:r>
          </w:p>
        </w:tc>
        <w:tc>
          <w:tcPr>
            <w:tcW w:w="20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rPr>
              <w:t>Expiraton</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34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22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360" w:type="dxa"/>
            <w:vAlign w:val="bottom"/>
          </w:tcPr>
          <w:p>
            <w:pPr>
              <w:spacing w:after="0"/>
              <w:rPr>
                <w:sz w:val="11"/>
                <w:szCs w:val="11"/>
                <w:color w:val="auto"/>
              </w:rPr>
            </w:pPr>
          </w:p>
        </w:tc>
        <w:tc>
          <w:tcPr>
            <w:tcW w:w="860" w:type="dxa"/>
            <w:vAlign w:val="bottom"/>
            <w:gridSpan w:val="2"/>
          </w:tcPr>
          <w:p>
            <w:pPr>
              <w:jc w:val="center"/>
              <w:ind w:right="100"/>
              <w:spacing w:after="0" w:line="134" w:lineRule="exact"/>
              <w:rPr>
                <w:sz w:val="20"/>
                <w:szCs w:val="20"/>
                <w:color w:val="auto"/>
              </w:rPr>
            </w:pPr>
            <w:r>
              <w:rPr>
                <w:rFonts w:ascii="Calibri" w:cs="Calibri" w:eastAsia="Calibri" w:hAnsi="Calibri"/>
                <w:sz w:val="13"/>
                <w:szCs w:val="13"/>
                <w:b w:val="1"/>
                <w:bCs w:val="1"/>
                <w:color w:val="auto"/>
                <w:w w:val="96"/>
              </w:rPr>
              <w:t>Vested</w:t>
            </w:r>
          </w:p>
        </w:tc>
        <w:tc>
          <w:tcPr>
            <w:tcW w:w="0" w:type="dxa"/>
            <w:vAlign w:val="bottom"/>
          </w:tcPr>
          <w:p>
            <w:pPr>
              <w:spacing w:after="0"/>
              <w:rPr>
                <w:sz w:val="1"/>
                <w:szCs w:val="1"/>
                <w:color w:val="auto"/>
              </w:rPr>
            </w:pPr>
          </w:p>
        </w:tc>
      </w:tr>
      <w:tr>
        <w:trPr>
          <w:trHeight w:val="160"/>
        </w:trPr>
        <w:tc>
          <w:tcPr>
            <w:tcW w:w="1360" w:type="dxa"/>
            <w:vAlign w:val="bottom"/>
            <w:gridSpan w:val="3"/>
          </w:tcPr>
          <w:p>
            <w:pPr>
              <w:ind w:left="20"/>
              <w:spacing w:after="0"/>
              <w:rPr>
                <w:sz w:val="20"/>
                <w:szCs w:val="20"/>
                <w:color w:val="auto"/>
              </w:rPr>
            </w:pPr>
            <w:r>
              <w:rPr>
                <w:rFonts w:ascii="Calibri" w:cs="Calibri" w:eastAsia="Calibri" w:hAnsi="Calibri"/>
                <w:sz w:val="13"/>
                <w:szCs w:val="13"/>
                <w:b w:val="1"/>
                <w:bCs w:val="1"/>
                <w:color w:val="auto"/>
              </w:rPr>
              <w:t>Name</w:t>
            </w:r>
          </w:p>
        </w:tc>
        <w:tc>
          <w:tcPr>
            <w:tcW w:w="960" w:type="dxa"/>
            <w:vAlign w:val="bottom"/>
            <w:gridSpan w:val="3"/>
          </w:tcPr>
          <w:p>
            <w:pPr>
              <w:jc w:val="center"/>
              <w:ind w:left="73"/>
              <w:spacing w:after="0"/>
              <w:rPr>
                <w:sz w:val="20"/>
                <w:szCs w:val="20"/>
                <w:color w:val="auto"/>
              </w:rPr>
            </w:pPr>
            <w:r>
              <w:rPr>
                <w:rFonts w:ascii="Calibri" w:cs="Calibri" w:eastAsia="Calibri" w:hAnsi="Calibri"/>
                <w:sz w:val="13"/>
                <w:szCs w:val="13"/>
                <w:b w:val="1"/>
                <w:bCs w:val="1"/>
                <w:color w:val="auto"/>
                <w:w w:val="95"/>
              </w:rPr>
              <w:t>(#)</w:t>
            </w:r>
          </w:p>
        </w:tc>
        <w:tc>
          <w:tcPr>
            <w:tcW w:w="1100" w:type="dxa"/>
            <w:vAlign w:val="bottom"/>
            <w:gridSpan w:val="2"/>
          </w:tcPr>
          <w:p>
            <w:pPr>
              <w:jc w:val="center"/>
              <w:ind w:left="171"/>
              <w:spacing w:after="0"/>
              <w:rPr>
                <w:sz w:val="20"/>
                <w:szCs w:val="20"/>
                <w:color w:val="auto"/>
              </w:rPr>
            </w:pPr>
            <w:r>
              <w:rPr>
                <w:rFonts w:ascii="Calibri" w:cs="Calibri" w:eastAsia="Calibri" w:hAnsi="Calibri"/>
                <w:sz w:val="13"/>
                <w:szCs w:val="13"/>
                <w:b w:val="1"/>
                <w:bCs w:val="1"/>
                <w:color w:val="auto"/>
                <w:w w:val="95"/>
              </w:rPr>
              <w:t>(#)</w:t>
            </w:r>
          </w:p>
        </w:tc>
        <w:tc>
          <w:tcPr>
            <w:tcW w:w="2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w w:val="95"/>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w w:val="94"/>
              </w:rPr>
              <w:t>($)</w:t>
            </w:r>
          </w:p>
        </w:tc>
        <w:tc>
          <w:tcPr>
            <w:tcW w:w="2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Date</w:t>
            </w:r>
          </w:p>
        </w:tc>
        <w:tc>
          <w:tcPr>
            <w:tcW w:w="220" w:type="dxa"/>
            <w:vAlign w:val="bottom"/>
            <w:tcBorders>
              <w:right w:val="single" w:sz="8" w:color="auto"/>
            </w:tcBorders>
          </w:tcPr>
          <w:p>
            <w:pPr>
              <w:spacing w:after="0"/>
              <w:rPr>
                <w:sz w:val="13"/>
                <w:szCs w:val="13"/>
                <w:color w:val="auto"/>
              </w:rPr>
            </w:pPr>
          </w:p>
        </w:tc>
        <w:tc>
          <w:tcPr>
            <w:tcW w:w="920" w:type="dxa"/>
            <w:vAlign w:val="bottom"/>
            <w:gridSpan w:val="2"/>
          </w:tcPr>
          <w:p>
            <w:pPr>
              <w:jc w:val="center"/>
              <w:ind w:left="29"/>
              <w:spacing w:after="0"/>
              <w:rPr>
                <w:sz w:val="20"/>
                <w:szCs w:val="20"/>
                <w:color w:val="auto"/>
              </w:rPr>
            </w:pPr>
            <w:r>
              <w:rPr>
                <w:rFonts w:ascii="Calibri" w:cs="Calibri" w:eastAsia="Calibri" w:hAnsi="Calibri"/>
                <w:sz w:val="13"/>
                <w:szCs w:val="13"/>
                <w:b w:val="1"/>
                <w:bCs w:val="1"/>
                <w:color w:val="auto"/>
                <w:w w:val="95"/>
              </w:rPr>
              <w:t>(#)</w:t>
            </w:r>
          </w:p>
        </w:tc>
        <w:tc>
          <w:tcPr>
            <w:tcW w:w="340" w:type="dxa"/>
            <w:vAlign w:val="bottom"/>
            <w:vMerge w:val="restart"/>
          </w:tcPr>
          <w:p>
            <w:pPr>
              <w:ind w:left="120"/>
              <w:spacing w:after="0"/>
              <w:rPr>
                <w:sz w:val="20"/>
                <w:szCs w:val="20"/>
                <w:color w:val="auto"/>
              </w:rPr>
            </w:pPr>
            <w:r>
              <w:rPr>
                <w:rFonts w:ascii="Calibri" w:cs="Calibri" w:eastAsia="Calibri" w:hAnsi="Calibri"/>
                <w:sz w:val="10"/>
                <w:szCs w:val="10"/>
                <w:color w:val="auto"/>
              </w:rPr>
              <w:t>(4</w:t>
            </w:r>
          </w:p>
        </w:tc>
        <w:tc>
          <w:tcPr>
            <w:tcW w:w="820" w:type="dxa"/>
            <w:vAlign w:val="bottom"/>
          </w:tcPr>
          <w:p>
            <w:pPr>
              <w:jc w:val="center"/>
              <w:spacing w:after="0" w:line="160" w:lineRule="exact"/>
              <w:rPr>
                <w:sz w:val="20"/>
                <w:szCs w:val="20"/>
                <w:color w:val="auto"/>
              </w:rPr>
            </w:pPr>
            <w:r>
              <w:rPr>
                <w:rFonts w:ascii="Calibri" w:cs="Calibri" w:eastAsia="Calibri" w:hAnsi="Calibri"/>
                <w:sz w:val="17"/>
                <w:szCs w:val="17"/>
                <w:b w:val="1"/>
                <w:bCs w:val="1"/>
                <w:color w:val="auto"/>
                <w:vertAlign w:val="subscript"/>
              </w:rPr>
              <w:t>($)</w:t>
            </w:r>
            <w:r>
              <w:rPr>
                <w:rFonts w:ascii="Calibri" w:cs="Calibri" w:eastAsia="Calibri" w:hAnsi="Calibri"/>
                <w:sz w:val="7"/>
                <w:szCs w:val="7"/>
                <w:b w:val="1"/>
                <w:bCs w:val="1"/>
                <w:color w:val="auto"/>
              </w:rPr>
              <w:t>(1)</w:t>
            </w:r>
          </w:p>
        </w:tc>
        <w:tc>
          <w:tcPr>
            <w:tcW w:w="880" w:type="dxa"/>
            <w:vAlign w:val="bottom"/>
            <w:gridSpan w:val="2"/>
          </w:tcPr>
          <w:p>
            <w:pPr>
              <w:jc w:val="center"/>
              <w:ind w:left="151"/>
              <w:spacing w:after="0"/>
              <w:rPr>
                <w:sz w:val="20"/>
                <w:szCs w:val="20"/>
                <w:color w:val="auto"/>
              </w:rPr>
            </w:pPr>
            <w:r>
              <w:rPr>
                <w:rFonts w:ascii="Calibri" w:cs="Calibri" w:eastAsia="Calibri" w:hAnsi="Calibri"/>
                <w:sz w:val="13"/>
                <w:szCs w:val="13"/>
                <w:b w:val="1"/>
                <w:bCs w:val="1"/>
                <w:color w:val="auto"/>
                <w:w w:val="95"/>
              </w:rPr>
              <w:t>(#)</w:t>
            </w:r>
          </w:p>
        </w:tc>
        <w:tc>
          <w:tcPr>
            <w:tcW w:w="36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Calibri" w:cs="Calibri" w:eastAsia="Calibri" w:hAnsi="Calibri"/>
                <w:sz w:val="17"/>
                <w:szCs w:val="17"/>
                <w:b w:val="1"/>
                <w:bCs w:val="1"/>
                <w:color w:val="auto"/>
                <w:vertAlign w:val="subscript"/>
              </w:rPr>
              <w:t>($)</w:t>
            </w:r>
            <w:r>
              <w:rPr>
                <w:rFonts w:ascii="Calibri" w:cs="Calibri" w:eastAsia="Calibri" w:hAnsi="Calibri"/>
                <w:sz w:val="7"/>
                <w:szCs w:val="7"/>
                <w:b w:val="1"/>
                <w:bCs w:val="1"/>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1360" w:type="dxa"/>
            <w:vAlign w:val="bottom"/>
            <w:gridSpan w:val="3"/>
            <w:vMerge w:val="restart"/>
            <w:shd w:val="clear" w:color="auto" w:fill="CFF0FC"/>
          </w:tcPr>
          <w:p>
            <w:pPr>
              <w:ind w:left="20"/>
              <w:spacing w:after="0"/>
              <w:rPr>
                <w:sz w:val="20"/>
                <w:szCs w:val="20"/>
                <w:color w:val="auto"/>
              </w:rPr>
            </w:pPr>
            <w:r>
              <w:rPr>
                <w:rFonts w:ascii="Calibri" w:cs="Calibri" w:eastAsia="Calibri" w:hAnsi="Calibri"/>
                <w:sz w:val="14"/>
                <w:szCs w:val="14"/>
                <w:color w:val="auto"/>
              </w:rPr>
              <w:t>Tony Thompson</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gridSpan w:val="3"/>
            <w:vMerge w:val="continue"/>
            <w:shd w:val="clear" w:color="auto" w:fill="CFF0FC"/>
          </w:tcPr>
          <w:p>
            <w:pPr>
              <w:spacing w:after="0"/>
              <w:rPr>
                <w:sz w:val="13"/>
                <w:szCs w:val="13"/>
                <w:color w:val="auto"/>
              </w:rPr>
            </w:pPr>
          </w:p>
        </w:tc>
        <w:tc>
          <w:tcPr>
            <w:tcW w:w="960" w:type="dxa"/>
            <w:vAlign w:val="bottom"/>
            <w:gridSpan w:val="3"/>
          </w:tcPr>
          <w:p>
            <w:pPr>
              <w:jc w:val="right"/>
              <w:spacing w:after="0" w:line="156" w:lineRule="exact"/>
              <w:rPr>
                <w:sz w:val="20"/>
                <w:szCs w:val="20"/>
                <w:color w:val="auto"/>
              </w:rPr>
            </w:pPr>
            <w:r>
              <w:rPr>
                <w:rFonts w:ascii="Calibri" w:cs="Calibri" w:eastAsia="Calibri" w:hAnsi="Calibri"/>
                <w:sz w:val="14"/>
                <w:szCs w:val="14"/>
                <w:color w:val="auto"/>
              </w:rPr>
              <w:t>764</w:t>
            </w:r>
          </w:p>
        </w:tc>
        <w:tc>
          <w:tcPr>
            <w:tcW w:w="2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3"/>
                <w:szCs w:val="13"/>
                <w:color w:val="auto"/>
              </w:rPr>
            </w:pPr>
          </w:p>
        </w:tc>
        <w:tc>
          <w:tcPr>
            <w:tcW w:w="980" w:type="dxa"/>
            <w:vAlign w:val="bottom"/>
            <w:gridSpan w:val="2"/>
          </w:tcPr>
          <w:p>
            <w:pPr>
              <w:ind w:left="700"/>
              <w:spacing w:after="0" w:line="156" w:lineRule="exact"/>
              <w:rPr>
                <w:sz w:val="20"/>
                <w:szCs w:val="20"/>
                <w:color w:val="auto"/>
              </w:rPr>
            </w:pPr>
            <w:r>
              <w:rPr>
                <w:rFonts w:ascii="Calibri" w:cs="Calibri" w:eastAsia="Calibri" w:hAnsi="Calibri"/>
                <w:sz w:val="14"/>
                <w:szCs w:val="14"/>
                <w:color w:val="auto"/>
              </w:rPr>
              <w:t>—</w:t>
            </w:r>
          </w:p>
        </w:tc>
        <w:tc>
          <w:tcPr>
            <w:tcW w:w="320" w:type="dxa"/>
            <w:vAlign w:val="bottom"/>
          </w:tcPr>
          <w:p>
            <w:pPr>
              <w:ind w:left="120"/>
              <w:spacing w:after="0" w:line="156"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spacing w:after="0" w:line="156" w:lineRule="exact"/>
              <w:rPr>
                <w:sz w:val="20"/>
                <w:szCs w:val="20"/>
                <w:color w:val="auto"/>
              </w:rPr>
            </w:pPr>
            <w:r>
              <w:rPr>
                <w:rFonts w:ascii="Calibri" w:cs="Calibri" w:eastAsia="Calibri" w:hAnsi="Calibri"/>
                <w:sz w:val="14"/>
                <w:szCs w:val="14"/>
                <w:color w:val="auto"/>
              </w:rPr>
              <w:t>60.21</w:t>
            </w:r>
          </w:p>
        </w:tc>
        <w:tc>
          <w:tcPr>
            <w:tcW w:w="10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05/19/2030</w:t>
            </w:r>
          </w:p>
        </w:tc>
        <w:tc>
          <w:tcPr>
            <w:tcW w:w="220" w:type="dxa"/>
            <w:vAlign w:val="bottom"/>
            <w:tcBorders>
              <w:right w:val="single" w:sz="8" w:color="auto"/>
            </w:tcBorders>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484</w:t>
            </w:r>
          </w:p>
        </w:tc>
        <w:tc>
          <w:tcPr>
            <w:tcW w:w="340" w:type="dxa"/>
            <w:vAlign w:val="bottom"/>
          </w:tcPr>
          <w:p>
            <w:pPr>
              <w:ind w:left="120"/>
              <w:spacing w:after="0"/>
              <w:rPr>
                <w:sz w:val="20"/>
                <w:szCs w:val="20"/>
                <w:color w:val="auto"/>
              </w:rPr>
            </w:pPr>
            <w:r>
              <w:rPr>
                <w:rFonts w:ascii="Calibri" w:cs="Calibri" w:eastAsia="Calibri" w:hAnsi="Calibri"/>
                <w:sz w:val="10"/>
                <w:szCs w:val="10"/>
                <w:color w:val="auto"/>
              </w:rPr>
              <w:t>)</w:t>
            </w:r>
          </w:p>
        </w:tc>
        <w:tc>
          <w:tcPr>
            <w:tcW w:w="820" w:type="dxa"/>
            <w:vAlign w:val="bottom"/>
          </w:tcPr>
          <w:p>
            <w:pPr>
              <w:jc w:val="right"/>
              <w:spacing w:after="0" w:line="156" w:lineRule="exact"/>
              <w:rPr>
                <w:sz w:val="20"/>
                <w:szCs w:val="20"/>
                <w:color w:val="auto"/>
              </w:rPr>
            </w:pPr>
            <w:r>
              <w:rPr>
                <w:rFonts w:ascii="Calibri" w:cs="Calibri" w:eastAsia="Calibri" w:hAnsi="Calibri"/>
                <w:sz w:val="14"/>
                <w:szCs w:val="14"/>
                <w:color w:val="auto"/>
              </w:rPr>
              <w:t>131,527</w:t>
            </w:r>
          </w:p>
        </w:tc>
        <w:tc>
          <w:tcPr>
            <w:tcW w:w="2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120"/>
              <w:spacing w:after="0" w:line="156"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94"/>
        </w:trPr>
        <w:tc>
          <w:tcPr>
            <w:tcW w:w="2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shd w:val="clear" w:color="auto" w:fill="CFF0FC"/>
          </w:tcPr>
          <w:p>
            <w:pPr>
              <w:spacing w:after="0"/>
              <w:rPr>
                <w:sz w:val="8"/>
                <w:szCs w:val="8"/>
                <w:color w:val="auto"/>
              </w:rPr>
            </w:pPr>
          </w:p>
        </w:tc>
        <w:tc>
          <w:tcPr>
            <w:tcW w:w="10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ind w:left="120"/>
              <w:spacing w:after="0" w:line="95" w:lineRule="exact"/>
              <w:rPr>
                <w:sz w:val="20"/>
                <w:szCs w:val="20"/>
                <w:color w:val="auto"/>
              </w:rPr>
            </w:pPr>
            <w:r>
              <w:rPr>
                <w:rFonts w:ascii="Calibri" w:cs="Calibri" w:eastAsia="Calibri" w:hAnsi="Calibri"/>
                <w:sz w:val="10"/>
                <w:szCs w:val="10"/>
                <w:color w:val="auto"/>
              </w:rPr>
              <w:t>(5</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637</w:t>
            </w:r>
          </w:p>
        </w:tc>
        <w:tc>
          <w:tcPr>
            <w:tcW w:w="2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3"/>
                <w:szCs w:val="13"/>
                <w:color w:val="auto"/>
              </w:rPr>
            </w:pPr>
          </w:p>
        </w:tc>
        <w:tc>
          <w:tcPr>
            <w:tcW w:w="980" w:type="dxa"/>
            <w:vAlign w:val="bottom"/>
            <w:gridSpan w:val="2"/>
          </w:tcPr>
          <w:p>
            <w:pPr>
              <w:ind w:left="700"/>
              <w:spacing w:after="0" w:line="156" w:lineRule="exact"/>
              <w:rPr>
                <w:sz w:val="20"/>
                <w:szCs w:val="20"/>
                <w:color w:val="auto"/>
              </w:rPr>
            </w:pPr>
            <w:r>
              <w:rPr>
                <w:rFonts w:ascii="Calibri" w:cs="Calibri" w:eastAsia="Calibri" w:hAnsi="Calibri"/>
                <w:sz w:val="14"/>
                <w:szCs w:val="14"/>
                <w:color w:val="auto"/>
              </w:rPr>
              <w:t>—</w:t>
            </w:r>
          </w:p>
        </w:tc>
        <w:tc>
          <w:tcPr>
            <w:tcW w:w="320" w:type="dxa"/>
            <w:vAlign w:val="bottom"/>
          </w:tcPr>
          <w:p>
            <w:pPr>
              <w:ind w:left="120"/>
              <w:spacing w:after="0" w:line="156"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spacing w:after="0" w:line="156" w:lineRule="exact"/>
              <w:rPr>
                <w:sz w:val="20"/>
                <w:szCs w:val="20"/>
                <w:color w:val="auto"/>
              </w:rPr>
            </w:pPr>
            <w:r>
              <w:rPr>
                <w:rFonts w:ascii="Calibri" w:cs="Calibri" w:eastAsia="Calibri" w:hAnsi="Calibri"/>
                <w:sz w:val="14"/>
                <w:szCs w:val="14"/>
                <w:color w:val="auto"/>
              </w:rPr>
              <w:t>60.21</w:t>
            </w:r>
          </w:p>
        </w:tc>
        <w:tc>
          <w:tcPr>
            <w:tcW w:w="10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05/19/2030</w:t>
            </w:r>
          </w:p>
        </w:tc>
        <w:tc>
          <w:tcPr>
            <w:tcW w:w="220" w:type="dxa"/>
            <w:vAlign w:val="bottom"/>
            <w:tcBorders>
              <w:right w:val="single" w:sz="8" w:color="auto"/>
            </w:tcBorders>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404</w:t>
            </w:r>
          </w:p>
        </w:tc>
        <w:tc>
          <w:tcPr>
            <w:tcW w:w="340" w:type="dxa"/>
            <w:vAlign w:val="bottom"/>
          </w:tcPr>
          <w:p>
            <w:pPr>
              <w:ind w:left="120"/>
              <w:spacing w:after="0"/>
              <w:rPr>
                <w:sz w:val="20"/>
                <w:szCs w:val="20"/>
                <w:color w:val="auto"/>
              </w:rPr>
            </w:pPr>
            <w:r>
              <w:rPr>
                <w:rFonts w:ascii="Calibri" w:cs="Calibri" w:eastAsia="Calibri" w:hAnsi="Calibri"/>
                <w:sz w:val="10"/>
                <w:szCs w:val="10"/>
                <w:color w:val="auto"/>
              </w:rPr>
              <w:t>)</w:t>
            </w:r>
          </w:p>
        </w:tc>
        <w:tc>
          <w:tcPr>
            <w:tcW w:w="820" w:type="dxa"/>
            <w:vAlign w:val="bottom"/>
          </w:tcPr>
          <w:p>
            <w:pPr>
              <w:jc w:val="right"/>
              <w:spacing w:after="0" w:line="156" w:lineRule="exact"/>
              <w:rPr>
                <w:sz w:val="20"/>
                <w:szCs w:val="20"/>
                <w:color w:val="auto"/>
              </w:rPr>
            </w:pPr>
            <w:r>
              <w:rPr>
                <w:rFonts w:ascii="Calibri" w:cs="Calibri" w:eastAsia="Calibri" w:hAnsi="Calibri"/>
                <w:sz w:val="14"/>
                <w:szCs w:val="14"/>
                <w:color w:val="auto"/>
              </w:rPr>
              <w:t>109,787</w:t>
            </w:r>
          </w:p>
        </w:tc>
        <w:tc>
          <w:tcPr>
            <w:tcW w:w="2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120"/>
              <w:spacing w:after="0" w:line="156"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94"/>
        </w:trPr>
        <w:tc>
          <w:tcPr>
            <w:tcW w:w="2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shd w:val="clear" w:color="auto" w:fill="CFF0FC"/>
          </w:tcPr>
          <w:p>
            <w:pPr>
              <w:spacing w:after="0"/>
              <w:rPr>
                <w:sz w:val="8"/>
                <w:szCs w:val="8"/>
                <w:color w:val="auto"/>
              </w:rPr>
            </w:pPr>
          </w:p>
        </w:tc>
        <w:tc>
          <w:tcPr>
            <w:tcW w:w="10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ind w:left="120"/>
              <w:spacing w:after="0" w:line="95" w:lineRule="exact"/>
              <w:rPr>
                <w:sz w:val="20"/>
                <w:szCs w:val="20"/>
                <w:color w:val="auto"/>
              </w:rPr>
            </w:pPr>
            <w:r>
              <w:rPr>
                <w:rFonts w:ascii="Calibri" w:cs="Calibri" w:eastAsia="Calibri" w:hAnsi="Calibri"/>
                <w:sz w:val="10"/>
                <w:szCs w:val="10"/>
                <w:color w:val="auto"/>
              </w:rPr>
              <w:t>(6</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4"/>
                <w:szCs w:val="14"/>
                <w:color w:val="auto"/>
              </w:rPr>
              <w:t>348</w:t>
            </w:r>
          </w:p>
        </w:tc>
        <w:tc>
          <w:tcPr>
            <w:tcW w:w="110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695</w:t>
            </w:r>
          </w:p>
        </w:tc>
        <w:tc>
          <w:tcPr>
            <w:tcW w:w="260" w:type="dxa"/>
            <w:vAlign w:val="bottom"/>
          </w:tcPr>
          <w:p>
            <w:pPr>
              <w:jc w:val="right"/>
              <w:spacing w:after="0"/>
              <w:rPr>
                <w:sz w:val="20"/>
                <w:szCs w:val="20"/>
                <w:color w:val="auto"/>
              </w:rPr>
            </w:pPr>
            <w:r>
              <w:rPr>
                <w:rFonts w:ascii="Calibri" w:cs="Calibri" w:eastAsia="Calibri" w:hAnsi="Calibri"/>
                <w:sz w:val="10"/>
                <w:szCs w:val="10"/>
                <w:color w:val="auto"/>
              </w:rPr>
              <w:t>(2)</w:t>
            </w:r>
          </w:p>
        </w:tc>
        <w:tc>
          <w:tcPr>
            <w:tcW w:w="980" w:type="dxa"/>
            <w:vAlign w:val="bottom"/>
            <w:gridSpan w:val="2"/>
          </w:tcPr>
          <w:p>
            <w:pPr>
              <w:ind w:left="700"/>
              <w:spacing w:after="0" w:line="156" w:lineRule="exact"/>
              <w:rPr>
                <w:sz w:val="20"/>
                <w:szCs w:val="20"/>
                <w:color w:val="auto"/>
              </w:rPr>
            </w:pPr>
            <w:r>
              <w:rPr>
                <w:rFonts w:ascii="Calibri" w:cs="Calibri" w:eastAsia="Calibri" w:hAnsi="Calibri"/>
                <w:sz w:val="14"/>
                <w:szCs w:val="14"/>
                <w:color w:val="auto"/>
              </w:rPr>
              <w:t>—</w:t>
            </w:r>
          </w:p>
        </w:tc>
        <w:tc>
          <w:tcPr>
            <w:tcW w:w="320" w:type="dxa"/>
            <w:vAlign w:val="bottom"/>
          </w:tcPr>
          <w:p>
            <w:pPr>
              <w:ind w:left="120"/>
              <w:spacing w:after="0" w:line="156"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spacing w:after="0" w:line="156" w:lineRule="exact"/>
              <w:rPr>
                <w:sz w:val="20"/>
                <w:szCs w:val="20"/>
                <w:color w:val="auto"/>
              </w:rPr>
            </w:pPr>
            <w:r>
              <w:rPr>
                <w:rFonts w:ascii="Calibri" w:cs="Calibri" w:eastAsia="Calibri" w:hAnsi="Calibri"/>
                <w:sz w:val="14"/>
                <w:szCs w:val="14"/>
                <w:color w:val="auto"/>
              </w:rPr>
              <w:t>126.22</w:t>
            </w:r>
          </w:p>
        </w:tc>
        <w:tc>
          <w:tcPr>
            <w:tcW w:w="10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05/19/2032</w:t>
            </w:r>
          </w:p>
        </w:tc>
        <w:tc>
          <w:tcPr>
            <w:tcW w:w="220" w:type="dxa"/>
            <w:vAlign w:val="bottom"/>
            <w:tcBorders>
              <w:right w:val="single" w:sz="8" w:color="auto"/>
            </w:tcBorders>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802</w:t>
            </w:r>
          </w:p>
        </w:tc>
        <w:tc>
          <w:tcPr>
            <w:tcW w:w="340" w:type="dxa"/>
            <w:vAlign w:val="bottom"/>
          </w:tcPr>
          <w:p>
            <w:pPr>
              <w:ind w:left="120"/>
              <w:spacing w:after="0"/>
              <w:rPr>
                <w:sz w:val="20"/>
                <w:szCs w:val="20"/>
                <w:color w:val="auto"/>
              </w:rPr>
            </w:pPr>
            <w:r>
              <w:rPr>
                <w:rFonts w:ascii="Calibri" w:cs="Calibri" w:eastAsia="Calibri" w:hAnsi="Calibri"/>
                <w:sz w:val="10"/>
                <w:szCs w:val="10"/>
                <w:color w:val="auto"/>
              </w:rPr>
              <w:t>)</w:t>
            </w:r>
          </w:p>
        </w:tc>
        <w:tc>
          <w:tcPr>
            <w:tcW w:w="820" w:type="dxa"/>
            <w:vAlign w:val="bottom"/>
          </w:tcPr>
          <w:p>
            <w:pPr>
              <w:jc w:val="right"/>
              <w:spacing w:after="0" w:line="156" w:lineRule="exact"/>
              <w:rPr>
                <w:sz w:val="20"/>
                <w:szCs w:val="20"/>
                <w:color w:val="auto"/>
              </w:rPr>
            </w:pPr>
            <w:r>
              <w:rPr>
                <w:rFonts w:ascii="Calibri" w:cs="Calibri" w:eastAsia="Calibri" w:hAnsi="Calibri"/>
                <w:sz w:val="14"/>
                <w:szCs w:val="14"/>
                <w:color w:val="auto"/>
              </w:rPr>
              <w:t>217,944</w:t>
            </w:r>
          </w:p>
        </w:tc>
        <w:tc>
          <w:tcPr>
            <w:tcW w:w="2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120"/>
              <w:spacing w:after="0" w:line="156"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14"/>
        </w:trPr>
        <w:tc>
          <w:tcPr>
            <w:tcW w:w="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ind w:left="120"/>
              <w:spacing w:after="0" w:line="114" w:lineRule="exact"/>
              <w:rPr>
                <w:sz w:val="20"/>
                <w:szCs w:val="20"/>
                <w:color w:val="auto"/>
              </w:rPr>
            </w:pPr>
            <w:r>
              <w:rPr>
                <w:rFonts w:ascii="Calibri" w:cs="Calibri" w:eastAsia="Calibri" w:hAnsi="Calibri"/>
                <w:sz w:val="10"/>
                <w:szCs w:val="10"/>
                <w:color w:val="auto"/>
              </w:rPr>
              <w:t>(7</w:t>
            </w: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Calibri" w:cs="Calibri" w:eastAsia="Calibri" w:hAnsi="Calibri"/>
                <w:sz w:val="14"/>
                <w:szCs w:val="14"/>
                <w:color w:val="auto"/>
              </w:rPr>
              <w:t>290</w:t>
            </w:r>
          </w:p>
        </w:tc>
        <w:tc>
          <w:tcPr>
            <w:tcW w:w="110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579</w:t>
            </w:r>
          </w:p>
        </w:tc>
        <w:tc>
          <w:tcPr>
            <w:tcW w:w="260" w:type="dxa"/>
            <w:vAlign w:val="bottom"/>
          </w:tcPr>
          <w:p>
            <w:pPr>
              <w:jc w:val="right"/>
              <w:spacing w:after="0"/>
              <w:rPr>
                <w:sz w:val="20"/>
                <w:szCs w:val="20"/>
                <w:color w:val="auto"/>
              </w:rPr>
            </w:pPr>
            <w:r>
              <w:rPr>
                <w:rFonts w:ascii="Calibri" w:cs="Calibri" w:eastAsia="Calibri" w:hAnsi="Calibri"/>
                <w:sz w:val="10"/>
                <w:szCs w:val="10"/>
                <w:color w:val="auto"/>
              </w:rPr>
              <w:t>(3)</w:t>
            </w:r>
          </w:p>
        </w:tc>
        <w:tc>
          <w:tcPr>
            <w:tcW w:w="980" w:type="dxa"/>
            <w:vAlign w:val="bottom"/>
            <w:gridSpan w:val="2"/>
          </w:tcPr>
          <w:p>
            <w:pPr>
              <w:ind w:left="700"/>
              <w:spacing w:after="0" w:line="156" w:lineRule="exact"/>
              <w:rPr>
                <w:sz w:val="20"/>
                <w:szCs w:val="20"/>
                <w:color w:val="auto"/>
              </w:rPr>
            </w:pPr>
            <w:r>
              <w:rPr>
                <w:rFonts w:ascii="Calibri" w:cs="Calibri" w:eastAsia="Calibri" w:hAnsi="Calibri"/>
                <w:sz w:val="14"/>
                <w:szCs w:val="14"/>
                <w:color w:val="auto"/>
              </w:rPr>
              <w:t>—</w:t>
            </w:r>
          </w:p>
        </w:tc>
        <w:tc>
          <w:tcPr>
            <w:tcW w:w="320" w:type="dxa"/>
            <w:vAlign w:val="bottom"/>
          </w:tcPr>
          <w:p>
            <w:pPr>
              <w:ind w:left="120"/>
              <w:spacing w:after="0" w:line="156"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spacing w:after="0" w:line="156" w:lineRule="exact"/>
              <w:rPr>
                <w:sz w:val="20"/>
                <w:szCs w:val="20"/>
                <w:color w:val="auto"/>
              </w:rPr>
            </w:pPr>
            <w:r>
              <w:rPr>
                <w:rFonts w:ascii="Calibri" w:cs="Calibri" w:eastAsia="Calibri" w:hAnsi="Calibri"/>
                <w:sz w:val="14"/>
                <w:szCs w:val="14"/>
                <w:color w:val="auto"/>
              </w:rPr>
              <w:t>126.22</w:t>
            </w:r>
          </w:p>
        </w:tc>
        <w:tc>
          <w:tcPr>
            <w:tcW w:w="10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05/19/2032</w:t>
            </w:r>
          </w:p>
        </w:tc>
        <w:tc>
          <w:tcPr>
            <w:tcW w:w="220" w:type="dxa"/>
            <w:vAlign w:val="bottom"/>
            <w:tcBorders>
              <w:right w:val="single" w:sz="8" w:color="auto"/>
            </w:tcBorders>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Calibri" w:cs="Calibri" w:eastAsia="Calibri" w:hAnsi="Calibri"/>
                <w:sz w:val="14"/>
                <w:szCs w:val="14"/>
                <w:color w:val="auto"/>
              </w:rPr>
              <w:t>668</w:t>
            </w:r>
          </w:p>
        </w:tc>
        <w:tc>
          <w:tcPr>
            <w:tcW w:w="340" w:type="dxa"/>
            <w:vAlign w:val="bottom"/>
          </w:tcPr>
          <w:p>
            <w:pPr>
              <w:ind w:left="120"/>
              <w:spacing w:after="0"/>
              <w:rPr>
                <w:sz w:val="20"/>
                <w:szCs w:val="20"/>
                <w:color w:val="auto"/>
              </w:rPr>
            </w:pPr>
            <w:r>
              <w:rPr>
                <w:rFonts w:ascii="Calibri" w:cs="Calibri" w:eastAsia="Calibri" w:hAnsi="Calibri"/>
                <w:sz w:val="10"/>
                <w:szCs w:val="10"/>
                <w:color w:val="auto"/>
              </w:rPr>
              <w:t>)</w:t>
            </w:r>
          </w:p>
        </w:tc>
        <w:tc>
          <w:tcPr>
            <w:tcW w:w="820" w:type="dxa"/>
            <w:vAlign w:val="bottom"/>
          </w:tcPr>
          <w:p>
            <w:pPr>
              <w:jc w:val="right"/>
              <w:spacing w:after="0" w:line="156" w:lineRule="exact"/>
              <w:rPr>
                <w:sz w:val="20"/>
                <w:szCs w:val="20"/>
                <w:color w:val="auto"/>
              </w:rPr>
            </w:pPr>
            <w:r>
              <w:rPr>
                <w:rFonts w:ascii="Calibri" w:cs="Calibri" w:eastAsia="Calibri" w:hAnsi="Calibri"/>
                <w:sz w:val="14"/>
                <w:szCs w:val="14"/>
                <w:color w:val="auto"/>
              </w:rPr>
              <w:t>181,529</w:t>
            </w:r>
          </w:p>
        </w:tc>
        <w:tc>
          <w:tcPr>
            <w:tcW w:w="2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3"/>
                <w:szCs w:val="13"/>
                <w:color w:val="auto"/>
              </w:rPr>
            </w:pPr>
          </w:p>
        </w:tc>
        <w:tc>
          <w:tcPr>
            <w:tcW w:w="860" w:type="dxa"/>
            <w:vAlign w:val="bottom"/>
            <w:gridSpan w:val="2"/>
          </w:tcPr>
          <w:p>
            <w:pPr>
              <w:jc w:val="right"/>
              <w:ind w:right="120"/>
              <w:spacing w:after="0" w:line="156"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94"/>
        </w:trPr>
        <w:tc>
          <w:tcPr>
            <w:tcW w:w="2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CFF0FC"/>
            </w:tcBorders>
            <w:shd w:val="clear" w:color="auto" w:fill="CFF0FC"/>
          </w:tcPr>
          <w:p>
            <w:pPr>
              <w:spacing w:after="0"/>
              <w:rPr>
                <w:sz w:val="8"/>
                <w:szCs w:val="8"/>
                <w:color w:val="auto"/>
              </w:rPr>
            </w:pPr>
          </w:p>
        </w:tc>
        <w:tc>
          <w:tcPr>
            <w:tcW w:w="10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ind w:left="120"/>
              <w:spacing w:after="0" w:line="95" w:lineRule="exact"/>
              <w:rPr>
                <w:sz w:val="20"/>
                <w:szCs w:val="20"/>
                <w:color w:val="auto"/>
              </w:rPr>
            </w:pPr>
            <w:r>
              <w:rPr>
                <w:rFonts w:ascii="Calibri" w:cs="Calibri" w:eastAsia="Calibri" w:hAnsi="Calibri"/>
                <w:sz w:val="10"/>
                <w:szCs w:val="10"/>
                <w:color w:val="auto"/>
              </w:rPr>
              <w:t>(8</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4"/>
                <w:szCs w:val="14"/>
                <w:color w:val="auto"/>
              </w:rPr>
              <w:t>405</w:t>
            </w:r>
          </w:p>
        </w:tc>
        <w:tc>
          <w:tcPr>
            <w:tcW w:w="340" w:type="dxa"/>
            <w:vAlign w:val="bottom"/>
          </w:tcPr>
          <w:p>
            <w:pPr>
              <w:ind w:left="120"/>
              <w:spacing w:after="0"/>
              <w:rPr>
                <w:sz w:val="20"/>
                <w:szCs w:val="20"/>
                <w:color w:val="auto"/>
              </w:rPr>
            </w:pPr>
            <w:r>
              <w:rPr>
                <w:rFonts w:ascii="Calibri" w:cs="Calibri" w:eastAsia="Calibri" w:hAnsi="Calibri"/>
                <w:sz w:val="10"/>
                <w:szCs w:val="10"/>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110,059</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right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3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405</w:t>
            </w:r>
          </w:p>
        </w:tc>
        <w:tc>
          <w:tcPr>
            <w:tcW w:w="360" w:type="dxa"/>
            <w:vAlign w:val="bottom"/>
            <w:tcBorders>
              <w:bottom w:val="single" w:sz="8" w:color="CFF0FC"/>
            </w:tcBorders>
            <w:shd w:val="clear" w:color="auto" w:fill="CFF0FC"/>
          </w:tcPr>
          <w:p>
            <w:pPr>
              <w:ind w:left="120"/>
              <w:spacing w:after="0" w:line="114" w:lineRule="exact"/>
              <w:rPr>
                <w:sz w:val="20"/>
                <w:szCs w:val="20"/>
                <w:color w:val="auto"/>
              </w:rPr>
            </w:pPr>
            <w:r>
              <w:rPr>
                <w:rFonts w:ascii="Calibri" w:cs="Calibri" w:eastAsia="Calibri" w:hAnsi="Calibri"/>
                <w:sz w:val="10"/>
                <w:szCs w:val="10"/>
                <w:color w:val="auto"/>
              </w:rPr>
              <w:t>(9)</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110,059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40" w:type="dxa"/>
            <w:vAlign w:val="bottom"/>
            <w:vMerge w:val="restart"/>
          </w:tcPr>
          <w:p>
            <w:pPr>
              <w:ind w:left="120"/>
              <w:spacing w:after="0"/>
              <w:rPr>
                <w:sz w:val="20"/>
                <w:szCs w:val="20"/>
                <w:color w:val="auto"/>
              </w:rPr>
            </w:pPr>
            <w:r>
              <w:rPr>
                <w:rFonts w:ascii="Calibri" w:cs="Calibri" w:eastAsia="Calibri" w:hAnsi="Calibri"/>
                <w:sz w:val="10"/>
                <w:szCs w:val="10"/>
                <w:color w:val="auto"/>
              </w:rPr>
              <w:t>(1</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gridSpan w:val="2"/>
          </w:tcPr>
          <w:p>
            <w:pPr>
              <w:jc w:val="right"/>
              <w:spacing w:after="0"/>
              <w:rPr>
                <w:sz w:val="20"/>
                <w:szCs w:val="20"/>
                <w:color w:val="auto"/>
              </w:rPr>
            </w:pPr>
            <w:r>
              <w:rPr>
                <w:rFonts w:ascii="Calibri" w:cs="Calibri" w:eastAsia="Calibri" w:hAnsi="Calibri"/>
                <w:sz w:val="14"/>
                <w:szCs w:val="14"/>
                <w:color w:val="auto"/>
              </w:rPr>
              <w:t>810</w:t>
            </w:r>
          </w:p>
        </w:tc>
        <w:tc>
          <w:tcPr>
            <w:tcW w:w="360" w:type="dxa"/>
            <w:vAlign w:val="bottom"/>
          </w:tcPr>
          <w:p>
            <w:pPr>
              <w:ind w:left="120"/>
              <w:spacing w:after="0" w:line="114" w:lineRule="exact"/>
              <w:rPr>
                <w:sz w:val="20"/>
                <w:szCs w:val="20"/>
                <w:color w:val="auto"/>
              </w:rPr>
            </w:pPr>
            <w:r>
              <w:rPr>
                <w:rFonts w:ascii="Calibri" w:cs="Calibri" w:eastAsia="Calibri" w:hAnsi="Calibri"/>
                <w:sz w:val="10"/>
                <w:szCs w:val="10"/>
                <w:color w:val="auto"/>
              </w:rPr>
              <w:t>(10)</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220,118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CFF0FC"/>
            </w:tcBorders>
            <w:shd w:val="clear" w:color="auto" w:fill="CFF0FC"/>
          </w:tcPr>
          <w:p>
            <w:pPr>
              <w:spacing w:after="0"/>
              <w:rPr>
                <w:sz w:val="5"/>
                <w:szCs w:val="5"/>
                <w:color w:val="auto"/>
              </w:rPr>
            </w:pPr>
          </w:p>
        </w:tc>
        <w:tc>
          <w:tcPr>
            <w:tcW w:w="320" w:type="dxa"/>
            <w:vAlign w:val="bottom"/>
            <w:tcBorders>
              <w:bottom w:val="single" w:sz="8" w:color="CFF0FC"/>
            </w:tcBorders>
            <w:shd w:val="clear" w:color="auto" w:fill="CFF0FC"/>
          </w:tcPr>
          <w:p>
            <w:pPr>
              <w:spacing w:after="0"/>
              <w:rPr>
                <w:sz w:val="5"/>
                <w:szCs w:val="5"/>
                <w:color w:val="auto"/>
              </w:rPr>
            </w:pPr>
          </w:p>
        </w:tc>
        <w:tc>
          <w:tcPr>
            <w:tcW w:w="102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720" w:type="dxa"/>
            <w:vAlign w:val="bottom"/>
            <w:tcBorders>
              <w:bottom w:val="single" w:sz="8" w:color="CFF0FC"/>
            </w:tcBorders>
            <w:shd w:val="clear" w:color="auto" w:fill="CFF0FC"/>
          </w:tcPr>
          <w:p>
            <w:pPr>
              <w:spacing w:after="0"/>
              <w:rPr>
                <w:sz w:val="5"/>
                <w:szCs w:val="5"/>
                <w:color w:val="auto"/>
              </w:rPr>
            </w:pPr>
          </w:p>
        </w:tc>
        <w:tc>
          <w:tcPr>
            <w:tcW w:w="260" w:type="dxa"/>
            <w:vAlign w:val="bottom"/>
            <w:tcBorders>
              <w:bottom w:val="single" w:sz="8" w:color="CFF0FC"/>
            </w:tcBorders>
            <w:shd w:val="clear" w:color="auto" w:fill="CFF0FC"/>
          </w:tcPr>
          <w:p>
            <w:pPr>
              <w:spacing w:after="0"/>
              <w:rPr>
                <w:sz w:val="5"/>
                <w:szCs w:val="5"/>
                <w:color w:val="auto"/>
              </w:rPr>
            </w:pPr>
          </w:p>
        </w:tc>
        <w:tc>
          <w:tcPr>
            <w:tcW w:w="840" w:type="dxa"/>
            <w:vAlign w:val="bottom"/>
            <w:tcBorders>
              <w:bottom w:val="single" w:sz="8" w:color="CFF0FC"/>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4"/>
                <w:szCs w:val="14"/>
                <w:color w:val="auto"/>
              </w:rPr>
              <w:t>900</w:t>
            </w:r>
          </w:p>
        </w:tc>
        <w:tc>
          <w:tcPr>
            <w:tcW w:w="340" w:type="dxa"/>
            <w:vAlign w:val="bottom"/>
          </w:tcPr>
          <w:p>
            <w:pPr>
              <w:ind w:left="120"/>
              <w:spacing w:after="0"/>
              <w:rPr>
                <w:sz w:val="20"/>
                <w:szCs w:val="20"/>
                <w:color w:val="auto"/>
              </w:rPr>
            </w:pPr>
            <w:r>
              <w:rPr>
                <w:rFonts w:ascii="Calibri" w:cs="Calibri" w:eastAsia="Calibri" w:hAnsi="Calibri"/>
                <w:sz w:val="10"/>
                <w:szCs w:val="10"/>
                <w:color w:val="auto"/>
              </w:rPr>
              <w:t>1)</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244,575</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Calibri" w:cs="Calibri" w:eastAsia="Calibri" w:hAnsi="Calibri"/>
                <w:sz w:val="14"/>
                <w:szCs w:val="14"/>
                <w:color w:val="auto"/>
              </w:rPr>
              <w:t>Robert S. Stewart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3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60" w:type="dxa"/>
            <w:vAlign w:val="bottom"/>
            <w:gridSpan w:val="3"/>
            <w:shd w:val="clear" w:color="auto" w:fill="CFF0FC"/>
          </w:tcPr>
          <w:p>
            <w:pPr>
              <w:ind w:left="20"/>
              <w:spacing w:after="0"/>
              <w:rPr>
                <w:sz w:val="20"/>
                <w:szCs w:val="20"/>
                <w:color w:val="auto"/>
              </w:rPr>
            </w:pPr>
            <w:r>
              <w:rPr>
                <w:rFonts w:ascii="Calibri" w:cs="Calibri" w:eastAsia="Calibri" w:hAnsi="Calibri"/>
                <w:sz w:val="14"/>
                <w:szCs w:val="14"/>
                <w:color w:val="auto"/>
              </w:rPr>
              <w:t>Steven L. Wentzel</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700"/>
              <w:spacing w:after="0"/>
              <w:rPr>
                <w:sz w:val="20"/>
                <w:szCs w:val="20"/>
                <w:color w:val="auto"/>
              </w:rPr>
            </w:pPr>
            <w:r>
              <w:rPr>
                <w:rFonts w:ascii="Calibri" w:cs="Calibri" w:eastAsia="Calibri" w:hAnsi="Calibri"/>
                <w:sz w:val="14"/>
                <w:szCs w:val="14"/>
                <w:color w:val="auto"/>
              </w:rPr>
              <w:t>—</w:t>
            </w: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3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465"/>
        </w:trPr>
        <w:tc>
          <w:tcPr>
            <w:tcW w:w="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20" w:type="dxa"/>
            <w:vAlign w:val="bottom"/>
            <w:tcBorders>
              <w:right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-2073910</wp:posOffset>
            </wp:positionV>
            <wp:extent cx="7132320" cy="857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-1087755</wp:posOffset>
            </wp:positionV>
            <wp:extent cx="558038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0380" cy="300355"/>
                    </a:xfrm>
                    <a:prstGeom prst="rect">
                      <a:avLst/>
                    </a:prstGeom>
                    <a:noFill/>
                  </pic:spPr>
                </pic:pic>
              </a:graphicData>
            </a:graphic>
          </wp:anchor>
        </w:drawing>
      </w:r>
    </w:p>
    <w:p>
      <w:pPr>
        <w:spacing w:after="0" w:line="317" w:lineRule="exact"/>
        <w:rPr>
          <w:sz w:val="20"/>
          <w:szCs w:val="20"/>
          <w:color w:val="auto"/>
        </w:rPr>
      </w:pPr>
    </w:p>
    <w:p>
      <w:pPr>
        <w:ind w:left="380" w:hanging="372"/>
        <w:spacing w:after="0"/>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Based on the closing price per share of Common Stock on the NYSE on March 29, 2024 ($271.75).</w:t>
      </w:r>
    </w:p>
    <w:p>
      <w:pPr>
        <w:spacing w:after="0" w:line="109" w:lineRule="exact"/>
        <w:rPr>
          <w:rFonts w:ascii="Calibri" w:cs="Calibri" w:eastAsia="Calibri" w:hAnsi="Calibri"/>
          <w:sz w:val="18"/>
          <w:szCs w:val="18"/>
          <w:color w:val="auto"/>
        </w:rPr>
      </w:pPr>
    </w:p>
    <w:p>
      <w:pPr>
        <w:ind w:left="380" w:right="16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performance-based stock optons granted on May 19, 2022 under our 2013 Incentve Plan. The remaining earned stock optons will vest on March 31 of 2025 and 2026.</w:t>
      </w:r>
    </w:p>
    <w:p>
      <w:pPr>
        <w:spacing w:after="0" w:line="109" w:lineRule="exact"/>
        <w:rPr>
          <w:rFonts w:ascii="Calibri" w:cs="Calibri" w:eastAsia="Calibri" w:hAnsi="Calibri"/>
          <w:sz w:val="18"/>
          <w:szCs w:val="18"/>
          <w:color w:val="auto"/>
        </w:rPr>
      </w:pPr>
    </w:p>
    <w:p>
      <w:pPr>
        <w:ind w:left="380" w:right="32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tme-vestng stock optons granted on May 19, 2022 under our 2013 Incentve Plan. The remaining stock optons will vest on March 31 of 2025 and 2026.</w:t>
      </w:r>
    </w:p>
    <w:p>
      <w:pPr>
        <w:spacing w:after="0" w:line="109" w:lineRule="exact"/>
        <w:rPr>
          <w:rFonts w:ascii="Calibri" w:cs="Calibri" w:eastAsia="Calibri" w:hAnsi="Calibri"/>
          <w:sz w:val="18"/>
          <w:szCs w:val="18"/>
          <w:color w:val="auto"/>
        </w:rPr>
      </w:pPr>
    </w:p>
    <w:p>
      <w:pPr>
        <w:ind w:left="380" w:right="26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performance-based restricted stock granted on May 19, 2021 under our 2013 Incentve Plan. Restrictons on the remaining earned shares will lapse ratably on March 31, 2025.</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tme-vestng restricted stock granted on May 19, 2021 under our 2013 Incentve Plan. Restrictons will lapse ratably on March 31, 2025.</w:t>
      </w:r>
    </w:p>
    <w:p>
      <w:pPr>
        <w:spacing w:after="0" w:line="109" w:lineRule="exact"/>
        <w:rPr>
          <w:rFonts w:ascii="Calibri" w:cs="Calibri" w:eastAsia="Calibri" w:hAnsi="Calibri"/>
          <w:sz w:val="18"/>
          <w:szCs w:val="18"/>
          <w:color w:val="auto"/>
        </w:rPr>
      </w:pPr>
    </w:p>
    <w:p>
      <w:pPr>
        <w:ind w:left="380" w:right="26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performance-based restricted stock granted on May 19, 2022 under our 2013 Incentve Plan. Restrictons on the remaining earned shares will lapse ratably on March 31 of 2025 and 2026.</w:t>
      </w:r>
    </w:p>
    <w:p>
      <w:pPr>
        <w:spacing w:after="0" w:line="109" w:lineRule="exact"/>
        <w:rPr>
          <w:rFonts w:ascii="Calibri" w:cs="Calibri" w:eastAsia="Calibri" w:hAnsi="Calibri"/>
          <w:sz w:val="18"/>
          <w:szCs w:val="18"/>
          <w:color w:val="auto"/>
        </w:rPr>
      </w:pPr>
    </w:p>
    <w:p>
      <w:pPr>
        <w:ind w:left="380" w:right="2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tme-vestng restricted stock granted on May 19, 2022 under our 2013 Incentve Plan. Restrictons will lapse ratably on March 31 of 2025 and 2026.</w:t>
      </w:r>
    </w:p>
    <w:p>
      <w:pPr>
        <w:spacing w:after="0" w:line="109" w:lineRule="exact"/>
        <w:rPr>
          <w:rFonts w:ascii="Calibri" w:cs="Calibri" w:eastAsia="Calibri" w:hAnsi="Calibri"/>
          <w:sz w:val="18"/>
          <w:szCs w:val="18"/>
          <w:color w:val="auto"/>
        </w:rPr>
      </w:pPr>
    </w:p>
    <w:p>
      <w:pPr>
        <w:ind w:left="380" w:right="14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the maximum number (120% of target) of one-year performance-based restricted stock granted on May 23, 2023 under our 2013 Incentve Plan. The Compensaton Commitee determined in May 2024 (i.e., afer the end of fscal 2024) that 120% of the target award was earned. The earned restricted shares were paid to the Named Executve Ofcer on May 10, 2024.</w:t>
      </w:r>
    </w:p>
    <w:p>
      <w:pPr>
        <w:spacing w:after="0" w:line="110" w:lineRule="exact"/>
        <w:rPr>
          <w:rFonts w:ascii="Calibri" w:cs="Calibri" w:eastAsia="Calibri" w:hAnsi="Calibri"/>
          <w:sz w:val="18"/>
          <w:szCs w:val="18"/>
          <w:color w:val="auto"/>
        </w:rPr>
      </w:pPr>
    </w:p>
    <w:p>
      <w:pPr>
        <w:jc w:val="both"/>
        <w:ind w:left="380" w:right="10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the maximum number (120% of target) of two-year performance-based restricted stock granted on May 23, 2023 under our 2013 Incentve Plan. The Compensaton Commitee will determine in May 2025 (i.e., afer the end of fscal 2025) if any of the award was earned. Any earned restricted shares will be paid to the Named Executve Ofcer promptly thereafer.</w:t>
      </w:r>
    </w:p>
    <w:p>
      <w:pPr>
        <w:spacing w:after="0" w:line="110" w:lineRule="exact"/>
        <w:rPr>
          <w:rFonts w:ascii="Calibri" w:cs="Calibri" w:eastAsia="Calibri" w:hAnsi="Calibri"/>
          <w:sz w:val="18"/>
          <w:szCs w:val="18"/>
          <w:color w:val="auto"/>
        </w:rPr>
      </w:pPr>
    </w:p>
    <w:p>
      <w:pPr>
        <w:ind w:left="380" w:right="4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the maximum number (120% of target) of three-year performance-based restricted stock granted on May 23, 2023 under our 2013 Incentve Plan. The Compensaton Commitee will determine in May 2026 (i.e., afer the end of fscal 2026) if any of the award was earned. Any earned restricted shares will be paid to the Named Executve Ofcer promptly thereafer.</w:t>
      </w:r>
    </w:p>
    <w:p>
      <w:pPr>
        <w:spacing w:after="0" w:line="110" w:lineRule="exact"/>
        <w:rPr>
          <w:rFonts w:ascii="Calibri" w:cs="Calibri" w:eastAsia="Calibri" w:hAnsi="Calibri"/>
          <w:sz w:val="18"/>
          <w:szCs w:val="18"/>
          <w:color w:val="auto"/>
        </w:rPr>
      </w:pPr>
    </w:p>
    <w:p>
      <w:pPr>
        <w:ind w:left="380" w:right="8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Represents tme-vestng restricted stock granted on May 23, 2023 under our 2013 Incentve Plan. Restrictons on the frst one-third lapsed on March 31, 2024. Restrictons on the remaining shares will lapse ratably on March 31 of 2025 and 2026.</w:t>
      </w:r>
    </w:p>
    <w:p>
      <w:pPr>
        <w:spacing w:after="0" w:line="2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61" w:name="page62"/>
    <w:bookmarkEnd w:id="61"/>
    <w:p>
      <w:pPr>
        <w:ind w:left="372" w:hanging="372"/>
        <w:spacing w:after="0" w:line="235" w:lineRule="auto"/>
        <w:tabs>
          <w:tab w:leader="none" w:pos="372"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Represents restricted stock granted on May 18, 2010 under our 2013 Incentve Plan. Restrictons will lapse upon the Named Executve Ofcer meetng the requirements of retrement, as defned in the award agreement.</w:t>
      </w:r>
    </w:p>
    <w:p>
      <w:pPr>
        <w:spacing w:after="0" w:line="152" w:lineRule="exact"/>
        <w:rPr>
          <w:sz w:val="20"/>
          <w:szCs w:val="20"/>
          <w:color w:val="auto"/>
        </w:rPr>
      </w:pPr>
    </w:p>
    <w:p>
      <w:pPr>
        <w:ind w:left="4052"/>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211"/>
        <w:spacing w:after="0"/>
        <w:rPr>
          <w:sz w:val="20"/>
          <w:szCs w:val="20"/>
          <w:color w:val="auto"/>
        </w:rPr>
      </w:pPr>
      <w:r>
        <w:rPr>
          <w:rFonts w:ascii="Calibri" w:cs="Calibri" w:eastAsia="Calibri" w:hAnsi="Calibri"/>
          <w:sz w:val="20"/>
          <w:szCs w:val="20"/>
          <w:color w:val="auto"/>
        </w:rPr>
        <w:t>Eagle Materials Inc. - 2024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1022" w:right="539" w:bottom="1440" w:gutter="0" w:footer="0" w:header="0"/>
        </w:sectPr>
      </w:pPr>
    </w:p>
    <w:bookmarkStart w:id="62" w:name="page63"/>
    <w:bookmarkEnd w:id="62"/>
    <w:p>
      <w:pPr>
        <w:jc w:val="center"/>
        <w:ind w:right="-19"/>
        <w:spacing w:after="0"/>
        <w:rPr>
          <w:sz w:val="20"/>
          <w:szCs w:val="20"/>
          <w:color w:val="auto"/>
        </w:rPr>
      </w:pPr>
      <w:r>
        <w:rPr>
          <w:rFonts w:ascii="Calibri" w:cs="Calibri" w:eastAsia="Calibri" w:hAnsi="Calibri"/>
          <w:sz w:val="18"/>
          <w:szCs w:val="18"/>
          <w:b w:val="1"/>
          <w:bCs w:val="1"/>
          <w:color w:val="auto"/>
        </w:rPr>
        <w:t>Opton Exercises and Stock Vested in Fiscal 2024</w:t>
      </w:r>
    </w:p>
    <w:p>
      <w:pPr>
        <w:spacing w:after="0" w:line="32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following table sets forth informaton regarding the exercise of stock optons and the vestng of restricted stock during fscal 2024 for each of our Named Executve Ofcers.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80" w:type="dxa"/>
            <w:vAlign w:val="bottom"/>
            <w:gridSpan w:val="3"/>
          </w:tcPr>
          <w:p>
            <w:pPr>
              <w:jc w:val="right"/>
              <w:ind w:right="765"/>
              <w:spacing w:after="0"/>
              <w:rPr>
                <w:sz w:val="20"/>
                <w:szCs w:val="20"/>
                <w:color w:val="auto"/>
              </w:rPr>
            </w:pPr>
            <w:r>
              <w:rPr>
                <w:rFonts w:ascii="Calibri" w:cs="Calibri" w:eastAsia="Calibri" w:hAnsi="Calibri"/>
                <w:sz w:val="14"/>
                <w:szCs w:val="14"/>
                <w:b w:val="1"/>
                <w:bCs w:val="1"/>
                <w:color w:val="auto"/>
              </w:rPr>
              <w:t>Opton Awards</w:t>
            </w:r>
          </w:p>
        </w:tc>
        <w:tc>
          <w:tcPr>
            <w:tcW w:w="220" w:type="dxa"/>
            <w:vAlign w:val="bottom"/>
          </w:tcPr>
          <w:p>
            <w:pPr>
              <w:spacing w:after="0"/>
              <w:rPr>
                <w:sz w:val="14"/>
                <w:szCs w:val="14"/>
                <w:color w:val="auto"/>
              </w:rPr>
            </w:pPr>
          </w:p>
        </w:tc>
        <w:tc>
          <w:tcPr>
            <w:tcW w:w="2660" w:type="dxa"/>
            <w:vAlign w:val="bottom"/>
            <w:gridSpan w:val="4"/>
          </w:tcPr>
          <w:p>
            <w:pPr>
              <w:ind w:left="880"/>
              <w:spacing w:after="0"/>
              <w:rPr>
                <w:sz w:val="20"/>
                <w:szCs w:val="20"/>
                <w:color w:val="auto"/>
              </w:rPr>
            </w:pPr>
            <w:r>
              <w:rPr>
                <w:rFonts w:ascii="Calibri" w:cs="Calibri" w:eastAsia="Calibri" w:hAnsi="Calibri"/>
                <w:sz w:val="14"/>
                <w:szCs w:val="14"/>
                <w:b w:val="1"/>
                <w:bCs w:val="1"/>
                <w:color w:val="auto"/>
              </w:rPr>
              <w:t>Stock Awards</w:t>
            </w:r>
          </w:p>
        </w:tc>
      </w:tr>
      <w:tr>
        <w:trPr>
          <w:trHeight w:val="33"/>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0" w:type="dxa"/>
            <w:vAlign w:val="bottom"/>
          </w:tcPr>
          <w:p>
            <w:pPr>
              <w:jc w:val="center"/>
              <w:spacing w:after="0" w:line="164" w:lineRule="exact"/>
              <w:rPr>
                <w:sz w:val="20"/>
                <w:szCs w:val="20"/>
                <w:color w:val="auto"/>
              </w:rPr>
            </w:pPr>
            <w:r>
              <w:rPr>
                <w:rFonts w:ascii="Calibri" w:cs="Calibri" w:eastAsia="Calibri" w:hAnsi="Calibri"/>
                <w:sz w:val="14"/>
                <w:szCs w:val="14"/>
                <w:b w:val="1"/>
                <w:bCs w:val="1"/>
                <w:color w:val="auto"/>
              </w:rPr>
              <w:t>Number of</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rPr>
              <w:t>Shares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Acquired on</w:t>
            </w:r>
          </w:p>
        </w:tc>
        <w:tc>
          <w:tcPr>
            <w:tcW w:w="26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Value Realized</w:t>
            </w:r>
          </w:p>
        </w:tc>
        <w:tc>
          <w:tcPr>
            <w:tcW w:w="220" w:type="dxa"/>
            <w:vAlign w:val="bottom"/>
          </w:tcPr>
          <w:p>
            <w:pPr>
              <w:spacing w:after="0"/>
              <w:rPr>
                <w:sz w:val="13"/>
                <w:szCs w:val="13"/>
                <w:color w:val="auto"/>
              </w:rPr>
            </w:pPr>
          </w:p>
        </w:tc>
        <w:tc>
          <w:tcPr>
            <w:tcW w:w="11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Shares Acquired</w:t>
            </w:r>
          </w:p>
        </w:tc>
        <w:tc>
          <w:tcPr>
            <w:tcW w:w="240" w:type="dxa"/>
            <w:vAlign w:val="bottom"/>
          </w:tcPr>
          <w:p>
            <w:pPr>
              <w:spacing w:after="0"/>
              <w:rPr>
                <w:sz w:val="13"/>
                <w:szCs w:val="13"/>
                <w:color w:val="auto"/>
              </w:rPr>
            </w:pPr>
          </w:p>
        </w:tc>
        <w:tc>
          <w:tcPr>
            <w:tcW w:w="1240" w:type="dxa"/>
            <w:vAlign w:val="bottom"/>
            <w:gridSpan w:val="2"/>
          </w:tcPr>
          <w:p>
            <w:pPr>
              <w:jc w:val="center"/>
              <w:ind w:right="100"/>
              <w:spacing w:after="0" w:line="159" w:lineRule="exact"/>
              <w:rPr>
                <w:sz w:val="20"/>
                <w:szCs w:val="20"/>
                <w:color w:val="auto"/>
              </w:rPr>
            </w:pPr>
            <w:r>
              <w:rPr>
                <w:rFonts w:ascii="Calibri" w:cs="Calibri" w:eastAsia="Calibri" w:hAnsi="Calibri"/>
                <w:sz w:val="14"/>
                <w:szCs w:val="14"/>
                <w:b w:val="1"/>
                <w:bCs w:val="1"/>
                <w:color w:val="auto"/>
              </w:rPr>
              <w:t>Value Realized</w:t>
            </w:r>
          </w:p>
        </w:tc>
      </w:tr>
      <w:tr>
        <w:trPr>
          <w:trHeight w:val="19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Calibri" w:cs="Calibri" w:eastAsia="Calibri" w:hAnsi="Calibri"/>
                <w:sz w:val="14"/>
                <w:szCs w:val="14"/>
                <w:b w:val="1"/>
                <w:bCs w:val="1"/>
                <w:color w:val="auto"/>
              </w:rPr>
              <w:t>Exercise</w:t>
            </w:r>
          </w:p>
        </w:tc>
        <w:tc>
          <w:tcPr>
            <w:tcW w:w="2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on Exercise</w:t>
            </w:r>
          </w:p>
        </w:tc>
        <w:tc>
          <w:tcPr>
            <w:tcW w:w="22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Calibri" w:cs="Calibri" w:eastAsia="Calibri" w:hAnsi="Calibri"/>
                <w:sz w:val="14"/>
                <w:szCs w:val="14"/>
                <w:b w:val="1"/>
                <w:bCs w:val="1"/>
                <w:color w:val="auto"/>
              </w:rPr>
              <w:t>on Vestng</w:t>
            </w:r>
            <w:r>
              <w:rPr>
                <w:rFonts w:ascii="Calibri" w:cs="Calibri" w:eastAsia="Calibri" w:hAnsi="Calibri"/>
                <w:sz w:val="19"/>
                <w:szCs w:val="19"/>
                <w:b w:val="1"/>
                <w:bCs w:val="1"/>
                <w:color w:val="auto"/>
                <w:vertAlign w:val="superscript"/>
              </w:rPr>
              <w:t>(1)</w:t>
            </w:r>
          </w:p>
        </w:tc>
        <w:tc>
          <w:tcPr>
            <w:tcW w:w="24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Calibri" w:cs="Calibri" w:eastAsia="Calibri" w:hAnsi="Calibri"/>
                <w:sz w:val="14"/>
                <w:szCs w:val="14"/>
                <w:b w:val="1"/>
                <w:bCs w:val="1"/>
                <w:color w:val="auto"/>
              </w:rPr>
              <w:t>on Vestng</w:t>
            </w:r>
            <w:r>
              <w:rPr>
                <w:rFonts w:ascii="Calibri" w:cs="Calibri" w:eastAsia="Calibri" w:hAnsi="Calibri"/>
                <w:sz w:val="19"/>
                <w:szCs w:val="19"/>
                <w:b w:val="1"/>
                <w:bCs w:val="1"/>
                <w:color w:val="auto"/>
                <w:vertAlign w:val="superscript"/>
              </w:rPr>
              <w:t>(2)</w:t>
            </w:r>
          </w:p>
        </w:tc>
      </w:tr>
      <w:tr>
        <w:trPr>
          <w:trHeight w:val="163"/>
        </w:trPr>
        <w:tc>
          <w:tcPr>
            <w:tcW w:w="5780" w:type="dxa"/>
            <w:vAlign w:val="bottom"/>
            <w:gridSpan w:val="4"/>
          </w:tcPr>
          <w:p>
            <w:pPr>
              <w:ind w:left="20"/>
              <w:spacing w:after="0" w:line="163" w:lineRule="exact"/>
              <w:rPr>
                <w:sz w:val="20"/>
                <w:szCs w:val="20"/>
                <w:color w:val="auto"/>
              </w:rPr>
            </w:pPr>
            <w:r>
              <w:rPr>
                <w:rFonts w:ascii="Calibri" w:cs="Calibri" w:eastAsia="Calibri" w:hAnsi="Calibri"/>
                <w:sz w:val="14"/>
                <w:szCs w:val="14"/>
                <w:b w:val="1"/>
                <w:bCs w:val="1"/>
                <w:color w:val="auto"/>
              </w:rPr>
              <w:t>Name</w:t>
            </w:r>
          </w:p>
        </w:tc>
        <w:tc>
          <w:tcPr>
            <w:tcW w:w="1200" w:type="dxa"/>
            <w:vAlign w:val="bottom"/>
          </w:tcPr>
          <w:p>
            <w:pPr>
              <w:jc w:val="center"/>
              <w:spacing w:after="0" w:line="163" w:lineRule="exact"/>
              <w:rPr>
                <w:sz w:val="20"/>
                <w:szCs w:val="20"/>
                <w:color w:val="auto"/>
              </w:rPr>
            </w:pPr>
            <w:r>
              <w:rPr>
                <w:rFonts w:ascii="Calibri" w:cs="Calibri" w:eastAsia="Calibri" w:hAnsi="Calibri"/>
                <w:sz w:val="14"/>
                <w:szCs w:val="14"/>
                <w:b w:val="1"/>
                <w:bCs w:val="1"/>
                <w:color w:val="auto"/>
              </w:rPr>
              <w:t>(#)</w:t>
            </w:r>
          </w:p>
        </w:tc>
        <w:tc>
          <w:tcPr>
            <w:tcW w:w="1380" w:type="dxa"/>
            <w:vAlign w:val="bottom"/>
            <w:gridSpan w:val="2"/>
          </w:tcPr>
          <w:p>
            <w:pPr>
              <w:jc w:val="center"/>
              <w:ind w:left="180"/>
              <w:spacing w:after="0" w:line="163" w:lineRule="exact"/>
              <w:rPr>
                <w:sz w:val="20"/>
                <w:szCs w:val="20"/>
                <w:color w:val="auto"/>
              </w:rPr>
            </w:pPr>
            <w:r>
              <w:rPr>
                <w:rFonts w:ascii="Calibri" w:cs="Calibri" w:eastAsia="Calibri" w:hAnsi="Calibri"/>
                <w:sz w:val="14"/>
                <w:szCs w:val="14"/>
                <w:b w:val="1"/>
                <w:bCs w:val="1"/>
                <w:color w:val="auto"/>
              </w:rPr>
              <w:t>($)</w:t>
            </w:r>
          </w:p>
        </w:tc>
        <w:tc>
          <w:tcPr>
            <w:tcW w:w="1400" w:type="dxa"/>
            <w:vAlign w:val="bottom"/>
            <w:gridSpan w:val="2"/>
          </w:tcPr>
          <w:p>
            <w:pPr>
              <w:jc w:val="center"/>
              <w:ind w:left="120"/>
              <w:spacing w:after="0" w:line="163" w:lineRule="exact"/>
              <w:rPr>
                <w:sz w:val="20"/>
                <w:szCs w:val="20"/>
                <w:color w:val="auto"/>
              </w:rPr>
            </w:pPr>
            <w:r>
              <w:rPr>
                <w:rFonts w:ascii="Calibri" w:cs="Calibri" w:eastAsia="Calibri" w:hAnsi="Calibri"/>
                <w:sz w:val="14"/>
                <w:szCs w:val="14"/>
                <w:b w:val="1"/>
                <w:bCs w:val="1"/>
                <w:color w:val="auto"/>
              </w:rPr>
              <w:t>(#)</w:t>
            </w:r>
          </w:p>
        </w:tc>
        <w:tc>
          <w:tcPr>
            <w:tcW w:w="1380" w:type="dxa"/>
            <w:vAlign w:val="bottom"/>
            <w:gridSpan w:val="2"/>
          </w:tcPr>
          <w:p>
            <w:pPr>
              <w:jc w:val="center"/>
              <w:ind w:left="140"/>
              <w:spacing w:after="0" w:line="163"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780" w:type="dxa"/>
            <w:vAlign w:val="bottom"/>
            <w:tcBorders>
              <w:bottom w:val="single" w:sz="8" w:color="CFF0FC"/>
            </w:tcBorders>
            <w:gridSpan w:val="4"/>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Michael R. Haack</w:t>
            </w:r>
          </w:p>
        </w:tc>
        <w:tc>
          <w:tcPr>
            <w:tcW w:w="12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49,730</w:t>
            </w:r>
          </w:p>
        </w:tc>
        <w:tc>
          <w:tcPr>
            <w:tcW w:w="138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5,420,649</w:t>
            </w:r>
          </w:p>
        </w:tc>
        <w:tc>
          <w:tcPr>
            <w:tcW w:w="140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32,055</w:t>
            </w:r>
          </w:p>
        </w:tc>
        <w:tc>
          <w:tcPr>
            <w:tcW w:w="138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8,256,099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78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D. Craig Kesler</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18,734</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1,609,516</w:t>
            </w:r>
          </w:p>
        </w:tc>
        <w:tc>
          <w:tcPr>
            <w:tcW w:w="14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8,085</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2,095,946</w:t>
            </w:r>
          </w:p>
        </w:tc>
        <w:tc>
          <w:tcPr>
            <w:tcW w:w="100" w:type="dxa"/>
            <w:vAlign w:val="bottom"/>
          </w:tcPr>
          <w:p>
            <w:pPr>
              <w:spacing w:after="0"/>
              <w:rPr>
                <w:sz w:val="16"/>
                <w:szCs w:val="16"/>
                <w:color w:val="auto"/>
              </w:rPr>
            </w:pPr>
          </w:p>
        </w:tc>
      </w:tr>
      <w:tr>
        <w:trPr>
          <w:trHeight w:val="36"/>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5780" w:type="dxa"/>
            <w:vAlign w:val="bottom"/>
            <w:tcBorders>
              <w:bottom w:val="single" w:sz="8" w:color="CFF0FC"/>
            </w:tcBorders>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Mat Newby</w:t>
            </w: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15,964</w:t>
            </w:r>
          </w:p>
        </w:tc>
        <w:tc>
          <w:tcPr>
            <w:tcW w:w="13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1,684,185</w:t>
            </w:r>
          </w:p>
        </w:tc>
        <w:tc>
          <w:tcPr>
            <w:tcW w:w="140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5,267</w:t>
            </w:r>
          </w:p>
        </w:tc>
        <w:tc>
          <w:tcPr>
            <w:tcW w:w="13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1,336,959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578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Eric Cribbs</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12,319</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1,646,272</w:t>
            </w:r>
          </w:p>
        </w:tc>
        <w:tc>
          <w:tcPr>
            <w:tcW w:w="14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4,446</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1,147,532</w:t>
            </w:r>
          </w:p>
        </w:tc>
        <w:tc>
          <w:tcPr>
            <w:tcW w:w="100" w:type="dxa"/>
            <w:vAlign w:val="bottom"/>
          </w:tcPr>
          <w:p>
            <w:pPr>
              <w:spacing w:after="0"/>
              <w:rPr>
                <w:sz w:val="16"/>
                <w:szCs w:val="16"/>
                <w:color w:val="auto"/>
              </w:rPr>
            </w:pPr>
          </w:p>
        </w:tc>
      </w:tr>
      <w:tr>
        <w:trPr>
          <w:trHeight w:val="36"/>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5780" w:type="dxa"/>
            <w:vAlign w:val="bottom"/>
            <w:tcBorders>
              <w:bottom w:val="single" w:sz="8" w:color="CFF0FC"/>
            </w:tcBorders>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Tony Thompson</w:t>
            </w: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10,094</w:t>
            </w:r>
          </w:p>
        </w:tc>
        <w:tc>
          <w:tcPr>
            <w:tcW w:w="13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817,600</w:t>
            </w:r>
          </w:p>
        </w:tc>
        <w:tc>
          <w:tcPr>
            <w:tcW w:w="140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4,017</w:t>
            </w:r>
          </w:p>
        </w:tc>
        <w:tc>
          <w:tcPr>
            <w:tcW w:w="13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1,046,033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3"/>
        </w:trPr>
        <w:tc>
          <w:tcPr>
            <w:tcW w:w="578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Robert S. Stewart</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4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14,617</w:t>
            </w:r>
          </w:p>
        </w:tc>
        <w:tc>
          <w:tcPr>
            <w:tcW w:w="13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2,684,300</w:t>
            </w:r>
          </w:p>
        </w:tc>
        <w:tc>
          <w:tcPr>
            <w:tcW w:w="100" w:type="dxa"/>
            <w:vAlign w:val="bottom"/>
          </w:tcPr>
          <w:p>
            <w:pPr>
              <w:spacing w:after="0"/>
              <w:rPr>
                <w:sz w:val="16"/>
                <w:szCs w:val="16"/>
                <w:color w:val="auto"/>
              </w:rPr>
            </w:pPr>
          </w:p>
        </w:tc>
      </w:tr>
      <w:tr>
        <w:trPr>
          <w:trHeight w:val="36"/>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5780" w:type="dxa"/>
            <w:vAlign w:val="bottom"/>
            <w:tcBorders>
              <w:bottom w:val="single" w:sz="8" w:color="CFF0FC"/>
            </w:tcBorders>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Steven L. Wentzel</w:t>
            </w: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2,582</w:t>
            </w:r>
          </w:p>
        </w:tc>
        <w:tc>
          <w:tcPr>
            <w:tcW w:w="13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202,481</w:t>
            </w:r>
          </w:p>
        </w:tc>
        <w:tc>
          <w:tcPr>
            <w:tcW w:w="140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9,744</w:t>
            </w:r>
          </w:p>
        </w:tc>
        <w:tc>
          <w:tcPr>
            <w:tcW w:w="1380" w:type="dxa"/>
            <w:vAlign w:val="bottom"/>
            <w:tcBorders>
              <w:bottom w:val="single" w:sz="8" w:color="CFF0FC"/>
            </w:tcBorders>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1,585,765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13" w:lineRule="exact"/>
        <w:rPr>
          <w:sz w:val="20"/>
          <w:szCs w:val="20"/>
          <w:color w:val="auto"/>
        </w:rPr>
      </w:pPr>
    </w:p>
    <w:p>
      <w:pPr>
        <w:ind w:left="380" w:right="6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All of the amounts in this column represent shares of Common Stock received by the Named Executve Ofcer in connecton with the lapsing of restrictons on restricted stock previously granted to the Named Executve Ofcers.</w:t>
      </w:r>
    </w:p>
    <w:p>
      <w:pPr>
        <w:spacing w:after="0" w:line="109" w:lineRule="exact"/>
        <w:rPr>
          <w:rFonts w:ascii="Calibri" w:cs="Calibri" w:eastAsia="Calibri" w:hAnsi="Calibri"/>
          <w:sz w:val="18"/>
          <w:szCs w:val="18"/>
          <w:color w:val="auto"/>
        </w:rPr>
      </w:pPr>
    </w:p>
    <w:p>
      <w:pPr>
        <w:ind w:left="380" w:right="3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 amount in this column represents the dollar amount realized by the Named Executve Ofcer valued at the tme of the vestng of such shares of Common Stock.</w:t>
      </w:r>
    </w:p>
    <w:p>
      <w:pPr>
        <w:spacing w:after="0" w:line="31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3" w:name="page64"/>
    <w:bookmarkEnd w:id="63"/>
    <w:p>
      <w:pPr>
        <w:jc w:val="center"/>
        <w:ind w:right="-19"/>
        <w:spacing w:after="0"/>
        <w:rPr>
          <w:sz w:val="20"/>
          <w:szCs w:val="20"/>
          <w:color w:val="auto"/>
        </w:rPr>
      </w:pPr>
      <w:r>
        <w:rPr>
          <w:rFonts w:ascii="Calibri" w:cs="Calibri" w:eastAsia="Calibri" w:hAnsi="Calibri"/>
          <w:sz w:val="18"/>
          <w:szCs w:val="18"/>
          <w:b w:val="1"/>
          <w:bCs w:val="1"/>
          <w:color w:val="auto"/>
        </w:rPr>
        <w:t>Nonqualifed Deferred Compensaton</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in FY 2024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Calibri" w:cs="Calibri" w:eastAsia="Calibri" w:hAnsi="Calibri"/>
                <w:sz w:val="13"/>
                <w:szCs w:val="13"/>
                <w:b w:val="1"/>
                <w:bCs w:val="1"/>
                <w:color w:val="auto"/>
              </w:rPr>
              <w:t>Executve</w:t>
            </w:r>
          </w:p>
        </w:tc>
        <w:tc>
          <w:tcPr>
            <w:tcW w:w="2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Calibri" w:cs="Calibri" w:eastAsia="Calibri" w:hAnsi="Calibri"/>
                <w:sz w:val="13"/>
                <w:szCs w:val="13"/>
                <w:b w:val="1"/>
                <w:bCs w:val="1"/>
                <w:color w:val="auto"/>
              </w:rPr>
              <w:t>Registrant</w:t>
            </w: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Calibri" w:cs="Calibri" w:eastAsia="Calibri" w:hAnsi="Calibri"/>
                <w:sz w:val="13"/>
                <w:szCs w:val="13"/>
                <w:b w:val="1"/>
                <w:bCs w:val="1"/>
                <w:color w:val="auto"/>
              </w:rPr>
              <w:t>Aggregate</w:t>
            </w: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Calibri" w:cs="Calibri" w:eastAsia="Calibri" w:hAnsi="Calibri"/>
                <w:sz w:val="13"/>
                <w:szCs w:val="13"/>
                <w:b w:val="1"/>
                <w:bCs w:val="1"/>
                <w:color w:val="auto"/>
              </w:rPr>
              <w:t>Aggregate</w:t>
            </w:r>
          </w:p>
        </w:tc>
        <w:tc>
          <w:tcPr>
            <w:tcW w:w="2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Calibri" w:cs="Calibri" w:eastAsia="Calibri" w:hAnsi="Calibri"/>
                <w:sz w:val="13"/>
                <w:szCs w:val="13"/>
                <w:b w:val="1"/>
                <w:bCs w:val="1"/>
                <w:color w:val="auto"/>
              </w:rPr>
              <w:t>Aggregate</w:t>
            </w: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alibri" w:cs="Calibri" w:eastAsia="Calibri" w:hAnsi="Calibri"/>
                <w:sz w:val="13"/>
                <w:szCs w:val="13"/>
                <w:b w:val="1"/>
                <w:bCs w:val="1"/>
                <w:color w:val="auto"/>
              </w:rPr>
              <w:t>Contributons in</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alibri" w:cs="Calibri" w:eastAsia="Calibri" w:hAnsi="Calibri"/>
                <w:sz w:val="13"/>
                <w:szCs w:val="13"/>
                <w:b w:val="1"/>
                <w:bCs w:val="1"/>
                <w:color w:val="auto"/>
              </w:rPr>
              <w:t>Contributons in</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alibri" w:cs="Calibri" w:eastAsia="Calibri" w:hAnsi="Calibri"/>
                <w:sz w:val="13"/>
                <w:szCs w:val="13"/>
                <w:b w:val="1"/>
                <w:bCs w:val="1"/>
                <w:color w:val="auto"/>
              </w:rPr>
              <w:t>Earnings in</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alibri" w:cs="Calibri" w:eastAsia="Calibri" w:hAnsi="Calibri"/>
                <w:sz w:val="13"/>
                <w:szCs w:val="13"/>
                <w:b w:val="1"/>
                <w:bCs w:val="1"/>
                <w:color w:val="auto"/>
              </w:rPr>
              <w:t>Withdrawals/</w:t>
            </w:r>
          </w:p>
        </w:tc>
        <w:tc>
          <w:tcPr>
            <w:tcW w:w="2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Calibri" w:cs="Calibri" w:eastAsia="Calibri" w:hAnsi="Calibri"/>
                <w:sz w:val="13"/>
                <w:szCs w:val="13"/>
                <w:b w:val="1"/>
                <w:bCs w:val="1"/>
                <w:color w:val="auto"/>
              </w:rPr>
              <w:t>Balance at</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Calibri" w:cs="Calibri" w:eastAsia="Calibri" w:hAnsi="Calibri"/>
                <w:sz w:val="13"/>
                <w:szCs w:val="13"/>
                <w:b w:val="1"/>
                <w:bCs w:val="1"/>
                <w:color w:val="auto"/>
              </w:rPr>
              <w:t>Last FY</w:t>
            </w:r>
          </w:p>
        </w:tc>
        <w:tc>
          <w:tcPr>
            <w:tcW w:w="24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Calibri" w:cs="Calibri" w:eastAsia="Calibri" w:hAnsi="Calibri"/>
                <w:sz w:val="13"/>
                <w:szCs w:val="13"/>
                <w:b w:val="1"/>
                <w:bCs w:val="1"/>
                <w:color w:val="auto"/>
                <w:w w:val="94"/>
              </w:rPr>
              <w:t>Last FY</w:t>
            </w:r>
            <w:r>
              <w:rPr>
                <w:rFonts w:ascii="Calibri" w:cs="Calibri" w:eastAsia="Calibri" w:hAnsi="Calibri"/>
                <w:sz w:val="18"/>
                <w:szCs w:val="18"/>
                <w:b w:val="1"/>
                <w:bCs w:val="1"/>
                <w:color w:val="auto"/>
                <w:w w:val="94"/>
                <w:vertAlign w:val="superscript"/>
              </w:rPr>
              <w:t>(1)</w:t>
            </w:r>
          </w:p>
        </w:tc>
        <w:tc>
          <w:tcPr>
            <w:tcW w:w="2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Calibri" w:cs="Calibri" w:eastAsia="Calibri" w:hAnsi="Calibri"/>
                <w:sz w:val="13"/>
                <w:szCs w:val="13"/>
                <w:b w:val="1"/>
                <w:bCs w:val="1"/>
                <w:color w:val="auto"/>
                <w:w w:val="94"/>
              </w:rPr>
              <w:t>Last FY</w:t>
            </w:r>
            <w:r>
              <w:rPr>
                <w:rFonts w:ascii="Calibri" w:cs="Calibri" w:eastAsia="Calibri" w:hAnsi="Calibri"/>
                <w:sz w:val="18"/>
                <w:szCs w:val="18"/>
                <w:b w:val="1"/>
                <w:bCs w:val="1"/>
                <w:color w:val="auto"/>
                <w:w w:val="94"/>
                <w:vertAlign w:val="superscript"/>
              </w:rPr>
              <w:t>(2)</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alibri" w:cs="Calibri" w:eastAsia="Calibri" w:hAnsi="Calibri"/>
                <w:sz w:val="13"/>
                <w:szCs w:val="13"/>
                <w:b w:val="1"/>
                <w:bCs w:val="1"/>
                <w:color w:val="auto"/>
              </w:rPr>
              <w:t>Distributons</w:t>
            </w:r>
          </w:p>
        </w:tc>
        <w:tc>
          <w:tcPr>
            <w:tcW w:w="220" w:type="dxa"/>
            <w:vAlign w:val="bottom"/>
          </w:tcPr>
          <w:p>
            <w:pPr>
              <w:spacing w:after="0"/>
              <w:rPr>
                <w:sz w:val="17"/>
                <w:szCs w:val="17"/>
                <w:color w:val="auto"/>
              </w:rPr>
            </w:pPr>
          </w:p>
        </w:tc>
        <w:tc>
          <w:tcPr>
            <w:tcW w:w="1140" w:type="dxa"/>
            <w:vAlign w:val="bottom"/>
            <w:gridSpan w:val="2"/>
          </w:tcPr>
          <w:p>
            <w:pPr>
              <w:jc w:val="center"/>
              <w:ind w:right="120"/>
              <w:spacing w:after="0" w:line="202" w:lineRule="exact"/>
              <w:rPr>
                <w:sz w:val="20"/>
                <w:szCs w:val="20"/>
                <w:color w:val="auto"/>
              </w:rPr>
            </w:pPr>
            <w:r>
              <w:rPr>
                <w:rFonts w:ascii="Calibri" w:cs="Calibri" w:eastAsia="Calibri" w:hAnsi="Calibri"/>
                <w:sz w:val="13"/>
                <w:szCs w:val="13"/>
                <w:b w:val="1"/>
                <w:bCs w:val="1"/>
                <w:color w:val="auto"/>
                <w:w w:val="94"/>
              </w:rPr>
              <w:t>Last FYE</w:t>
            </w:r>
            <w:r>
              <w:rPr>
                <w:rFonts w:ascii="Calibri" w:cs="Calibri" w:eastAsia="Calibri" w:hAnsi="Calibri"/>
                <w:sz w:val="18"/>
                <w:szCs w:val="18"/>
                <w:b w:val="1"/>
                <w:bCs w:val="1"/>
                <w:color w:val="auto"/>
                <w:w w:val="94"/>
                <w:vertAlign w:val="superscript"/>
              </w:rPr>
              <w:t>(3)</w:t>
            </w:r>
          </w:p>
        </w:tc>
      </w:tr>
      <w:tr>
        <w:trPr>
          <w:trHeight w:val="154"/>
        </w:trPr>
        <w:tc>
          <w:tcPr>
            <w:tcW w:w="5020" w:type="dxa"/>
            <w:vAlign w:val="bottom"/>
            <w:gridSpan w:val="4"/>
          </w:tcPr>
          <w:p>
            <w:pPr>
              <w:ind w:left="20"/>
              <w:spacing w:after="0" w:line="155" w:lineRule="exact"/>
              <w:rPr>
                <w:sz w:val="20"/>
                <w:szCs w:val="20"/>
                <w:color w:val="auto"/>
              </w:rPr>
            </w:pPr>
            <w:r>
              <w:rPr>
                <w:rFonts w:ascii="Calibri" w:cs="Calibri" w:eastAsia="Calibri" w:hAnsi="Calibri"/>
                <w:sz w:val="13"/>
                <w:szCs w:val="13"/>
                <w:b w:val="1"/>
                <w:bCs w:val="1"/>
                <w:color w:val="auto"/>
              </w:rPr>
              <w:t>Name</w:t>
            </w:r>
          </w:p>
        </w:tc>
        <w:tc>
          <w:tcPr>
            <w:tcW w:w="1140" w:type="dxa"/>
            <w:vAlign w:val="bottom"/>
            <w:gridSpan w:val="2"/>
          </w:tcPr>
          <w:p>
            <w:pPr>
              <w:jc w:val="center"/>
              <w:ind w:left="53"/>
              <w:spacing w:after="0" w:line="155" w:lineRule="exact"/>
              <w:rPr>
                <w:sz w:val="20"/>
                <w:szCs w:val="20"/>
                <w:color w:val="auto"/>
              </w:rPr>
            </w:pPr>
            <w:r>
              <w:rPr>
                <w:rFonts w:ascii="Calibri" w:cs="Calibri" w:eastAsia="Calibri" w:hAnsi="Calibri"/>
                <w:sz w:val="13"/>
                <w:szCs w:val="13"/>
                <w:b w:val="1"/>
                <w:bCs w:val="1"/>
                <w:color w:val="auto"/>
                <w:w w:val="94"/>
              </w:rPr>
              <w:t>($)</w:t>
            </w:r>
          </w:p>
        </w:tc>
        <w:tc>
          <w:tcPr>
            <w:tcW w:w="1280" w:type="dxa"/>
            <w:vAlign w:val="bottom"/>
            <w:gridSpan w:val="2"/>
          </w:tcPr>
          <w:p>
            <w:pPr>
              <w:jc w:val="center"/>
              <w:ind w:left="162"/>
              <w:spacing w:after="0" w:line="155" w:lineRule="exact"/>
              <w:rPr>
                <w:sz w:val="20"/>
                <w:szCs w:val="20"/>
                <w:color w:val="auto"/>
              </w:rPr>
            </w:pPr>
            <w:r>
              <w:rPr>
                <w:rFonts w:ascii="Calibri" w:cs="Calibri" w:eastAsia="Calibri" w:hAnsi="Calibri"/>
                <w:sz w:val="13"/>
                <w:szCs w:val="13"/>
                <w:b w:val="1"/>
                <w:bCs w:val="1"/>
                <w:color w:val="auto"/>
              </w:rPr>
              <w:t>($)</w:t>
            </w:r>
          </w:p>
        </w:tc>
        <w:tc>
          <w:tcPr>
            <w:tcW w:w="1220" w:type="dxa"/>
            <w:vAlign w:val="bottom"/>
            <w:gridSpan w:val="2"/>
          </w:tcPr>
          <w:p>
            <w:pPr>
              <w:jc w:val="center"/>
              <w:ind w:left="141"/>
              <w:spacing w:after="0" w:line="155" w:lineRule="exact"/>
              <w:rPr>
                <w:sz w:val="20"/>
                <w:szCs w:val="20"/>
                <w:color w:val="auto"/>
              </w:rPr>
            </w:pPr>
            <w:r>
              <w:rPr>
                <w:rFonts w:ascii="Calibri" w:cs="Calibri" w:eastAsia="Calibri" w:hAnsi="Calibri"/>
                <w:sz w:val="13"/>
                <w:szCs w:val="13"/>
                <w:b w:val="1"/>
                <w:bCs w:val="1"/>
                <w:color w:val="auto"/>
              </w:rPr>
              <w:t>($)</w:t>
            </w:r>
          </w:p>
        </w:tc>
        <w:tc>
          <w:tcPr>
            <w:tcW w:w="1220" w:type="dxa"/>
            <w:vAlign w:val="bottom"/>
            <w:gridSpan w:val="2"/>
          </w:tcPr>
          <w:p>
            <w:pPr>
              <w:jc w:val="center"/>
              <w:ind w:left="142"/>
              <w:spacing w:after="0" w:line="155" w:lineRule="exact"/>
              <w:rPr>
                <w:sz w:val="20"/>
                <w:szCs w:val="20"/>
                <w:color w:val="auto"/>
              </w:rPr>
            </w:pPr>
            <w:r>
              <w:rPr>
                <w:rFonts w:ascii="Calibri" w:cs="Calibri" w:eastAsia="Calibri" w:hAnsi="Calibri"/>
                <w:sz w:val="13"/>
                <w:szCs w:val="13"/>
                <w:b w:val="1"/>
                <w:bCs w:val="1"/>
                <w:color w:val="auto"/>
              </w:rPr>
              <w:t>($)</w:t>
            </w:r>
          </w:p>
        </w:tc>
        <w:tc>
          <w:tcPr>
            <w:tcW w:w="1260" w:type="dxa"/>
            <w:vAlign w:val="bottom"/>
            <w:gridSpan w:val="2"/>
          </w:tcPr>
          <w:p>
            <w:pPr>
              <w:jc w:val="center"/>
              <w:ind w:left="121"/>
              <w:spacing w:after="0" w:line="155" w:lineRule="exact"/>
              <w:rPr>
                <w:sz w:val="20"/>
                <w:szCs w:val="20"/>
                <w:color w:val="auto"/>
              </w:rPr>
            </w:pPr>
            <w:r>
              <w:rPr>
                <w:rFonts w:ascii="Calibri" w:cs="Calibri" w:eastAsia="Calibri" w:hAnsi="Calibri"/>
                <w:sz w:val="13"/>
                <w:szCs w:val="13"/>
                <w:b w:val="1"/>
                <w:bCs w:val="1"/>
                <w:color w:val="auto"/>
                <w:w w:val="94"/>
              </w:rPr>
              <w:t>($)</w:t>
            </w:r>
          </w:p>
        </w:tc>
        <w:tc>
          <w:tcPr>
            <w:tcW w:w="1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5020" w:type="dxa"/>
            <w:vAlign w:val="bottom"/>
            <w:gridSpan w:val="4"/>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Michael R. Haack</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20" w:type="dxa"/>
            <w:vAlign w:val="bottom"/>
            <w:shd w:val="clear" w:color="auto" w:fill="CFF0FC"/>
          </w:tcPr>
          <w:p>
            <w:pPr>
              <w:spacing w:after="0"/>
              <w:rPr>
                <w:sz w:val="19"/>
                <w:szCs w:val="19"/>
                <w:color w:val="auto"/>
              </w:rPr>
            </w:pPr>
          </w:p>
        </w:tc>
        <w:tc>
          <w:tcPr>
            <w:tcW w:w="5000" w:type="dxa"/>
            <w:vAlign w:val="bottom"/>
            <w:gridSpan w:val="3"/>
            <w:shd w:val="clear" w:color="auto" w:fill="CFF0FC"/>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12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70,000</w:t>
            </w:r>
          </w:p>
        </w:tc>
        <w:tc>
          <w:tcPr>
            <w:tcW w:w="12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113,744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617,570</w:t>
            </w:r>
          </w:p>
        </w:tc>
        <w:tc>
          <w:tcPr>
            <w:tcW w:w="100" w:type="dxa"/>
            <w:vAlign w:val="bottom"/>
            <w:shd w:val="clear" w:color="auto" w:fill="CFF0FC"/>
          </w:tcPr>
          <w:p>
            <w:pPr>
              <w:spacing w:after="0"/>
              <w:rPr>
                <w:sz w:val="19"/>
                <w:szCs w:val="19"/>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000" w:type="dxa"/>
            <w:vAlign w:val="bottom"/>
            <w:tcBorders>
              <w:bottom w:val="single" w:sz="8" w:color="CFF0FC"/>
            </w:tcBorders>
            <w:gridSpan w:val="3"/>
            <w:shd w:val="clear" w:color="auto" w:fill="CFF0FC"/>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193"/>
        </w:trPr>
        <w:tc>
          <w:tcPr>
            <w:tcW w:w="502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D. Craig Kesler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5000" w:type="dxa"/>
            <w:vAlign w:val="bottom"/>
            <w:gridSpan w:val="3"/>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tcPr>
          <w:p>
            <w:pPr>
              <w:spacing w:after="0"/>
              <w:rPr>
                <w:sz w:val="19"/>
                <w:szCs w:val="19"/>
                <w:color w:val="auto"/>
              </w:rPr>
            </w:pPr>
          </w:p>
        </w:tc>
        <w:tc>
          <w:tcPr>
            <w:tcW w:w="1020" w:type="dxa"/>
            <w:vAlign w:val="bottom"/>
          </w:tcPr>
          <w:p>
            <w:pPr>
              <w:ind w:left="860"/>
              <w:spacing w:after="0"/>
              <w:rPr>
                <w:sz w:val="20"/>
                <w:szCs w:val="20"/>
                <w:color w:val="auto"/>
              </w:rPr>
            </w:pPr>
            <w:r>
              <w:rPr>
                <w:rFonts w:ascii="Calibri" w:cs="Calibri" w:eastAsia="Calibri" w:hAnsi="Calibri"/>
                <w:sz w:val="16"/>
                <w:szCs w:val="16"/>
                <w:color w:val="auto"/>
                <w:w w:val="96"/>
              </w:rPr>
              <w:t>—</w:t>
            </w:r>
          </w:p>
        </w:tc>
        <w:tc>
          <w:tcPr>
            <w:tcW w:w="1280" w:type="dxa"/>
            <w:vAlign w:val="bottom"/>
            <w:gridSpan w:val="2"/>
          </w:tcPr>
          <w:p>
            <w:pPr>
              <w:jc w:val="right"/>
              <w:spacing w:after="0"/>
              <w:rPr>
                <w:sz w:val="20"/>
                <w:szCs w:val="20"/>
                <w:color w:val="auto"/>
              </w:rPr>
            </w:pPr>
            <w:r>
              <w:rPr>
                <w:rFonts w:ascii="Calibri" w:cs="Calibri" w:eastAsia="Calibri" w:hAnsi="Calibri"/>
                <w:sz w:val="16"/>
                <w:szCs w:val="16"/>
                <w:color w:val="auto"/>
              </w:rPr>
              <w:t>24,126</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83,946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gridSpan w:val="2"/>
          </w:tcPr>
          <w:p>
            <w:pPr>
              <w:jc w:val="right"/>
              <w:spacing w:after="0"/>
              <w:rPr>
                <w:sz w:val="20"/>
                <w:szCs w:val="20"/>
                <w:color w:val="auto"/>
              </w:rPr>
            </w:pPr>
            <w:r>
              <w:rPr>
                <w:rFonts w:ascii="Calibri" w:cs="Calibri" w:eastAsia="Calibri" w:hAnsi="Calibri"/>
                <w:sz w:val="16"/>
                <w:szCs w:val="16"/>
                <w:color w:val="auto"/>
              </w:rPr>
              <w:t>385,214</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3"/>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Pr>
          <w:p>
            <w:pPr>
              <w:spacing w:after="0"/>
              <w:rPr>
                <w:sz w:val="19"/>
                <w:szCs w:val="19"/>
                <w:color w:val="auto"/>
              </w:rPr>
            </w:pPr>
          </w:p>
        </w:tc>
        <w:tc>
          <w:tcPr>
            <w:tcW w:w="1020" w:type="dxa"/>
            <w:vAlign w:val="bottom"/>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r>
      <w:tr>
        <w:trPr>
          <w:trHeight w:val="41"/>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3"/>
        </w:trPr>
        <w:tc>
          <w:tcPr>
            <w:tcW w:w="5020" w:type="dxa"/>
            <w:vAlign w:val="bottom"/>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Mat Newby</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20" w:type="dxa"/>
            <w:vAlign w:val="bottom"/>
            <w:shd w:val="clear" w:color="auto" w:fill="CFF0FC"/>
          </w:tcPr>
          <w:p>
            <w:pPr>
              <w:spacing w:after="0"/>
              <w:rPr>
                <w:sz w:val="19"/>
                <w:szCs w:val="19"/>
                <w:color w:val="auto"/>
              </w:rPr>
            </w:pPr>
          </w:p>
        </w:tc>
        <w:tc>
          <w:tcPr>
            <w:tcW w:w="5000" w:type="dxa"/>
            <w:vAlign w:val="bottom"/>
            <w:gridSpan w:val="3"/>
            <w:shd w:val="clear" w:color="auto" w:fill="CFF0FC"/>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128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12,432</w:t>
            </w:r>
          </w:p>
        </w:tc>
        <w:tc>
          <w:tcPr>
            <w:tcW w:w="12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1,614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19,738</w:t>
            </w:r>
          </w:p>
        </w:tc>
        <w:tc>
          <w:tcPr>
            <w:tcW w:w="100" w:type="dxa"/>
            <w:vAlign w:val="bottom"/>
            <w:shd w:val="clear" w:color="auto" w:fill="CFF0FC"/>
          </w:tcPr>
          <w:p>
            <w:pPr>
              <w:spacing w:after="0"/>
              <w:rPr>
                <w:sz w:val="19"/>
                <w:szCs w:val="19"/>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000" w:type="dxa"/>
            <w:vAlign w:val="bottom"/>
            <w:tcBorders>
              <w:bottom w:val="single" w:sz="8" w:color="CFF0FC"/>
            </w:tcBorders>
            <w:gridSpan w:val="3"/>
            <w:shd w:val="clear" w:color="auto" w:fill="CFF0FC"/>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193"/>
        </w:trPr>
        <w:tc>
          <w:tcPr>
            <w:tcW w:w="502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Eric Cribbs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5000" w:type="dxa"/>
            <w:vAlign w:val="bottom"/>
            <w:gridSpan w:val="3"/>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tcPr>
          <w:p>
            <w:pPr>
              <w:spacing w:after="0"/>
              <w:rPr>
                <w:sz w:val="19"/>
                <w:szCs w:val="19"/>
                <w:color w:val="auto"/>
              </w:rPr>
            </w:pPr>
          </w:p>
        </w:tc>
        <w:tc>
          <w:tcPr>
            <w:tcW w:w="1020" w:type="dxa"/>
            <w:vAlign w:val="bottom"/>
          </w:tcPr>
          <w:p>
            <w:pPr>
              <w:ind w:left="860"/>
              <w:spacing w:after="0"/>
              <w:rPr>
                <w:sz w:val="20"/>
                <w:szCs w:val="20"/>
                <w:color w:val="auto"/>
              </w:rPr>
            </w:pPr>
            <w:r>
              <w:rPr>
                <w:rFonts w:ascii="Calibri" w:cs="Calibri" w:eastAsia="Calibri" w:hAnsi="Calibri"/>
                <w:sz w:val="16"/>
                <w:szCs w:val="16"/>
                <w:color w:val="auto"/>
                <w:w w:val="96"/>
              </w:rPr>
              <w:t>—</w:t>
            </w:r>
          </w:p>
        </w:tc>
        <w:tc>
          <w:tcPr>
            <w:tcW w:w="1280" w:type="dxa"/>
            <w:vAlign w:val="bottom"/>
            <w:gridSpan w:val="2"/>
          </w:tcPr>
          <w:p>
            <w:pPr>
              <w:jc w:val="right"/>
              <w:spacing w:after="0"/>
              <w:rPr>
                <w:sz w:val="20"/>
                <w:szCs w:val="20"/>
                <w:color w:val="auto"/>
              </w:rPr>
            </w:pPr>
            <w:r>
              <w:rPr>
                <w:rFonts w:ascii="Calibri" w:cs="Calibri" w:eastAsia="Calibri" w:hAnsi="Calibri"/>
                <w:sz w:val="16"/>
                <w:szCs w:val="16"/>
                <w:color w:val="auto"/>
              </w:rPr>
              <w:t>1,629</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4,020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gridSpan w:val="2"/>
          </w:tcPr>
          <w:p>
            <w:pPr>
              <w:jc w:val="right"/>
              <w:spacing w:after="0"/>
              <w:rPr>
                <w:sz w:val="20"/>
                <w:szCs w:val="20"/>
                <w:color w:val="auto"/>
              </w:rPr>
            </w:pPr>
            <w:r>
              <w:rPr>
                <w:rFonts w:ascii="Calibri" w:cs="Calibri" w:eastAsia="Calibri" w:hAnsi="Calibri"/>
                <w:sz w:val="16"/>
                <w:szCs w:val="16"/>
                <w:color w:val="auto"/>
              </w:rPr>
              <w:t>32,808</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00" w:type="dxa"/>
            <w:vAlign w:val="bottom"/>
            <w:gridSpan w:val="3"/>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Pr>
          <w:p>
            <w:pPr>
              <w:spacing w:after="0"/>
              <w:rPr>
                <w:sz w:val="19"/>
                <w:szCs w:val="19"/>
                <w:color w:val="auto"/>
              </w:rPr>
            </w:pPr>
          </w:p>
        </w:tc>
        <w:tc>
          <w:tcPr>
            <w:tcW w:w="1020" w:type="dxa"/>
            <w:vAlign w:val="bottom"/>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r>
      <w:tr>
        <w:trPr>
          <w:trHeight w:val="41"/>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3"/>
        </w:trPr>
        <w:tc>
          <w:tcPr>
            <w:tcW w:w="5020" w:type="dxa"/>
            <w:vAlign w:val="bottom"/>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Tony Thompson</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20" w:type="dxa"/>
            <w:vAlign w:val="bottom"/>
            <w:shd w:val="clear" w:color="auto" w:fill="CFF0FC"/>
          </w:tcPr>
          <w:p>
            <w:pPr>
              <w:spacing w:after="0"/>
              <w:rPr>
                <w:sz w:val="19"/>
                <w:szCs w:val="19"/>
                <w:color w:val="auto"/>
              </w:rPr>
            </w:pPr>
          </w:p>
        </w:tc>
        <w:tc>
          <w:tcPr>
            <w:tcW w:w="5000" w:type="dxa"/>
            <w:vAlign w:val="bottom"/>
            <w:gridSpan w:val="3"/>
            <w:shd w:val="clear" w:color="auto" w:fill="CFF0FC"/>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251"/>
        </w:trPr>
        <w:tc>
          <w:tcPr>
            <w:tcW w:w="20" w:type="dxa"/>
            <w:vAlign w:val="bottom"/>
            <w:tcBorders>
              <w:bottom w:val="single" w:sz="8" w:color="CFF0FC"/>
            </w:tcBorders>
            <w:shd w:val="clear" w:color="auto" w:fill="CFF0FC"/>
          </w:tcPr>
          <w:p>
            <w:pPr>
              <w:spacing w:after="0"/>
              <w:rPr>
                <w:sz w:val="21"/>
                <w:szCs w:val="21"/>
                <w:color w:val="auto"/>
              </w:rPr>
            </w:pPr>
          </w:p>
        </w:tc>
        <w:tc>
          <w:tcPr>
            <w:tcW w:w="5000" w:type="dxa"/>
            <w:vAlign w:val="bottom"/>
            <w:tcBorders>
              <w:bottom w:val="single" w:sz="8" w:color="CFF0FC"/>
            </w:tcBorders>
            <w:gridSpan w:val="3"/>
            <w:shd w:val="clear" w:color="auto" w:fill="CFF0FC"/>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193"/>
        </w:trPr>
        <w:tc>
          <w:tcPr>
            <w:tcW w:w="5020" w:type="dxa"/>
            <w:vAlign w:val="bottom"/>
            <w:gridSpan w:val="4"/>
          </w:tcPr>
          <w:p>
            <w:pPr>
              <w:ind w:left="20"/>
              <w:spacing w:after="0" w:line="193" w:lineRule="exact"/>
              <w:rPr>
                <w:sz w:val="20"/>
                <w:szCs w:val="20"/>
                <w:color w:val="auto"/>
              </w:rPr>
            </w:pPr>
            <w:r>
              <w:rPr>
                <w:rFonts w:ascii="Calibri" w:cs="Calibri" w:eastAsia="Calibri" w:hAnsi="Calibri"/>
                <w:sz w:val="16"/>
                <w:szCs w:val="16"/>
                <w:color w:val="auto"/>
              </w:rPr>
              <w:t>Robert S. Stewart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5000" w:type="dxa"/>
            <w:vAlign w:val="bottom"/>
            <w:gridSpan w:val="3"/>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tcPr>
          <w:p>
            <w:pPr>
              <w:spacing w:after="0"/>
              <w:rPr>
                <w:sz w:val="19"/>
                <w:szCs w:val="19"/>
                <w:color w:val="auto"/>
              </w:rPr>
            </w:pPr>
          </w:p>
        </w:tc>
        <w:tc>
          <w:tcPr>
            <w:tcW w:w="1020" w:type="dxa"/>
            <w:vAlign w:val="bottom"/>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13,021</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251,147</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r>
      <w:tr>
        <w:trPr>
          <w:trHeight w:val="230"/>
        </w:trPr>
        <w:tc>
          <w:tcPr>
            <w:tcW w:w="20" w:type="dxa"/>
            <w:vAlign w:val="bottom"/>
          </w:tcPr>
          <w:p>
            <w:pPr>
              <w:spacing w:after="0"/>
              <w:rPr>
                <w:sz w:val="19"/>
                <w:szCs w:val="19"/>
                <w:color w:val="auto"/>
              </w:rPr>
            </w:pPr>
          </w:p>
        </w:tc>
        <w:tc>
          <w:tcPr>
            <w:tcW w:w="5000" w:type="dxa"/>
            <w:vAlign w:val="bottom"/>
            <w:gridSpan w:val="3"/>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Pr>
          <w:p>
            <w:pPr>
              <w:spacing w:after="0"/>
              <w:rPr>
                <w:sz w:val="19"/>
                <w:szCs w:val="19"/>
                <w:color w:val="auto"/>
              </w:rPr>
            </w:pPr>
          </w:p>
        </w:tc>
        <w:tc>
          <w:tcPr>
            <w:tcW w:w="1020" w:type="dxa"/>
            <w:vAlign w:val="bottom"/>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6"/>
                <w:szCs w:val="16"/>
                <w:color w:val="auto"/>
              </w:rPr>
              <w:t>—</w:t>
            </w:r>
          </w:p>
        </w:tc>
      </w:tr>
      <w:tr>
        <w:trPr>
          <w:trHeight w:val="41"/>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3"/>
        </w:trPr>
        <w:tc>
          <w:tcPr>
            <w:tcW w:w="5020" w:type="dxa"/>
            <w:vAlign w:val="bottom"/>
            <w:gridSpan w:val="4"/>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Steven L. Wentzel</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20" w:type="dxa"/>
            <w:vAlign w:val="bottom"/>
            <w:shd w:val="clear" w:color="auto" w:fill="CFF0FC"/>
          </w:tcPr>
          <w:p>
            <w:pPr>
              <w:spacing w:after="0"/>
              <w:rPr>
                <w:sz w:val="19"/>
                <w:szCs w:val="19"/>
                <w:color w:val="auto"/>
              </w:rPr>
            </w:pPr>
          </w:p>
        </w:tc>
        <w:tc>
          <w:tcPr>
            <w:tcW w:w="5000" w:type="dxa"/>
            <w:vAlign w:val="bottom"/>
            <w:gridSpan w:val="3"/>
            <w:shd w:val="clear" w:color="auto" w:fill="CFF0FC"/>
          </w:tcPr>
          <w:p>
            <w:pPr>
              <w:ind w:left="220"/>
              <w:spacing w:after="0"/>
              <w:rPr>
                <w:sz w:val="20"/>
                <w:szCs w:val="20"/>
                <w:color w:val="auto"/>
              </w:rPr>
            </w:pPr>
            <w:r>
              <w:rPr>
                <w:rFonts w:ascii="Calibri" w:cs="Calibri" w:eastAsia="Calibri" w:hAnsi="Calibri"/>
                <w:sz w:val="16"/>
                <w:szCs w:val="16"/>
                <w:color w:val="auto"/>
              </w:rPr>
              <w:t>SERP Plan</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1,030</w:t>
            </w:r>
          </w:p>
        </w:tc>
        <w:tc>
          <w:tcPr>
            <w:tcW w:w="1220" w:type="dxa"/>
            <w:vAlign w:val="bottom"/>
            <w:gridSpan w:val="2"/>
            <w:shd w:val="clear" w:color="auto" w:fill="CFF0FC"/>
          </w:tcPr>
          <w:p>
            <w:pPr>
              <w:jc w:val="right"/>
              <w:spacing w:after="0"/>
              <w:rPr>
                <w:sz w:val="20"/>
                <w:szCs w:val="20"/>
                <w:color w:val="auto"/>
              </w:rPr>
            </w:pPr>
            <w:r>
              <w:rPr>
                <w:rFonts w:ascii="Calibri" w:cs="Calibri" w:eastAsia="Calibri" w:hAnsi="Calibri"/>
                <w:sz w:val="16"/>
                <w:szCs w:val="16"/>
                <w:color w:val="auto"/>
              </w:rPr>
              <w:t>12,805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000" w:type="dxa"/>
            <w:vAlign w:val="bottom"/>
            <w:tcBorders>
              <w:bottom w:val="single" w:sz="8" w:color="CFF0FC"/>
            </w:tcBorders>
            <w:gridSpan w:val="3"/>
            <w:shd w:val="clear" w:color="auto" w:fill="CFF0FC"/>
          </w:tcPr>
          <w:p>
            <w:pPr>
              <w:ind w:left="220"/>
              <w:spacing w:after="0"/>
              <w:rPr>
                <w:sz w:val="20"/>
                <w:szCs w:val="20"/>
                <w:color w:val="auto"/>
              </w:rPr>
            </w:pPr>
            <w:r>
              <w:rPr>
                <w:rFonts w:ascii="Calibri" w:cs="Calibri" w:eastAsia="Calibri" w:hAnsi="Calibri"/>
                <w:sz w:val="16"/>
                <w:szCs w:val="16"/>
                <w:color w:val="auto"/>
              </w:rPr>
              <w:t>Deferred Compensaton Plan</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ind w:left="860"/>
              <w:spacing w:after="0"/>
              <w:rPr>
                <w:sz w:val="20"/>
                <w:szCs w:val="20"/>
                <w:color w:val="auto"/>
              </w:rPr>
            </w:pPr>
            <w:r>
              <w:rPr>
                <w:rFonts w:ascii="Calibri" w:cs="Calibri" w:eastAsia="Calibri" w:hAnsi="Calibri"/>
                <w:sz w:val="16"/>
                <w:szCs w:val="16"/>
                <w:color w:val="auto"/>
                <w:w w:val="96"/>
              </w:rPr>
              <w:t>—</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6"/>
                <w:szCs w:val="16"/>
                <w:color w:val="auto"/>
              </w:rPr>
              <w:t>25,694</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6"/>
                <w:szCs w:val="16"/>
                <w:color w:val="auto"/>
              </w:rPr>
              <w:t>46,000</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6"/>
                <w:szCs w:val="16"/>
                <w:color w:val="auto"/>
              </w:rPr>
              <w:t>211,592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13" w:lineRule="exact"/>
        <w:rPr>
          <w:sz w:val="20"/>
          <w:szCs w:val="20"/>
          <w:color w:val="auto"/>
        </w:rPr>
      </w:pPr>
    </w:p>
    <w:p>
      <w:pPr>
        <w:ind w:left="380" w:right="20" w:hanging="372"/>
        <w:spacing w:after="0" w:line="235" w:lineRule="auto"/>
        <w:tabs>
          <w:tab w:leader="none" w:pos="38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The amounts in this column represent contributons made by the Company for the account of the Named Executve Ofcers during fscal 2023 under our SERP. The SERP is an unfunded, non-qualifed plan for certain executves of the Company. Under the SERP, the Company makes contributons to the account of the executve in an amount substantally equal to the additonal contributons he would have received under the Retrement Plan had 100% of his annual salary been eligible for a proft-sharing contributon. The SERP is described in greater detail under “SERP” above. The amounts in this column are refected in the “All Other Compensaton” column of the Summary Compensaton Table of this Proxy Statement.</w:t>
      </w:r>
    </w:p>
    <w:p>
      <w:pPr>
        <w:spacing w:after="0" w:line="112" w:lineRule="exact"/>
        <w:rPr>
          <w:rFonts w:ascii="Calibri" w:cs="Calibri" w:eastAsia="Calibri" w:hAnsi="Calibri"/>
          <w:sz w:val="18"/>
          <w:szCs w:val="18"/>
          <w:color w:val="auto"/>
        </w:rPr>
      </w:pPr>
    </w:p>
    <w:p>
      <w:pPr>
        <w:ind w:left="380" w:right="40" w:hanging="372"/>
        <w:spacing w:after="0" w:line="235" w:lineRule="auto"/>
        <w:tabs>
          <w:tab w:leader="none" w:pos="38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The Company also maintains the Eagle Materials Inc. Deferred Compensaton Plan. Under this plan, eligible executves were allowed to defer the receipt of a porton of their salary or annual bonus for fscal 2001, up to 75% of such amounts. For fscal years afer fscal 2001, the Deferred Compensaton Plan was closed to additonal employee deferrals. Amounts under the plan are payable at a date certain or upon the partcipant’s terminaton of employment, disability or death in the form of a lump sum or installments as elected pursuant to the terms of the plan. Such amounts are not subject to the six-month delay applicable to key employees under Internal Revenue Code Secton 409A. The earnings in this column refect earnings or losses on balances in the Named Executve Ofcer’s SERP account and Deferred Compensaton Plan account. A Named Executve Ofcer may designate how his account balances are to be invested by selectng among the investment optons available under our Retrement Plan, with the excepton of the Common Stock fund. Because these earnings are not “above market,” they are not included in the Summary Compensaton Table of this Proxy Statement. The table below shows the investment optons available under our Retrement Plan (other than the Common Stock fund) and the annual rate of return for the 12-month period ended March 31, 2024, as reported to us by the administrator of the plan.</w:t>
      </w:r>
    </w:p>
    <w:p>
      <w:pPr>
        <w:spacing w:after="0" w:line="105"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4" w:name="page65"/>
    <w:bookmarkEnd w:id="64"/>
    <w:tbl>
      <w:tblPr>
        <w:tblLayout w:type="fixed"/>
        <w:tblInd w:w="1692"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Calibri" w:cs="Calibri" w:eastAsia="Calibri" w:hAnsi="Calibri"/>
                <w:sz w:val="14"/>
                <w:szCs w:val="14"/>
                <w:b w:val="1"/>
                <w:bCs w:val="1"/>
                <w:color w:val="auto"/>
              </w:rPr>
              <w:t>Rate of</w:t>
            </w:r>
          </w:p>
        </w:tc>
        <w:tc>
          <w:tcPr>
            <w:tcW w:w="0" w:type="dxa"/>
            <w:vAlign w:val="bottom"/>
          </w:tcPr>
          <w:p>
            <w:pPr>
              <w:spacing w:after="0"/>
              <w:rPr>
                <w:sz w:val="1"/>
                <w:szCs w:val="1"/>
                <w:color w:val="auto"/>
              </w:rPr>
            </w:pPr>
          </w:p>
        </w:tc>
      </w:tr>
      <w:tr>
        <w:trPr>
          <w:trHeight w:val="168"/>
        </w:trPr>
        <w:tc>
          <w:tcPr>
            <w:tcW w:w="6440" w:type="dxa"/>
            <w:vAlign w:val="bottom"/>
            <w:gridSpan w:val="2"/>
          </w:tcPr>
          <w:p>
            <w:pPr>
              <w:spacing w:after="0" w:line="169" w:lineRule="exact"/>
              <w:rPr>
                <w:sz w:val="20"/>
                <w:szCs w:val="20"/>
                <w:color w:val="auto"/>
              </w:rPr>
            </w:pPr>
            <w:r>
              <w:rPr>
                <w:rFonts w:ascii="Calibri" w:cs="Calibri" w:eastAsia="Calibri" w:hAnsi="Calibri"/>
                <w:sz w:val="14"/>
                <w:szCs w:val="14"/>
                <w:b w:val="1"/>
                <w:bCs w:val="1"/>
                <w:color w:val="auto"/>
              </w:rPr>
              <w:t>Fund</w:t>
            </w:r>
          </w:p>
        </w:tc>
        <w:tc>
          <w:tcPr>
            <w:tcW w:w="1480" w:type="dxa"/>
            <w:vAlign w:val="bottom"/>
            <w:gridSpan w:val="2"/>
          </w:tcPr>
          <w:p>
            <w:pPr>
              <w:jc w:val="right"/>
              <w:ind w:right="600"/>
              <w:spacing w:after="0" w:line="169" w:lineRule="exact"/>
              <w:rPr>
                <w:sz w:val="20"/>
                <w:szCs w:val="20"/>
                <w:color w:val="auto"/>
              </w:rPr>
            </w:pPr>
            <w:r>
              <w:rPr>
                <w:rFonts w:ascii="Calibri" w:cs="Calibri" w:eastAsia="Calibri" w:hAnsi="Calibri"/>
                <w:sz w:val="14"/>
                <w:szCs w:val="14"/>
                <w:b w:val="1"/>
                <w:bCs w:val="1"/>
                <w:color w:val="auto"/>
              </w:rPr>
              <w:t>Return</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Calibri" w:cs="Calibri" w:eastAsia="Calibri" w:hAnsi="Calibri"/>
                <w:sz w:val="16"/>
                <w:szCs w:val="16"/>
                <w:color w:val="auto"/>
              </w:rPr>
              <w:t>Harbor Capital Appreciaton Ret</w:t>
            </w: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440" w:type="dxa"/>
            <w:vAlign w:val="bottom"/>
            <w:gridSpan w:val="2"/>
            <w:vMerge w:val="continue"/>
          </w:tcPr>
          <w:p>
            <w:pPr>
              <w:spacing w:after="0"/>
              <w:rPr>
                <w:sz w:val="16"/>
                <w:szCs w:val="16"/>
                <w:color w:val="auto"/>
              </w:rPr>
            </w:pPr>
          </w:p>
        </w:tc>
        <w:tc>
          <w:tcPr>
            <w:tcW w:w="148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47.66 %</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Calibri" w:cs="Calibri" w:eastAsia="Calibri" w:hAnsi="Calibri"/>
                <w:sz w:val="16"/>
                <w:szCs w:val="16"/>
                <w:color w:val="auto"/>
              </w:rPr>
              <w:t>Northern Trust S&amp;P 500 Index</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29.86 %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MFS Mid Cap Growth</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25.34 %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Northern Trust Ext Equity Mkt Idx</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26.49 %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AS SPL Small Cap Value R6</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23.88 %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PIF Small Cap Growth R6</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17.57 %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GG Europac Growth</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13.42 %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Northern Trust ACWI Ex-US Index</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12.79 %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2020</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10.41 %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2025</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12.93 %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2030</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14.82 %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2035</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16.37 %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2040</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17.93 %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2045</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19.44 %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2050</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20.50 %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2055</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20.47 %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2060</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20.46 %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2065</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20.46 %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Ret 2070</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20.56 %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Vanguard Target Inc</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8.40 %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Northern Trust Aggreg Bond Index</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1.70 %</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Calibri" w:cs="Calibri" w:eastAsia="Calibri" w:hAnsi="Calibri"/>
                <w:sz w:val="16"/>
                <w:szCs w:val="16"/>
                <w:color w:val="auto"/>
              </w:rPr>
              <w:t>METWEST Tot Rtn BD P</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1.58 %</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Calibri" w:cs="Calibri" w:eastAsia="Calibri" w:hAnsi="Calibri"/>
                <w:sz w:val="16"/>
                <w:szCs w:val="16"/>
                <w:color w:val="auto"/>
              </w:rPr>
              <w:t>Fidelity Govt MMkt</w:t>
            </w:r>
          </w:p>
        </w:tc>
        <w:tc>
          <w:tcPr>
            <w:tcW w:w="1480" w:type="dxa"/>
            <w:vAlign w:val="bottom"/>
            <w:gridSpan w:val="2"/>
          </w:tcPr>
          <w:p>
            <w:pPr>
              <w:jc w:val="right"/>
              <w:spacing w:after="0"/>
              <w:rPr>
                <w:sz w:val="20"/>
                <w:szCs w:val="20"/>
                <w:color w:val="auto"/>
              </w:rPr>
            </w:pPr>
            <w:r>
              <w:rPr>
                <w:rFonts w:ascii="Calibri" w:cs="Calibri" w:eastAsia="Calibri" w:hAnsi="Calibri"/>
                <w:sz w:val="16"/>
                <w:szCs w:val="16"/>
                <w:color w:val="auto"/>
              </w:rPr>
              <w:t>5.01 %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-3325495</wp:posOffset>
            </wp:positionV>
            <wp:extent cx="498919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-3033395</wp:posOffset>
            </wp:positionV>
            <wp:extent cx="498919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-2741930</wp:posOffset>
            </wp:positionV>
            <wp:extent cx="498919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-2450465</wp:posOffset>
            </wp:positionV>
            <wp:extent cx="498919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-2159000</wp:posOffset>
            </wp:positionV>
            <wp:extent cx="498919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-1868170</wp:posOffset>
            </wp:positionV>
            <wp:extent cx="498919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-1576070</wp:posOffset>
            </wp:positionV>
            <wp:extent cx="498919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-1284605</wp:posOffset>
            </wp:positionV>
            <wp:extent cx="4989195"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-993140</wp:posOffset>
            </wp:positionV>
            <wp:extent cx="498919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-702310</wp:posOffset>
            </wp:positionV>
            <wp:extent cx="498919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-410845</wp:posOffset>
            </wp:positionV>
            <wp:extent cx="498919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-118745</wp:posOffset>
            </wp:positionV>
            <wp:extent cx="498919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74" w:lineRule="exact"/>
        <w:rPr>
          <w:sz w:val="20"/>
          <w:szCs w:val="20"/>
          <w:color w:val="auto"/>
        </w:rPr>
      </w:pPr>
    </w:p>
    <w:p>
      <w:pPr>
        <w:ind w:left="372" w:hanging="372"/>
        <w:spacing w:after="0" w:line="235" w:lineRule="auto"/>
        <w:tabs>
          <w:tab w:leader="none" w:pos="372"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The amounts in this column represent the sum of: (i) the balance in the Named Executve Ofcer’s account under the SERP; and (ii) the balance in the Named Executve Ofcer’s account under the Company’s Deferred Compensaton Plan. Of the amounts reported in this column, the following amounts were previously reported as compensaton to the Named Executve Ofcer in the Summary Compensaton Table for previous years: for Mr. Haack, $338,501; for Mr. Kesler, $170,546; for Mr. Newby, $5,684; for Mr. Cribbs, $0; for Mr. Thompson, $0; for Mr. Stewart, 127,657; and for Mr. Wentzel, $12,073.</w:t>
      </w:r>
    </w:p>
    <w:p>
      <w:pPr>
        <w:spacing w:after="0" w:line="101" w:lineRule="exact"/>
        <w:rPr>
          <w:sz w:val="20"/>
          <w:szCs w:val="20"/>
          <w:color w:val="auto"/>
        </w:rPr>
      </w:pPr>
    </w:p>
    <w:p>
      <w:pPr>
        <w:ind w:left="4052"/>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51"/>
        <w:spacing w:after="0"/>
        <w:rPr>
          <w:sz w:val="20"/>
          <w:szCs w:val="20"/>
          <w:color w:val="auto"/>
        </w:rPr>
      </w:pPr>
      <w:r>
        <w:rPr>
          <w:rFonts w:ascii="Calibri" w:cs="Calibri" w:eastAsia="Calibri" w:hAnsi="Calibri"/>
          <w:sz w:val="20"/>
          <w:szCs w:val="20"/>
          <w:color w:val="auto"/>
        </w:rPr>
        <w:t>Eagle Materials Inc. - 2024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1002" w:right="499" w:bottom="1440" w:gutter="0" w:footer="0" w:header="0"/>
        </w:sectPr>
      </w:pPr>
    </w:p>
    <w:bookmarkStart w:id="65" w:name="page66"/>
    <w:bookmarkEnd w:id="65"/>
    <w:p>
      <w:pPr>
        <w:jc w:val="center"/>
        <w:spacing w:after="0"/>
        <w:rPr>
          <w:sz w:val="20"/>
          <w:szCs w:val="20"/>
          <w:color w:val="auto"/>
        </w:rPr>
      </w:pPr>
      <w:r>
        <w:rPr>
          <w:rFonts w:ascii="Calibri" w:cs="Calibri" w:eastAsia="Calibri" w:hAnsi="Calibri"/>
          <w:sz w:val="25"/>
          <w:szCs w:val="25"/>
          <w:b w:val="1"/>
          <w:bCs w:val="1"/>
          <w:color w:val="4472C4"/>
        </w:rPr>
        <w:t>POTENTIAL PAYMENTS UPON TERMINATION OR CHANGE IN CONTROL</w:t>
      </w:r>
    </w:p>
    <w:p>
      <w:pPr>
        <w:spacing w:after="0" w:line="253" w:lineRule="exact"/>
        <w:rPr>
          <w:sz w:val="20"/>
          <w:szCs w:val="20"/>
          <w:color w:val="auto"/>
        </w:rPr>
      </w:pPr>
    </w:p>
    <w:p>
      <w:pPr>
        <w:ind w:right="20" w:firstLine="749"/>
        <w:spacing w:after="0" w:line="251" w:lineRule="auto"/>
        <w:rPr>
          <w:sz w:val="20"/>
          <w:szCs w:val="20"/>
          <w:color w:val="auto"/>
        </w:rPr>
      </w:pPr>
      <w:r>
        <w:rPr>
          <w:rFonts w:ascii="Calibri" w:cs="Calibri" w:eastAsia="Calibri" w:hAnsi="Calibri"/>
          <w:sz w:val="17"/>
          <w:szCs w:val="17"/>
          <w:color w:val="auto"/>
        </w:rPr>
        <w:t>The following is a summary of the potental payments payable to the Named Executve Ofcers upon terminaton of employment or a change in control of the Company under compensaton programs in efect as of the last business day of fscal year 2024 (other than Messrs. Stewart and Wentzel, who retred in fscal 2024 and whose retrement treatment and benefts are summarized below). Specifcally, compensaton payable to each Named Executve Ofcer upon voluntary terminaton, involuntary terminaton or in the event of death or disability and change in control is discussed below. The amounts shown in the tables below assume that such terminaton and/or change in control was efectve as of March 29, 2024, and therefore do not necessarily refect the actual amounts which would be paid out to the executves (or their benefciaries) upon their terminaton. Due to the number of factors that afect the nature and amount of any benefts provided upon the events discussed below, any actual amounts paid or distributed may be diferent. Factors that could afect these amounts include the tming during the year of any such event, the price of our Common Stock and the executve’s age.</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 in Control Contnuity Agreements</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Company has entered into change in control contnuity agreements with Messrs. Haack, Kesler and Newby. All of our change in control contnuity agreements have a “double-trigger” terminaton right (requiring both a change in control and a qualifying terminaton of employment in order to receive the change in control severance payments), and they do not apply the severance multple to long-term incentve award values or have tax gross-ups. A more detailed descripton of these agreements is set forth under “Change in Control Contnuity Agreements” above.</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In the event of the executve’s involuntary terminaton of employment without cause or resignaton for good reason within</w:t>
      </w:r>
    </w:p>
    <w:p>
      <w:pPr>
        <w:spacing w:after="0" w:line="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two-year protecton period following a change in control, he would be enttled to cash severance equal to a multple of the sum of his annual base salary and target annual bonus. Additonally, he would be enttled to a prorated annual bonus for the year of terminaton, employer retrement savings plan contributons that he would have received had his employment contnued for a period of tme, the premium for contnued partcipaton in health insurance plans for a period of tme, and outplacement benefts of up to $30,000.</w:t>
      </w:r>
    </w:p>
    <w:p>
      <w:pPr>
        <w:spacing w:after="0" w:line="219"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The table below refects an estmate of the severance payments that would be made to our Named Executve Ofcers who have entered into change in control contnuity agreements—calculated as if they were terminated without cause or resigned for good reason as of March 31, 2024 following a change in control: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Target</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Prorated</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Retrement</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Health</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Outplacement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Annual</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Annual</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Plan</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Insurance</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Benefts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jc w:val="right"/>
              <w:ind w:right="83"/>
              <w:spacing w:after="0"/>
              <w:rPr>
                <w:sz w:val="20"/>
                <w:szCs w:val="20"/>
                <w:color w:val="auto"/>
              </w:rPr>
            </w:pPr>
            <w:r>
              <w:rPr>
                <w:rFonts w:ascii="Calibri" w:cs="Calibri" w:eastAsia="Calibri" w:hAnsi="Calibri"/>
                <w:sz w:val="14"/>
                <w:szCs w:val="14"/>
                <w:b w:val="1"/>
                <w:bCs w:val="1"/>
                <w:color w:val="auto"/>
              </w:rPr>
              <w:t>Severance</w:t>
            </w:r>
          </w:p>
        </w:tc>
        <w:tc>
          <w:tcPr>
            <w:tcW w:w="2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Base Salary</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Bonus</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Bonus</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auto"/>
              </w:rPr>
              <w:t>Contributon</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Premium</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(maximum)</w:t>
            </w:r>
          </w:p>
        </w:tc>
        <w:tc>
          <w:tcPr>
            <w:tcW w:w="2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alibri" w:cs="Calibri" w:eastAsia="Calibri" w:hAnsi="Calibri"/>
                <w:sz w:val="14"/>
                <w:szCs w:val="14"/>
                <w:b w:val="1"/>
                <w:bCs w:val="1"/>
                <w:color w:val="auto"/>
              </w:rPr>
              <w:t>Total</w:t>
            </w:r>
          </w:p>
        </w:tc>
      </w:tr>
      <w:tr>
        <w:trPr>
          <w:trHeight w:val="168"/>
        </w:trPr>
        <w:tc>
          <w:tcPr>
            <w:tcW w:w="2220" w:type="dxa"/>
            <w:vAlign w:val="bottom"/>
            <w:gridSpan w:val="3"/>
          </w:tcPr>
          <w:p>
            <w:pPr>
              <w:ind w:left="20"/>
              <w:spacing w:after="0" w:line="169" w:lineRule="exact"/>
              <w:rPr>
                <w:sz w:val="20"/>
                <w:szCs w:val="20"/>
                <w:color w:val="auto"/>
              </w:rPr>
            </w:pPr>
            <w:r>
              <w:rPr>
                <w:rFonts w:ascii="Calibri" w:cs="Calibri" w:eastAsia="Calibri" w:hAnsi="Calibri"/>
                <w:sz w:val="14"/>
                <w:szCs w:val="14"/>
                <w:b w:val="1"/>
                <w:bCs w:val="1"/>
                <w:color w:val="auto"/>
              </w:rPr>
              <w:t>Name</w:t>
            </w:r>
          </w:p>
        </w:tc>
        <w:tc>
          <w:tcPr>
            <w:tcW w:w="940" w:type="dxa"/>
            <w:vAlign w:val="bottom"/>
          </w:tcPr>
          <w:p>
            <w:pPr>
              <w:jc w:val="right"/>
              <w:ind w:right="143"/>
              <w:spacing w:after="0" w:line="169" w:lineRule="exact"/>
              <w:rPr>
                <w:sz w:val="20"/>
                <w:szCs w:val="20"/>
                <w:color w:val="auto"/>
              </w:rPr>
            </w:pPr>
            <w:r>
              <w:rPr>
                <w:rFonts w:ascii="Calibri" w:cs="Calibri" w:eastAsia="Calibri" w:hAnsi="Calibri"/>
                <w:sz w:val="14"/>
                <w:szCs w:val="14"/>
                <w:b w:val="1"/>
                <w:bCs w:val="1"/>
                <w:color w:val="auto"/>
              </w:rPr>
              <w:t>Multple</w:t>
            </w:r>
          </w:p>
        </w:tc>
        <w:tc>
          <w:tcPr>
            <w:tcW w:w="1160" w:type="dxa"/>
            <w:vAlign w:val="bottom"/>
            <w:gridSpan w:val="2"/>
          </w:tcPr>
          <w:p>
            <w:pPr>
              <w:jc w:val="right"/>
              <w:ind w:right="308"/>
              <w:spacing w:after="0" w:line="169" w:lineRule="exact"/>
              <w:rPr>
                <w:sz w:val="20"/>
                <w:szCs w:val="20"/>
                <w:color w:val="auto"/>
              </w:rPr>
            </w:pPr>
            <w:r>
              <w:rPr>
                <w:rFonts w:ascii="Calibri" w:cs="Calibri" w:eastAsia="Calibri" w:hAnsi="Calibri"/>
                <w:sz w:val="14"/>
                <w:szCs w:val="14"/>
                <w:b w:val="1"/>
                <w:bCs w:val="1"/>
                <w:color w:val="auto"/>
              </w:rPr>
              <w:t>($)</w:t>
            </w:r>
          </w:p>
        </w:tc>
        <w:tc>
          <w:tcPr>
            <w:tcW w:w="1160" w:type="dxa"/>
            <w:vAlign w:val="bottom"/>
            <w:gridSpan w:val="2"/>
          </w:tcPr>
          <w:p>
            <w:pPr>
              <w:jc w:val="center"/>
              <w:ind w:left="181"/>
              <w:spacing w:after="0" w:line="169" w:lineRule="exact"/>
              <w:rPr>
                <w:sz w:val="20"/>
                <w:szCs w:val="20"/>
                <w:color w:val="auto"/>
              </w:rPr>
            </w:pPr>
            <w:r>
              <w:rPr>
                <w:rFonts w:ascii="Calibri" w:cs="Calibri" w:eastAsia="Calibri" w:hAnsi="Calibri"/>
                <w:sz w:val="14"/>
                <w:szCs w:val="14"/>
                <w:b w:val="1"/>
                <w:bCs w:val="1"/>
                <w:color w:val="auto"/>
              </w:rPr>
              <w:t>($)</w:t>
            </w:r>
          </w:p>
        </w:tc>
        <w:tc>
          <w:tcPr>
            <w:tcW w:w="1120" w:type="dxa"/>
            <w:vAlign w:val="bottom"/>
            <w:gridSpan w:val="2"/>
          </w:tcPr>
          <w:p>
            <w:pPr>
              <w:jc w:val="center"/>
              <w:ind w:left="161"/>
              <w:spacing w:after="0" w:line="169" w:lineRule="exact"/>
              <w:rPr>
                <w:sz w:val="20"/>
                <w:szCs w:val="20"/>
                <w:color w:val="auto"/>
              </w:rPr>
            </w:pPr>
            <w:r>
              <w:rPr>
                <w:rFonts w:ascii="Calibri" w:cs="Calibri" w:eastAsia="Calibri" w:hAnsi="Calibri"/>
                <w:sz w:val="14"/>
                <w:szCs w:val="14"/>
                <w:b w:val="1"/>
                <w:bCs w:val="1"/>
                <w:color w:val="auto"/>
              </w:rPr>
              <w:t>($)</w:t>
            </w:r>
          </w:p>
        </w:tc>
        <w:tc>
          <w:tcPr>
            <w:tcW w:w="1120" w:type="dxa"/>
            <w:vAlign w:val="bottom"/>
            <w:gridSpan w:val="2"/>
          </w:tcPr>
          <w:p>
            <w:pPr>
              <w:jc w:val="center"/>
              <w:ind w:left="161"/>
              <w:spacing w:after="0" w:line="169" w:lineRule="exact"/>
              <w:rPr>
                <w:sz w:val="20"/>
                <w:szCs w:val="20"/>
                <w:color w:val="auto"/>
              </w:rPr>
            </w:pPr>
            <w:r>
              <w:rPr>
                <w:rFonts w:ascii="Calibri" w:cs="Calibri" w:eastAsia="Calibri" w:hAnsi="Calibri"/>
                <w:sz w:val="14"/>
                <w:szCs w:val="14"/>
                <w:b w:val="1"/>
                <w:bCs w:val="1"/>
                <w:color w:val="auto"/>
              </w:rPr>
              <w:t>($)</w:t>
            </w:r>
          </w:p>
        </w:tc>
        <w:tc>
          <w:tcPr>
            <w:tcW w:w="1140" w:type="dxa"/>
            <w:vAlign w:val="bottom"/>
            <w:gridSpan w:val="2"/>
          </w:tcPr>
          <w:p>
            <w:pPr>
              <w:jc w:val="center"/>
              <w:ind w:left="141"/>
              <w:spacing w:after="0" w:line="169" w:lineRule="exact"/>
              <w:rPr>
                <w:sz w:val="20"/>
                <w:szCs w:val="20"/>
                <w:color w:val="auto"/>
              </w:rPr>
            </w:pPr>
            <w:r>
              <w:rPr>
                <w:rFonts w:ascii="Calibri" w:cs="Calibri" w:eastAsia="Calibri" w:hAnsi="Calibri"/>
                <w:sz w:val="14"/>
                <w:szCs w:val="14"/>
                <w:b w:val="1"/>
                <w:bCs w:val="1"/>
                <w:color w:val="auto"/>
              </w:rPr>
              <w:t>($)</w:t>
            </w:r>
          </w:p>
        </w:tc>
        <w:tc>
          <w:tcPr>
            <w:tcW w:w="1120" w:type="dxa"/>
            <w:vAlign w:val="bottom"/>
            <w:gridSpan w:val="2"/>
          </w:tcPr>
          <w:p>
            <w:pPr>
              <w:jc w:val="center"/>
              <w:ind w:left="121"/>
              <w:spacing w:after="0" w:line="169" w:lineRule="exact"/>
              <w:rPr>
                <w:sz w:val="20"/>
                <w:szCs w:val="20"/>
                <w:color w:val="auto"/>
              </w:rPr>
            </w:pPr>
            <w:r>
              <w:rPr>
                <w:rFonts w:ascii="Calibri" w:cs="Calibri" w:eastAsia="Calibri" w:hAnsi="Calibri"/>
                <w:sz w:val="14"/>
                <w:szCs w:val="14"/>
                <w:b w:val="1"/>
                <w:bCs w:val="1"/>
                <w:color w:val="auto"/>
              </w:rPr>
              <w:t>($)</w:t>
            </w:r>
          </w:p>
        </w:tc>
        <w:tc>
          <w:tcPr>
            <w:tcW w:w="1160" w:type="dxa"/>
            <w:vAlign w:val="bottom"/>
            <w:gridSpan w:val="2"/>
          </w:tcPr>
          <w:p>
            <w:pPr>
              <w:jc w:val="right"/>
              <w:ind w:right="328"/>
              <w:spacing w:after="0" w:line="169" w:lineRule="exact"/>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220" w:type="dxa"/>
            <w:vAlign w:val="bottom"/>
            <w:tcBorders>
              <w:bottom w:val="single" w:sz="8" w:color="CFF0FC"/>
            </w:tcBorders>
            <w:gridSpan w:val="3"/>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Michael R. Haack</w:t>
            </w:r>
          </w:p>
        </w:tc>
        <w:tc>
          <w:tcPr>
            <w:tcW w:w="94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3.0</w:t>
            </w:r>
          </w:p>
        </w:tc>
        <w:tc>
          <w:tcPr>
            <w:tcW w:w="116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1,040,000</w:t>
            </w:r>
          </w:p>
        </w:tc>
        <w:tc>
          <w:tcPr>
            <w:tcW w:w="116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2,218,253</w:t>
            </w:r>
          </w:p>
        </w:tc>
        <w:tc>
          <w:tcPr>
            <w:tcW w:w="112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2,218,253</w:t>
            </w:r>
          </w:p>
        </w:tc>
        <w:tc>
          <w:tcPr>
            <w:tcW w:w="112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154,500</w:t>
            </w:r>
          </w:p>
        </w:tc>
        <w:tc>
          <w:tcPr>
            <w:tcW w:w="114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36,000</w:t>
            </w:r>
          </w:p>
        </w:tc>
        <w:tc>
          <w:tcPr>
            <w:tcW w:w="112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30,000</w:t>
            </w:r>
          </w:p>
        </w:tc>
        <w:tc>
          <w:tcPr>
            <w:tcW w:w="116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12,213,512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4"/>
        </w:trPr>
        <w:tc>
          <w:tcPr>
            <w:tcW w:w="2220" w:type="dxa"/>
            <w:vAlign w:val="bottom"/>
            <w:gridSpan w:val="3"/>
          </w:tcPr>
          <w:p>
            <w:pPr>
              <w:ind w:left="20"/>
              <w:spacing w:after="0" w:line="193" w:lineRule="exact"/>
              <w:rPr>
                <w:sz w:val="20"/>
                <w:szCs w:val="20"/>
                <w:color w:val="auto"/>
              </w:rPr>
            </w:pPr>
            <w:r>
              <w:rPr>
                <w:rFonts w:ascii="Calibri" w:cs="Calibri" w:eastAsia="Calibri" w:hAnsi="Calibri"/>
                <w:sz w:val="16"/>
                <w:szCs w:val="16"/>
                <w:color w:val="auto"/>
              </w:rPr>
              <w:t>D. Craig Kesler</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2.5</w:t>
            </w:r>
          </w:p>
        </w:tc>
        <w:tc>
          <w:tcPr>
            <w:tcW w:w="11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590,000</w:t>
            </w:r>
          </w:p>
        </w:tc>
        <w:tc>
          <w:tcPr>
            <w:tcW w:w="11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1,069,515</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1,069,515</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71,408</w:t>
            </w:r>
          </w:p>
        </w:tc>
        <w:tc>
          <w:tcPr>
            <w:tcW w:w="11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30,000</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30,000</w:t>
            </w:r>
          </w:p>
        </w:tc>
        <w:tc>
          <w:tcPr>
            <w:tcW w:w="11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5,349,711</w:t>
            </w:r>
          </w:p>
        </w:tc>
        <w:tc>
          <w:tcPr>
            <w:tcW w:w="100" w:type="dxa"/>
            <w:vAlign w:val="bottom"/>
          </w:tcPr>
          <w:p>
            <w:pPr>
              <w:spacing w:after="0"/>
              <w:rPr>
                <w:sz w:val="16"/>
                <w:szCs w:val="16"/>
                <w:color w:val="auto"/>
              </w:rPr>
            </w:pPr>
          </w:p>
        </w:tc>
      </w:tr>
      <w:tr>
        <w:trPr>
          <w:trHeight w:val="36"/>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3"/>
        </w:trPr>
        <w:tc>
          <w:tcPr>
            <w:tcW w:w="2220" w:type="dxa"/>
            <w:vAlign w:val="bottom"/>
            <w:gridSpan w:val="3"/>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Mat Newby</w:t>
            </w:r>
          </w:p>
        </w:tc>
        <w:tc>
          <w:tcPr>
            <w:tcW w:w="9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w:t>
            </w:r>
          </w:p>
        </w:tc>
        <w:tc>
          <w:tcPr>
            <w:tcW w:w="11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475,000</w:t>
            </w:r>
          </w:p>
        </w:tc>
        <w:tc>
          <w:tcPr>
            <w:tcW w:w="11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594,175</w:t>
            </w:r>
          </w:p>
        </w:tc>
        <w:tc>
          <w:tcPr>
            <w:tcW w:w="11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594,175</w:t>
            </w:r>
          </w:p>
        </w:tc>
        <w:tc>
          <w:tcPr>
            <w:tcW w:w="11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45,432</w:t>
            </w:r>
          </w:p>
        </w:tc>
        <w:tc>
          <w:tcPr>
            <w:tcW w:w="11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24,000</w:t>
            </w:r>
          </w:p>
        </w:tc>
        <w:tc>
          <w:tcPr>
            <w:tcW w:w="11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30,000</w:t>
            </w:r>
          </w:p>
        </w:tc>
        <w:tc>
          <w:tcPr>
            <w:tcW w:w="116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2,831,957</w:t>
            </w:r>
          </w:p>
        </w:tc>
        <w:tc>
          <w:tcPr>
            <w:tcW w:w="100" w:type="dxa"/>
            <w:vAlign w:val="bottom"/>
            <w:shd w:val="clear" w:color="auto" w:fill="CFF0FC"/>
          </w:tcPr>
          <w:p>
            <w:pPr>
              <w:spacing w:after="0"/>
              <w:rPr>
                <w:sz w:val="16"/>
                <w:szCs w:val="16"/>
                <w:color w:val="auto"/>
              </w:rPr>
            </w:pPr>
          </w:p>
        </w:tc>
      </w:tr>
      <w:tr>
        <w:trPr>
          <w:trHeight w:val="36"/>
        </w:trPr>
        <w:tc>
          <w:tcPr>
            <w:tcW w:w="2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84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b w:val="1"/>
          <w:bCs w:val="1"/>
          <w:color w:val="auto"/>
        </w:rPr>
        <w:t>Payments Made Upon Any Terminaton</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auto"/>
        </w:rPr>
        <w:t>Deferred Compensaton</w:t>
      </w:r>
      <w:r>
        <w:rPr>
          <w:rFonts w:ascii="Calibri" w:cs="Calibri" w:eastAsia="Calibri" w:hAnsi="Calibri"/>
          <w:sz w:val="17"/>
          <w:szCs w:val="17"/>
          <w:color w:val="auto"/>
        </w:rPr>
        <w:t>. The amounts shown in the table below do not include distributon of plan balances under our Deferred Compensaton Plan or SERP.</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These balances are shown in the "Nonqualifed Deferred Compensaton in FY 2024" table of this proxy statement.</w:t>
      </w:r>
    </w:p>
    <w:p>
      <w:pPr>
        <w:spacing w:after="0" w:line="21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i w:val="1"/>
          <w:iCs w:val="1"/>
          <w:u w:val="single" w:color="auto"/>
          <w:color w:val="auto"/>
        </w:rPr>
        <w:t>Death and Disability</w:t>
      </w:r>
      <w:r>
        <w:rPr>
          <w:rFonts w:ascii="Calibri" w:cs="Calibri" w:eastAsia="Calibri" w:hAnsi="Calibri"/>
          <w:sz w:val="18"/>
          <w:szCs w:val="18"/>
          <w:color w:val="auto"/>
        </w:rPr>
        <w:t>. A terminaton of employment due to death or disability does not enttle the Named Executve Ofcer to any payments that are not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available to salaried employees generally, except for (i) vestng of unvested equity awards; and (ii) benefts payable to the benefciaries of the Named Executve Ofcers in the event of terminaton due to death under our Executve Life Insurance Plan. A descripton of our Executve Life Insurance Plan is set forth in “Executve Life Insurance Plan” above.</w:t>
      </w:r>
    </w:p>
    <w:p>
      <w:pPr>
        <w:spacing w:after="0" w:line="21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i w:val="1"/>
          <w:iCs w:val="1"/>
          <w:u w:val="single" w:color="auto"/>
          <w:color w:val="auto"/>
        </w:rPr>
        <w:t>Accrued Pay and Retrement Plan Benefts</w:t>
      </w:r>
      <w:r>
        <w:rPr>
          <w:rFonts w:ascii="Calibri" w:cs="Calibri" w:eastAsia="Calibri" w:hAnsi="Calibri"/>
          <w:sz w:val="17"/>
          <w:szCs w:val="17"/>
          <w:color w:val="auto"/>
        </w:rPr>
        <w:t>. The amounts shown in the table below do not include payments and benefts to the extent they are provided on a</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non-discriminatory basis to salaried employees generally upon terminaton of employment or relate to equity grants that have already vested. These include:</w:t>
      </w:r>
    </w:p>
    <w:p>
      <w:pPr>
        <w:spacing w:after="0" w:line="89" w:lineRule="exact"/>
        <w:rPr>
          <w:sz w:val="20"/>
          <w:szCs w:val="20"/>
          <w:color w:val="auto"/>
        </w:rPr>
      </w:pPr>
    </w:p>
    <w:p>
      <w:pPr>
        <w:ind w:left="1500" w:hanging="369"/>
        <w:spacing w:after="0"/>
        <w:tabs>
          <w:tab w:leader="none" w:pos="1500" w:val="left"/>
        </w:tabs>
        <w:numPr>
          <w:ilvl w:val="0"/>
          <w:numId w:val="51"/>
        </w:numPr>
        <w:rPr>
          <w:rFonts w:ascii="Times New Roman" w:cs="Times New Roman" w:eastAsia="Times New Roman" w:hAnsi="Times New Roman"/>
          <w:sz w:val="16"/>
          <w:szCs w:val="16"/>
          <w:color w:val="auto"/>
        </w:rPr>
      </w:pPr>
      <w:r>
        <w:rPr>
          <w:rFonts w:ascii="Calibri" w:cs="Calibri" w:eastAsia="Calibri" w:hAnsi="Calibri"/>
          <w:sz w:val="18"/>
          <w:szCs w:val="18"/>
          <w:color w:val="auto"/>
        </w:rPr>
        <w:t>accrued salary pay through the date of terminaton;</w:t>
      </w:r>
    </w:p>
    <w:p>
      <w:pPr>
        <w:spacing w:after="0" w:line="104"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51"/>
        </w:numPr>
        <w:rPr>
          <w:rFonts w:ascii="Times New Roman" w:cs="Times New Roman" w:eastAsia="Times New Roman" w:hAnsi="Times New Roman"/>
          <w:sz w:val="16"/>
          <w:szCs w:val="16"/>
          <w:color w:val="auto"/>
        </w:rPr>
      </w:pPr>
      <w:r>
        <w:rPr>
          <w:rFonts w:ascii="Calibri" w:cs="Calibri" w:eastAsia="Calibri" w:hAnsi="Calibri"/>
          <w:sz w:val="18"/>
          <w:szCs w:val="18"/>
          <w:color w:val="auto"/>
        </w:rPr>
        <w:t>non-equity incentve compensaton earned and payable prior to the date of terminaton;</w:t>
      </w:r>
    </w:p>
    <w:p>
      <w:pPr>
        <w:spacing w:after="0" w:line="109" w:lineRule="exact"/>
        <w:rPr>
          <w:rFonts w:ascii="Times New Roman" w:cs="Times New Roman" w:eastAsia="Times New Roman" w:hAnsi="Times New Roman"/>
          <w:sz w:val="16"/>
          <w:szCs w:val="16"/>
          <w:color w:val="auto"/>
        </w:rPr>
      </w:pPr>
    </w:p>
    <w:p>
      <w:pPr>
        <w:ind w:left="1500" w:right="280" w:hanging="369"/>
        <w:spacing w:after="0" w:line="235" w:lineRule="auto"/>
        <w:tabs>
          <w:tab w:leader="none" w:pos="1500" w:val="left"/>
        </w:tabs>
        <w:numPr>
          <w:ilvl w:val="0"/>
          <w:numId w:val="51"/>
        </w:numPr>
        <w:rPr>
          <w:rFonts w:ascii="Times New Roman" w:cs="Times New Roman" w:eastAsia="Times New Roman" w:hAnsi="Times New Roman"/>
          <w:sz w:val="16"/>
          <w:szCs w:val="16"/>
          <w:color w:val="auto"/>
        </w:rPr>
      </w:pPr>
      <w:r>
        <w:rPr>
          <w:rFonts w:ascii="Calibri" w:cs="Calibri" w:eastAsia="Calibri" w:hAnsi="Calibri"/>
          <w:sz w:val="18"/>
          <w:szCs w:val="18"/>
          <w:color w:val="auto"/>
        </w:rPr>
        <w:t>opton grants received under the 2013 Incentve Plan which have already vested and are exercisable prior to the date of terminaton (subject to the terms of the applicable Nonqualifed Stock Opton Agreement);</w:t>
      </w:r>
    </w:p>
    <w:p>
      <w:pPr>
        <w:spacing w:after="0" w:line="109" w:lineRule="exact"/>
        <w:rPr>
          <w:rFonts w:ascii="Times New Roman" w:cs="Times New Roman" w:eastAsia="Times New Roman" w:hAnsi="Times New Roman"/>
          <w:sz w:val="16"/>
          <w:szCs w:val="16"/>
          <w:color w:val="auto"/>
        </w:rPr>
      </w:pPr>
    </w:p>
    <w:p>
      <w:pPr>
        <w:ind w:left="1500" w:hanging="369"/>
        <w:spacing w:after="0" w:line="235" w:lineRule="auto"/>
        <w:tabs>
          <w:tab w:leader="none" w:pos="1500" w:val="left"/>
        </w:tabs>
        <w:numPr>
          <w:ilvl w:val="0"/>
          <w:numId w:val="51"/>
        </w:numPr>
        <w:rPr>
          <w:rFonts w:ascii="Times New Roman" w:cs="Times New Roman" w:eastAsia="Times New Roman" w:hAnsi="Times New Roman"/>
          <w:sz w:val="16"/>
          <w:szCs w:val="16"/>
          <w:color w:val="auto"/>
        </w:rPr>
      </w:pPr>
      <w:r>
        <w:rPr>
          <w:rFonts w:ascii="Calibri" w:cs="Calibri" w:eastAsia="Calibri" w:hAnsi="Calibri"/>
          <w:sz w:val="18"/>
          <w:szCs w:val="18"/>
          <w:color w:val="auto"/>
        </w:rPr>
        <w:t>restricted stock grants or restricted stock unit grants received under the 2013 Incentve Plan which have already vested prior to the date of terminaton (subject to the terms of the applicable Restricted Stock or Restricted Stock Unit Agreement); and</w:t>
      </w:r>
    </w:p>
    <w:p>
      <w:pPr>
        <w:spacing w:after="0" w:line="104"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51"/>
        </w:numPr>
        <w:rPr>
          <w:rFonts w:ascii="Times New Roman" w:cs="Times New Roman" w:eastAsia="Times New Roman" w:hAnsi="Times New Roman"/>
          <w:sz w:val="16"/>
          <w:szCs w:val="16"/>
          <w:color w:val="auto"/>
        </w:rPr>
      </w:pPr>
      <w:r>
        <w:rPr>
          <w:rFonts w:ascii="Calibri" w:cs="Calibri" w:eastAsia="Calibri" w:hAnsi="Calibri"/>
          <w:sz w:val="18"/>
          <w:szCs w:val="18"/>
          <w:color w:val="auto"/>
        </w:rPr>
        <w:t>unused accrued vacaton pay.</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6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Involuntary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0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6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Terminaton</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6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or Voluntary</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0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6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Terminaton</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10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960" w:type="dxa"/>
            <w:vAlign w:val="bottom"/>
          </w:tcPr>
          <w:p>
            <w:pPr>
              <w:jc w:val="center"/>
              <w:ind w:left="88"/>
              <w:spacing w:after="0" w:line="159" w:lineRule="exact"/>
              <w:rPr>
                <w:sz w:val="20"/>
                <w:szCs w:val="20"/>
                <w:color w:val="auto"/>
              </w:rPr>
            </w:pPr>
            <w:r>
              <w:rPr>
                <w:rFonts w:ascii="Calibri" w:cs="Calibri" w:eastAsia="Calibri" w:hAnsi="Calibri"/>
                <w:sz w:val="14"/>
                <w:szCs w:val="14"/>
                <w:b w:val="1"/>
                <w:bCs w:val="1"/>
                <w:color w:val="auto"/>
              </w:rPr>
              <w:t>(non-Change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Death or</w:t>
            </w:r>
          </w:p>
        </w:tc>
        <w:tc>
          <w:tcPr>
            <w:tcW w:w="180" w:type="dxa"/>
            <w:vAlign w:val="bottom"/>
          </w:tcPr>
          <w:p>
            <w:pPr>
              <w:spacing w:after="0"/>
              <w:rPr>
                <w:sz w:val="13"/>
                <w:szCs w:val="13"/>
                <w:color w:val="auto"/>
              </w:rPr>
            </w:pPr>
          </w:p>
        </w:tc>
        <w:tc>
          <w:tcPr>
            <w:tcW w:w="1020" w:type="dxa"/>
            <w:vAlign w:val="bottom"/>
            <w:gridSpan w:val="2"/>
          </w:tcPr>
          <w:p>
            <w:pPr>
              <w:jc w:val="center"/>
              <w:ind w:right="80"/>
              <w:spacing w:after="0" w:line="159" w:lineRule="exact"/>
              <w:rPr>
                <w:sz w:val="20"/>
                <w:szCs w:val="20"/>
                <w:color w:val="auto"/>
              </w:rPr>
            </w:pPr>
            <w:r>
              <w:rPr>
                <w:rFonts w:ascii="Calibri" w:cs="Calibri" w:eastAsia="Calibri" w:hAnsi="Calibri"/>
                <w:sz w:val="14"/>
                <w:szCs w:val="14"/>
                <w:b w:val="1"/>
                <w:bCs w:val="1"/>
                <w:color w:val="auto"/>
              </w:rPr>
              <w:t>Change in</w:t>
            </w:r>
          </w:p>
        </w:tc>
      </w:tr>
      <w:tr>
        <w:trPr>
          <w:trHeight w:val="197"/>
        </w:trPr>
        <w:tc>
          <w:tcPr>
            <w:tcW w:w="10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96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in Control)</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Disability</w:t>
            </w:r>
          </w:p>
        </w:tc>
        <w:tc>
          <w:tcPr>
            <w:tcW w:w="180" w:type="dxa"/>
            <w:vAlign w:val="bottom"/>
          </w:tcPr>
          <w:p>
            <w:pPr>
              <w:spacing w:after="0"/>
              <w:rPr>
                <w:sz w:val="17"/>
                <w:szCs w:val="17"/>
                <w:color w:val="auto"/>
              </w:rPr>
            </w:pPr>
          </w:p>
        </w:tc>
        <w:tc>
          <w:tcPr>
            <w:tcW w:w="1020" w:type="dxa"/>
            <w:vAlign w:val="bottom"/>
            <w:gridSpan w:val="2"/>
          </w:tcPr>
          <w:p>
            <w:pPr>
              <w:jc w:val="center"/>
              <w:ind w:right="80"/>
              <w:spacing w:after="0" w:line="198" w:lineRule="exact"/>
              <w:rPr>
                <w:sz w:val="20"/>
                <w:szCs w:val="20"/>
                <w:color w:val="auto"/>
              </w:rPr>
            </w:pPr>
            <w:r>
              <w:rPr>
                <w:rFonts w:ascii="Calibri" w:cs="Calibri" w:eastAsia="Calibri" w:hAnsi="Calibri"/>
                <w:sz w:val="14"/>
                <w:szCs w:val="14"/>
                <w:b w:val="1"/>
                <w:bCs w:val="1"/>
                <w:color w:val="auto"/>
                <w:w w:val="93"/>
              </w:rPr>
              <w:t>Control</w:t>
            </w:r>
            <w:r>
              <w:rPr>
                <w:rFonts w:ascii="Calibri" w:cs="Calibri" w:eastAsia="Calibri" w:hAnsi="Calibri"/>
                <w:sz w:val="19"/>
                <w:szCs w:val="19"/>
                <w:b w:val="1"/>
                <w:bCs w:val="1"/>
                <w:color w:val="auto"/>
                <w:w w:val="93"/>
                <w:vertAlign w:val="superscript"/>
              </w:rPr>
              <w:t>(1)</w:t>
            </w:r>
          </w:p>
        </w:tc>
      </w:tr>
      <w:tr>
        <w:trPr>
          <w:trHeight w:val="163"/>
        </w:trPr>
        <w:tc>
          <w:tcPr>
            <w:tcW w:w="5400" w:type="dxa"/>
            <w:vAlign w:val="bottom"/>
            <w:gridSpan w:val="2"/>
          </w:tcPr>
          <w:p>
            <w:pPr>
              <w:spacing w:after="0" w:line="163" w:lineRule="exact"/>
              <w:rPr>
                <w:sz w:val="20"/>
                <w:szCs w:val="20"/>
                <w:color w:val="auto"/>
              </w:rPr>
            </w:pPr>
            <w:r>
              <w:rPr>
                <w:rFonts w:ascii="Calibri" w:cs="Calibri" w:eastAsia="Calibri" w:hAnsi="Calibri"/>
                <w:sz w:val="14"/>
                <w:szCs w:val="14"/>
                <w:b w:val="1"/>
                <w:bCs w:val="1"/>
                <w:color w:val="auto"/>
              </w:rPr>
              <w:t>Type of Payment</w:t>
            </w:r>
          </w:p>
        </w:tc>
        <w:tc>
          <w:tcPr>
            <w:tcW w:w="960" w:type="dxa"/>
            <w:vAlign w:val="bottom"/>
          </w:tcPr>
          <w:p>
            <w:pPr>
              <w:jc w:val="center"/>
              <w:ind w:left="88"/>
              <w:spacing w:after="0" w:line="163" w:lineRule="exact"/>
              <w:rPr>
                <w:sz w:val="20"/>
                <w:szCs w:val="20"/>
                <w:color w:val="auto"/>
              </w:rPr>
            </w:pPr>
            <w:r>
              <w:rPr>
                <w:rFonts w:ascii="Calibri" w:cs="Calibri" w:eastAsia="Calibri" w:hAnsi="Calibri"/>
                <w:sz w:val="14"/>
                <w:szCs w:val="14"/>
                <w:b w:val="1"/>
                <w:bCs w:val="1"/>
                <w:color w:val="auto"/>
              </w:rPr>
              <w:t>($)</w:t>
            </w:r>
          </w:p>
        </w:tc>
        <w:tc>
          <w:tcPr>
            <w:tcW w:w="180" w:type="dxa"/>
            <w:vAlign w:val="bottom"/>
          </w:tcPr>
          <w:p>
            <w:pPr>
              <w:spacing w:after="0"/>
              <w:rPr>
                <w:sz w:val="14"/>
                <w:szCs w:val="14"/>
                <w:color w:val="auto"/>
              </w:rPr>
            </w:pPr>
          </w:p>
        </w:tc>
        <w:tc>
          <w:tcPr>
            <w:tcW w:w="1240" w:type="dxa"/>
            <w:vAlign w:val="bottom"/>
            <w:gridSpan w:val="2"/>
          </w:tcPr>
          <w:p>
            <w:pPr>
              <w:jc w:val="center"/>
              <w:ind w:left="120"/>
              <w:spacing w:after="0" w:line="163" w:lineRule="exact"/>
              <w:rPr>
                <w:sz w:val="20"/>
                <w:szCs w:val="20"/>
                <w:color w:val="auto"/>
              </w:rPr>
            </w:pPr>
            <w:r>
              <w:rPr>
                <w:rFonts w:ascii="Calibri" w:cs="Calibri" w:eastAsia="Calibri" w:hAnsi="Calibri"/>
                <w:sz w:val="14"/>
                <w:szCs w:val="14"/>
                <w:b w:val="1"/>
                <w:bCs w:val="1"/>
                <w:color w:val="auto"/>
              </w:rPr>
              <w:t>($)</w:t>
            </w:r>
          </w:p>
        </w:tc>
        <w:tc>
          <w:tcPr>
            <w:tcW w:w="1120" w:type="dxa"/>
            <w:vAlign w:val="bottom"/>
            <w:gridSpan w:val="2"/>
          </w:tcPr>
          <w:p>
            <w:pPr>
              <w:jc w:val="center"/>
              <w:ind w:left="80"/>
              <w:spacing w:after="0" w:line="163" w:lineRule="exact"/>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4"/>
                <w:szCs w:val="14"/>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5400" w:type="dxa"/>
            <w:vAlign w:val="bottom"/>
            <w:tcBorders>
              <w:bottom w:val="single" w:sz="8" w:color="CFF0FC"/>
            </w:tcBorders>
            <w:gridSpan w:val="2"/>
            <w:shd w:val="clear" w:color="auto" w:fill="CFF0FC"/>
          </w:tcPr>
          <w:p>
            <w:pPr>
              <w:spacing w:after="0" w:line="187" w:lineRule="exact"/>
              <w:rPr>
                <w:sz w:val="20"/>
                <w:szCs w:val="20"/>
                <w:color w:val="auto"/>
              </w:rPr>
            </w:pPr>
            <w:r>
              <w:rPr>
                <w:rFonts w:ascii="Calibri" w:cs="Calibri" w:eastAsia="Calibri" w:hAnsi="Calibri"/>
                <w:sz w:val="16"/>
                <w:szCs w:val="16"/>
                <w:b w:val="1"/>
                <w:bCs w:val="1"/>
                <w:color w:val="auto"/>
              </w:rPr>
              <w:t>Michael R. Haack</w:t>
            </w:r>
          </w:p>
        </w:tc>
        <w:tc>
          <w:tcPr>
            <w:tcW w:w="9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r>
      <w:tr>
        <w:trPr>
          <w:trHeight w:val="194"/>
        </w:trPr>
        <w:tc>
          <w:tcPr>
            <w:tcW w:w="5400" w:type="dxa"/>
            <w:vAlign w:val="bottom"/>
            <w:gridSpan w:val="2"/>
          </w:tcPr>
          <w:p>
            <w:pPr>
              <w:ind w:left="18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540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Stock Optons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30"/>
        </w:trPr>
        <w:tc>
          <w:tcPr>
            <w:tcW w:w="540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Unexercisable and Accelerated Awards</w:t>
            </w:r>
            <w:r>
              <w:rPr>
                <w:rFonts w:ascii="Calibri" w:cs="Calibri" w:eastAsia="Calibri" w:hAnsi="Calibri"/>
                <w:sz w:val="21"/>
                <w:szCs w:val="21"/>
                <w:color w:val="auto"/>
                <w:vertAlign w:val="superscript"/>
              </w:rPr>
              <w:t>(2)</w:t>
            </w:r>
          </w:p>
        </w:tc>
        <w:tc>
          <w:tcPr>
            <w:tcW w:w="96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1,855,071</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1,855,071</w:t>
            </w:r>
          </w:p>
        </w:tc>
        <w:tc>
          <w:tcPr>
            <w:tcW w:w="80" w:type="dxa"/>
            <w:vAlign w:val="bottom"/>
          </w:tcPr>
          <w:p>
            <w:pPr>
              <w:spacing w:after="0"/>
              <w:rPr>
                <w:sz w:val="19"/>
                <w:szCs w:val="19"/>
                <w:color w:val="auto"/>
              </w:rPr>
            </w:pPr>
          </w:p>
        </w:tc>
      </w:tr>
      <w:tr>
        <w:trPr>
          <w:trHeight w:val="210"/>
        </w:trPr>
        <w:tc>
          <w:tcPr>
            <w:tcW w:w="540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Restricted Stock Awards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40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Unvested and Accelerated Awards</w:t>
            </w:r>
            <w:r>
              <w:rPr>
                <w:rFonts w:ascii="Calibri" w:cs="Calibri" w:eastAsia="Calibri" w:hAnsi="Calibri"/>
                <w:sz w:val="21"/>
                <w:szCs w:val="21"/>
                <w:color w:val="auto"/>
                <w:vertAlign w:val="superscript"/>
              </w:rPr>
              <w:t>(3)</w:t>
            </w:r>
          </w:p>
        </w:tc>
        <w:tc>
          <w:tcPr>
            <w:tcW w:w="96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9,923,767</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9,923,767</w:t>
            </w:r>
          </w:p>
        </w:tc>
        <w:tc>
          <w:tcPr>
            <w:tcW w:w="80" w:type="dxa"/>
            <w:vAlign w:val="bottom"/>
          </w:tcPr>
          <w:p>
            <w:pPr>
              <w:spacing w:after="0"/>
              <w:rPr>
                <w:sz w:val="19"/>
                <w:szCs w:val="19"/>
                <w:color w:val="auto"/>
              </w:rPr>
            </w:pPr>
          </w:p>
        </w:tc>
      </w:tr>
      <w:tr>
        <w:trPr>
          <w:trHeight w:val="210"/>
        </w:trPr>
        <w:tc>
          <w:tcPr>
            <w:tcW w:w="5400" w:type="dxa"/>
            <w:vAlign w:val="bottom"/>
            <w:tcBorders>
              <w:bottom w:val="single" w:sz="8" w:color="CFF0FC"/>
            </w:tcBorders>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Benefts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30"/>
        </w:trPr>
        <w:tc>
          <w:tcPr>
            <w:tcW w:w="5400" w:type="dxa"/>
            <w:vAlign w:val="bottom"/>
            <w:gridSpan w:val="2"/>
          </w:tcPr>
          <w:p>
            <w:pPr>
              <w:ind w:left="360"/>
              <w:spacing w:after="0" w:line="229" w:lineRule="exact"/>
              <w:rPr>
                <w:sz w:val="20"/>
                <w:szCs w:val="20"/>
                <w:color w:val="auto"/>
              </w:rPr>
            </w:pPr>
            <w:r>
              <w:rPr>
                <w:rFonts w:ascii="Calibri" w:cs="Calibri" w:eastAsia="Calibri" w:hAnsi="Calibri"/>
                <w:sz w:val="16"/>
                <w:szCs w:val="16"/>
                <w:color w:val="auto"/>
              </w:rPr>
              <w:t>Executve Life Insurance Plan</w:t>
            </w:r>
            <w:r>
              <w:rPr>
                <w:rFonts w:ascii="Calibri" w:cs="Calibri" w:eastAsia="Calibri" w:hAnsi="Calibri"/>
                <w:sz w:val="21"/>
                <w:szCs w:val="21"/>
                <w:color w:val="auto"/>
                <w:vertAlign w:val="superscript"/>
              </w:rPr>
              <w:t>(4)</w:t>
            </w:r>
          </w:p>
        </w:tc>
        <w:tc>
          <w:tcPr>
            <w:tcW w:w="96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2,000,000</w:t>
            </w:r>
          </w:p>
        </w:tc>
        <w:tc>
          <w:tcPr>
            <w:tcW w:w="180" w:type="dxa"/>
            <w:vAlign w:val="bottom"/>
          </w:tcPr>
          <w:p>
            <w:pPr>
              <w:spacing w:after="0"/>
              <w:rPr>
                <w:sz w:val="19"/>
                <w:szCs w:val="19"/>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r>
      <w:tr>
        <w:trPr>
          <w:trHeight w:val="230"/>
        </w:trPr>
        <w:tc>
          <w:tcPr>
            <w:tcW w:w="5400" w:type="dxa"/>
            <w:vAlign w:val="bottom"/>
            <w:tcBorders>
              <w:bottom w:val="single" w:sz="8" w:color="CFF0FC"/>
            </w:tcBorders>
            <w:gridSpan w:val="2"/>
            <w:shd w:val="clear" w:color="auto" w:fill="CFF0FC"/>
          </w:tcPr>
          <w:p>
            <w:pPr>
              <w:ind w:left="180"/>
              <w:spacing w:after="0" w:line="229" w:lineRule="exact"/>
              <w:rPr>
                <w:sz w:val="20"/>
                <w:szCs w:val="20"/>
                <w:color w:val="auto"/>
              </w:rPr>
            </w:pPr>
            <w:r>
              <w:rPr>
                <w:rFonts w:ascii="Calibri" w:cs="Calibri" w:eastAsia="Calibri" w:hAnsi="Calibri"/>
                <w:sz w:val="16"/>
                <w:szCs w:val="16"/>
                <w:i w:val="1"/>
                <w:iCs w:val="1"/>
                <w:color w:val="auto"/>
              </w:rPr>
              <w:t>Change in Control Contnuity Agreement</w:t>
            </w:r>
            <w:r>
              <w:rPr>
                <w:rFonts w:ascii="Calibri" w:cs="Calibri" w:eastAsia="Calibri" w:hAnsi="Calibri"/>
                <w:sz w:val="21"/>
                <w:szCs w:val="21"/>
                <w:i w:val="1"/>
                <w:iCs w:val="1"/>
                <w:color w:val="auto"/>
                <w:vertAlign w:val="superscript"/>
              </w:rPr>
              <w:t>(5)</w:t>
            </w:r>
          </w:p>
        </w:tc>
        <w:tc>
          <w:tcPr>
            <w:tcW w:w="9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12,213,512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7"/>
        </w:trPr>
        <w:tc>
          <w:tcPr>
            <w:tcW w:w="1000" w:type="dxa"/>
            <w:vAlign w:val="bottom"/>
          </w:tcPr>
          <w:p>
            <w:pPr>
              <w:spacing w:after="0"/>
              <w:rPr>
                <w:sz w:val="16"/>
                <w:szCs w:val="16"/>
                <w:color w:val="auto"/>
              </w:rPr>
            </w:pPr>
          </w:p>
        </w:tc>
        <w:tc>
          <w:tcPr>
            <w:tcW w:w="4400" w:type="dxa"/>
            <w:vAlign w:val="bottom"/>
          </w:tcPr>
          <w:p>
            <w:pPr>
              <w:ind w:left="1180"/>
              <w:spacing w:after="0" w:line="187" w:lineRule="exact"/>
              <w:rPr>
                <w:sz w:val="20"/>
                <w:szCs w:val="20"/>
                <w:color w:val="auto"/>
              </w:rPr>
            </w:pPr>
            <w:r>
              <w:rPr>
                <w:rFonts w:ascii="Calibri" w:cs="Calibri" w:eastAsia="Calibri" w:hAnsi="Calibri"/>
                <w:sz w:val="16"/>
                <w:szCs w:val="16"/>
                <w:b w:val="1"/>
                <w:bCs w:val="1"/>
                <w:color w:val="auto"/>
              </w:rPr>
              <w:t>HAACK TOTAL</w:t>
            </w:r>
          </w:p>
        </w:tc>
        <w:tc>
          <w:tcPr>
            <w:tcW w:w="960" w:type="dxa"/>
            <w:vAlign w:val="bottom"/>
          </w:tcPr>
          <w:p>
            <w:pPr>
              <w:spacing w:after="0"/>
              <w:rPr>
                <w:sz w:val="16"/>
                <w:szCs w:val="16"/>
                <w:color w:val="auto"/>
              </w:rPr>
            </w:pPr>
          </w:p>
        </w:tc>
        <w:tc>
          <w:tcPr>
            <w:tcW w:w="180" w:type="dxa"/>
            <w:vAlign w:val="bottom"/>
          </w:tcPr>
          <w:p>
            <w:pPr>
              <w:spacing w:after="0" w:line="187"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13,778,837</w:t>
            </w:r>
          </w:p>
        </w:tc>
        <w:tc>
          <w:tcPr>
            <w:tcW w:w="112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23,992,349</w:t>
            </w: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540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rPr>
              <w:t>D. Craig Kesler</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194"/>
        </w:trPr>
        <w:tc>
          <w:tcPr>
            <w:tcW w:w="5400" w:type="dxa"/>
            <w:vAlign w:val="bottom"/>
            <w:gridSpan w:val="2"/>
          </w:tcPr>
          <w:p>
            <w:pPr>
              <w:ind w:left="18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0"/>
        </w:trPr>
        <w:tc>
          <w:tcPr>
            <w:tcW w:w="540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Stock Optons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30"/>
        </w:trPr>
        <w:tc>
          <w:tcPr>
            <w:tcW w:w="540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Unexercisable and Accelerated Awards</w:t>
            </w:r>
            <w:r>
              <w:rPr>
                <w:rFonts w:ascii="Calibri" w:cs="Calibri" w:eastAsia="Calibri" w:hAnsi="Calibri"/>
                <w:sz w:val="21"/>
                <w:szCs w:val="21"/>
                <w:color w:val="auto"/>
                <w:vertAlign w:val="superscript"/>
              </w:rPr>
              <w:t>(2)</w:t>
            </w:r>
          </w:p>
        </w:tc>
        <w:tc>
          <w:tcPr>
            <w:tcW w:w="96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412,286</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412,286</w:t>
            </w:r>
          </w:p>
        </w:tc>
        <w:tc>
          <w:tcPr>
            <w:tcW w:w="80" w:type="dxa"/>
            <w:vAlign w:val="bottom"/>
          </w:tcPr>
          <w:p>
            <w:pPr>
              <w:spacing w:after="0"/>
              <w:rPr>
                <w:sz w:val="19"/>
                <w:szCs w:val="19"/>
                <w:color w:val="auto"/>
              </w:rPr>
            </w:pPr>
          </w:p>
        </w:tc>
      </w:tr>
      <w:tr>
        <w:trPr>
          <w:trHeight w:val="210"/>
        </w:trPr>
        <w:tc>
          <w:tcPr>
            <w:tcW w:w="540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Restricted Stock Awards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40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Unvested and Accelerated Awards</w:t>
            </w:r>
            <w:r>
              <w:rPr>
                <w:rFonts w:ascii="Calibri" w:cs="Calibri" w:eastAsia="Calibri" w:hAnsi="Calibri"/>
                <w:sz w:val="21"/>
                <w:szCs w:val="21"/>
                <w:color w:val="auto"/>
                <w:vertAlign w:val="superscript"/>
              </w:rPr>
              <w:t>(3)</w:t>
            </w:r>
          </w:p>
        </w:tc>
        <w:tc>
          <w:tcPr>
            <w:tcW w:w="96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5,619,247</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5,619,247</w:t>
            </w:r>
          </w:p>
        </w:tc>
        <w:tc>
          <w:tcPr>
            <w:tcW w:w="80" w:type="dxa"/>
            <w:vAlign w:val="bottom"/>
          </w:tcPr>
          <w:p>
            <w:pPr>
              <w:spacing w:after="0"/>
              <w:rPr>
                <w:sz w:val="19"/>
                <w:szCs w:val="19"/>
                <w:color w:val="auto"/>
              </w:rPr>
            </w:pPr>
          </w:p>
        </w:tc>
      </w:tr>
      <w:tr>
        <w:trPr>
          <w:trHeight w:val="210"/>
        </w:trPr>
        <w:tc>
          <w:tcPr>
            <w:tcW w:w="5400" w:type="dxa"/>
            <w:vAlign w:val="bottom"/>
            <w:tcBorders>
              <w:bottom w:val="single" w:sz="8" w:color="CFF0FC"/>
            </w:tcBorders>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Benefts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30"/>
        </w:trPr>
        <w:tc>
          <w:tcPr>
            <w:tcW w:w="5400" w:type="dxa"/>
            <w:vAlign w:val="bottom"/>
            <w:gridSpan w:val="2"/>
          </w:tcPr>
          <w:p>
            <w:pPr>
              <w:ind w:left="360"/>
              <w:spacing w:after="0" w:line="229" w:lineRule="exact"/>
              <w:rPr>
                <w:sz w:val="20"/>
                <w:szCs w:val="20"/>
                <w:color w:val="auto"/>
              </w:rPr>
            </w:pPr>
            <w:r>
              <w:rPr>
                <w:rFonts w:ascii="Calibri" w:cs="Calibri" w:eastAsia="Calibri" w:hAnsi="Calibri"/>
                <w:sz w:val="16"/>
                <w:szCs w:val="16"/>
                <w:color w:val="auto"/>
              </w:rPr>
              <w:t>Executve Life Insurance Plan</w:t>
            </w:r>
            <w:r>
              <w:rPr>
                <w:rFonts w:ascii="Calibri" w:cs="Calibri" w:eastAsia="Calibri" w:hAnsi="Calibri"/>
                <w:sz w:val="21"/>
                <w:szCs w:val="21"/>
                <w:color w:val="auto"/>
                <w:vertAlign w:val="superscript"/>
              </w:rPr>
              <w:t>(4)</w:t>
            </w:r>
          </w:p>
        </w:tc>
        <w:tc>
          <w:tcPr>
            <w:tcW w:w="96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2,000,000</w:t>
            </w:r>
          </w:p>
        </w:tc>
        <w:tc>
          <w:tcPr>
            <w:tcW w:w="180" w:type="dxa"/>
            <w:vAlign w:val="bottom"/>
          </w:tcPr>
          <w:p>
            <w:pPr>
              <w:spacing w:after="0"/>
              <w:rPr>
                <w:sz w:val="19"/>
                <w:szCs w:val="19"/>
                <w:color w:val="auto"/>
              </w:rPr>
            </w:pPr>
          </w:p>
        </w:tc>
        <w:tc>
          <w:tcPr>
            <w:tcW w:w="102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r>
      <w:tr>
        <w:trPr>
          <w:trHeight w:val="230"/>
        </w:trPr>
        <w:tc>
          <w:tcPr>
            <w:tcW w:w="5400" w:type="dxa"/>
            <w:vAlign w:val="bottom"/>
            <w:tcBorders>
              <w:bottom w:val="single" w:sz="8" w:color="CFF0FC"/>
            </w:tcBorders>
            <w:gridSpan w:val="2"/>
            <w:shd w:val="clear" w:color="auto" w:fill="CFF0FC"/>
          </w:tcPr>
          <w:p>
            <w:pPr>
              <w:ind w:left="180"/>
              <w:spacing w:after="0" w:line="229" w:lineRule="exact"/>
              <w:rPr>
                <w:sz w:val="20"/>
                <w:szCs w:val="20"/>
                <w:color w:val="auto"/>
              </w:rPr>
            </w:pPr>
            <w:r>
              <w:rPr>
                <w:rFonts w:ascii="Calibri" w:cs="Calibri" w:eastAsia="Calibri" w:hAnsi="Calibri"/>
                <w:sz w:val="16"/>
                <w:szCs w:val="16"/>
                <w:i w:val="1"/>
                <w:iCs w:val="1"/>
                <w:color w:val="auto"/>
              </w:rPr>
              <w:t>Change in Control Contnuity Agreement</w:t>
            </w:r>
            <w:r>
              <w:rPr>
                <w:rFonts w:ascii="Calibri" w:cs="Calibri" w:eastAsia="Calibri" w:hAnsi="Calibri"/>
                <w:sz w:val="21"/>
                <w:szCs w:val="21"/>
                <w:i w:val="1"/>
                <w:iCs w:val="1"/>
                <w:color w:val="auto"/>
                <w:vertAlign w:val="superscript"/>
              </w:rPr>
              <w:t>(5)</w:t>
            </w:r>
          </w:p>
        </w:tc>
        <w:tc>
          <w:tcPr>
            <w:tcW w:w="9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5,349,711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7"/>
        </w:trPr>
        <w:tc>
          <w:tcPr>
            <w:tcW w:w="1000" w:type="dxa"/>
            <w:vAlign w:val="bottom"/>
          </w:tcPr>
          <w:p>
            <w:pPr>
              <w:spacing w:after="0"/>
              <w:rPr>
                <w:sz w:val="16"/>
                <w:szCs w:val="16"/>
                <w:color w:val="auto"/>
              </w:rPr>
            </w:pPr>
          </w:p>
        </w:tc>
        <w:tc>
          <w:tcPr>
            <w:tcW w:w="4400" w:type="dxa"/>
            <w:vAlign w:val="bottom"/>
          </w:tcPr>
          <w:p>
            <w:pPr>
              <w:ind w:left="1160"/>
              <w:spacing w:after="0" w:line="187" w:lineRule="exact"/>
              <w:rPr>
                <w:sz w:val="20"/>
                <w:szCs w:val="20"/>
                <w:color w:val="auto"/>
              </w:rPr>
            </w:pPr>
            <w:r>
              <w:rPr>
                <w:rFonts w:ascii="Calibri" w:cs="Calibri" w:eastAsia="Calibri" w:hAnsi="Calibri"/>
                <w:sz w:val="16"/>
                <w:szCs w:val="16"/>
                <w:b w:val="1"/>
                <w:bCs w:val="1"/>
                <w:color w:val="auto"/>
              </w:rPr>
              <w:t>KESLER TOTAL</w:t>
            </w:r>
          </w:p>
        </w:tc>
        <w:tc>
          <w:tcPr>
            <w:tcW w:w="960" w:type="dxa"/>
            <w:vAlign w:val="bottom"/>
          </w:tcPr>
          <w:p>
            <w:pPr>
              <w:spacing w:after="0"/>
              <w:rPr>
                <w:sz w:val="16"/>
                <w:szCs w:val="16"/>
                <w:color w:val="auto"/>
              </w:rPr>
            </w:pPr>
          </w:p>
        </w:tc>
        <w:tc>
          <w:tcPr>
            <w:tcW w:w="180" w:type="dxa"/>
            <w:vAlign w:val="bottom"/>
          </w:tcPr>
          <w:p>
            <w:pPr>
              <w:spacing w:after="0" w:line="187" w:lineRule="exact"/>
              <w:rPr>
                <w:sz w:val="20"/>
                <w:szCs w:val="20"/>
                <w:color w:val="auto"/>
              </w:rPr>
            </w:pPr>
            <w:r>
              <w:rPr>
                <w:rFonts w:ascii="Calibri" w:cs="Calibri" w:eastAsia="Calibri" w:hAnsi="Calibri"/>
                <w:sz w:val="16"/>
                <w:szCs w:val="16"/>
                <w:color w:val="auto"/>
              </w:rPr>
              <w:t>—</w:t>
            </w:r>
          </w:p>
        </w:tc>
        <w:tc>
          <w:tcPr>
            <w:tcW w:w="124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8,031,533</w:t>
            </w:r>
          </w:p>
        </w:tc>
        <w:tc>
          <w:tcPr>
            <w:tcW w:w="112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11,381,243</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-1596390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-1596390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-1596390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-130810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-130810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-130810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Eagle Materials Inc. - 2024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2" w:right="419" w:bottom="1440" w:gutter="0" w:footer="0" w:header="0"/>
        </w:sectPr>
      </w:pPr>
    </w:p>
    <w:bookmarkStart w:id="67" w:name="page68"/>
    <w:bookmarkEnd w:id="67"/>
    <w:tbl>
      <w:tblPr>
        <w:tblLayout w:type="fixed"/>
        <w:tblInd w:w="114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Involuntary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10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4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Terminaton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0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4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or Voluntary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4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Terminaton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10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40" w:type="dxa"/>
            <w:vAlign w:val="bottom"/>
          </w:tcPr>
          <w:p>
            <w:pPr>
              <w:jc w:val="center"/>
              <w:ind w:left="108"/>
              <w:spacing w:after="0" w:line="159" w:lineRule="exact"/>
              <w:rPr>
                <w:sz w:val="20"/>
                <w:szCs w:val="20"/>
                <w:color w:val="auto"/>
              </w:rPr>
            </w:pPr>
            <w:r>
              <w:rPr>
                <w:rFonts w:ascii="Calibri" w:cs="Calibri" w:eastAsia="Calibri" w:hAnsi="Calibri"/>
                <w:sz w:val="14"/>
                <w:szCs w:val="14"/>
                <w:b w:val="1"/>
                <w:bCs w:val="1"/>
                <w:color w:val="auto"/>
              </w:rPr>
              <w:t>(non-Change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Death or</w:t>
            </w:r>
          </w:p>
        </w:tc>
        <w:tc>
          <w:tcPr>
            <w:tcW w:w="160" w:type="dxa"/>
            <w:vAlign w:val="bottom"/>
          </w:tcPr>
          <w:p>
            <w:pPr>
              <w:spacing w:after="0"/>
              <w:rPr>
                <w:sz w:val="13"/>
                <w:szCs w:val="13"/>
                <w:color w:val="auto"/>
              </w:rPr>
            </w:pPr>
          </w:p>
        </w:tc>
        <w:tc>
          <w:tcPr>
            <w:tcW w:w="1160" w:type="dxa"/>
            <w:vAlign w:val="bottom"/>
            <w:gridSpan w:val="2"/>
          </w:tcPr>
          <w:p>
            <w:pPr>
              <w:jc w:val="center"/>
              <w:ind w:right="100"/>
              <w:spacing w:after="0" w:line="159" w:lineRule="exact"/>
              <w:rPr>
                <w:sz w:val="20"/>
                <w:szCs w:val="20"/>
                <w:color w:val="auto"/>
              </w:rPr>
            </w:pPr>
            <w:r>
              <w:rPr>
                <w:rFonts w:ascii="Calibri" w:cs="Calibri" w:eastAsia="Calibri" w:hAnsi="Calibri"/>
                <w:sz w:val="14"/>
                <w:szCs w:val="14"/>
                <w:b w:val="1"/>
                <w:bCs w:val="1"/>
                <w:color w:val="auto"/>
              </w:rPr>
              <w:t>Change in</w:t>
            </w:r>
          </w:p>
        </w:tc>
      </w:tr>
      <w:tr>
        <w:trPr>
          <w:trHeight w:val="197"/>
        </w:trPr>
        <w:tc>
          <w:tcPr>
            <w:tcW w:w="10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940" w:type="dxa"/>
            <w:vAlign w:val="bottom"/>
          </w:tcPr>
          <w:p>
            <w:pPr>
              <w:jc w:val="center"/>
              <w:ind w:left="88"/>
              <w:spacing w:after="0"/>
              <w:rPr>
                <w:sz w:val="20"/>
                <w:szCs w:val="20"/>
                <w:color w:val="auto"/>
              </w:rPr>
            </w:pPr>
            <w:r>
              <w:rPr>
                <w:rFonts w:ascii="Calibri" w:cs="Calibri" w:eastAsia="Calibri" w:hAnsi="Calibri"/>
                <w:sz w:val="14"/>
                <w:szCs w:val="14"/>
                <w:b w:val="1"/>
                <w:bCs w:val="1"/>
                <w:color w:val="auto"/>
              </w:rPr>
              <w:t>in Control)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Disability</w:t>
            </w:r>
          </w:p>
        </w:tc>
        <w:tc>
          <w:tcPr>
            <w:tcW w:w="160" w:type="dxa"/>
            <w:vAlign w:val="bottom"/>
          </w:tcPr>
          <w:p>
            <w:pPr>
              <w:spacing w:after="0"/>
              <w:rPr>
                <w:sz w:val="17"/>
                <w:szCs w:val="17"/>
                <w:color w:val="auto"/>
              </w:rPr>
            </w:pPr>
          </w:p>
        </w:tc>
        <w:tc>
          <w:tcPr>
            <w:tcW w:w="1160" w:type="dxa"/>
            <w:vAlign w:val="bottom"/>
            <w:gridSpan w:val="2"/>
          </w:tcPr>
          <w:p>
            <w:pPr>
              <w:jc w:val="center"/>
              <w:ind w:right="100"/>
              <w:spacing w:after="0" w:line="198" w:lineRule="exact"/>
              <w:rPr>
                <w:sz w:val="20"/>
                <w:szCs w:val="20"/>
                <w:color w:val="auto"/>
              </w:rPr>
            </w:pPr>
            <w:r>
              <w:rPr>
                <w:rFonts w:ascii="Calibri" w:cs="Calibri" w:eastAsia="Calibri" w:hAnsi="Calibri"/>
                <w:sz w:val="14"/>
                <w:szCs w:val="14"/>
                <w:b w:val="1"/>
                <w:bCs w:val="1"/>
                <w:color w:val="auto"/>
                <w:w w:val="93"/>
              </w:rPr>
              <w:t>Control</w:t>
            </w:r>
            <w:r>
              <w:rPr>
                <w:rFonts w:ascii="Calibri" w:cs="Calibri" w:eastAsia="Calibri" w:hAnsi="Calibri"/>
                <w:sz w:val="19"/>
                <w:szCs w:val="19"/>
                <w:b w:val="1"/>
                <w:bCs w:val="1"/>
                <w:color w:val="auto"/>
                <w:w w:val="93"/>
                <w:vertAlign w:val="superscript"/>
              </w:rPr>
              <w:t>(1)</w:t>
            </w:r>
          </w:p>
        </w:tc>
      </w:tr>
      <w:tr>
        <w:trPr>
          <w:trHeight w:val="163"/>
        </w:trPr>
        <w:tc>
          <w:tcPr>
            <w:tcW w:w="5260" w:type="dxa"/>
            <w:vAlign w:val="bottom"/>
            <w:gridSpan w:val="2"/>
          </w:tcPr>
          <w:p>
            <w:pPr>
              <w:spacing w:after="0" w:line="163" w:lineRule="exact"/>
              <w:rPr>
                <w:sz w:val="20"/>
                <w:szCs w:val="20"/>
                <w:color w:val="auto"/>
              </w:rPr>
            </w:pPr>
            <w:r>
              <w:rPr>
                <w:rFonts w:ascii="Calibri" w:cs="Calibri" w:eastAsia="Calibri" w:hAnsi="Calibri"/>
                <w:sz w:val="14"/>
                <w:szCs w:val="14"/>
                <w:b w:val="1"/>
                <w:bCs w:val="1"/>
                <w:color w:val="auto"/>
              </w:rPr>
              <w:t>Type of Payment</w:t>
            </w:r>
          </w:p>
        </w:tc>
        <w:tc>
          <w:tcPr>
            <w:tcW w:w="940" w:type="dxa"/>
            <w:vAlign w:val="bottom"/>
          </w:tcPr>
          <w:p>
            <w:pPr>
              <w:jc w:val="center"/>
              <w:ind w:left="108"/>
              <w:spacing w:after="0" w:line="163" w:lineRule="exact"/>
              <w:rPr>
                <w:sz w:val="20"/>
                <w:szCs w:val="20"/>
                <w:color w:val="auto"/>
              </w:rPr>
            </w:pPr>
            <w:r>
              <w:rPr>
                <w:rFonts w:ascii="Calibri" w:cs="Calibri" w:eastAsia="Calibri" w:hAnsi="Calibri"/>
                <w:sz w:val="14"/>
                <w:szCs w:val="14"/>
                <w:b w:val="1"/>
                <w:bCs w:val="1"/>
                <w:color w:val="auto"/>
              </w:rPr>
              <w:t>($)</w:t>
            </w:r>
          </w:p>
        </w:tc>
        <w:tc>
          <w:tcPr>
            <w:tcW w:w="180" w:type="dxa"/>
            <w:vAlign w:val="bottom"/>
          </w:tcPr>
          <w:p>
            <w:pPr>
              <w:spacing w:after="0"/>
              <w:rPr>
                <w:sz w:val="14"/>
                <w:szCs w:val="14"/>
                <w:color w:val="auto"/>
              </w:rPr>
            </w:pPr>
          </w:p>
        </w:tc>
        <w:tc>
          <w:tcPr>
            <w:tcW w:w="1280" w:type="dxa"/>
            <w:vAlign w:val="bottom"/>
            <w:gridSpan w:val="2"/>
          </w:tcPr>
          <w:p>
            <w:pPr>
              <w:jc w:val="center"/>
              <w:ind w:left="80"/>
              <w:spacing w:after="0" w:line="163" w:lineRule="exact"/>
              <w:rPr>
                <w:sz w:val="20"/>
                <w:szCs w:val="20"/>
                <w:color w:val="auto"/>
              </w:rPr>
            </w:pPr>
            <w:r>
              <w:rPr>
                <w:rFonts w:ascii="Calibri" w:cs="Calibri" w:eastAsia="Calibri" w:hAnsi="Calibri"/>
                <w:sz w:val="14"/>
                <w:szCs w:val="14"/>
                <w:b w:val="1"/>
                <w:bCs w:val="1"/>
                <w:color w:val="auto"/>
              </w:rPr>
              <w:t>($)</w:t>
            </w:r>
          </w:p>
        </w:tc>
        <w:tc>
          <w:tcPr>
            <w:tcW w:w="1240" w:type="dxa"/>
            <w:vAlign w:val="bottom"/>
            <w:gridSpan w:val="2"/>
          </w:tcPr>
          <w:p>
            <w:pPr>
              <w:jc w:val="center"/>
              <w:ind w:left="80"/>
              <w:spacing w:after="0" w:line="163" w:lineRule="exact"/>
              <w:rPr>
                <w:sz w:val="20"/>
                <w:szCs w:val="20"/>
                <w:color w:val="auto"/>
              </w:rPr>
            </w:pPr>
            <w:r>
              <w:rPr>
                <w:rFonts w:ascii="Calibri" w:cs="Calibri" w:eastAsia="Calibri" w:hAnsi="Calibri"/>
                <w:sz w:val="14"/>
                <w:szCs w:val="14"/>
                <w:b w:val="1"/>
                <w:bCs w:val="1"/>
                <w:color w:val="auto"/>
              </w:rPr>
              <w:t>($)</w:t>
            </w:r>
          </w:p>
        </w:tc>
        <w:tc>
          <w:tcPr>
            <w:tcW w:w="80" w:type="dxa"/>
            <w:vAlign w:val="bottom"/>
          </w:tcPr>
          <w:p>
            <w:pPr>
              <w:spacing w:after="0"/>
              <w:rPr>
                <w:sz w:val="14"/>
                <w:szCs w:val="14"/>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5260" w:type="dxa"/>
            <w:vAlign w:val="bottom"/>
            <w:tcBorders>
              <w:bottom w:val="single" w:sz="8" w:color="CFF0FC"/>
            </w:tcBorders>
            <w:gridSpan w:val="2"/>
            <w:shd w:val="clear" w:color="auto" w:fill="CFF0FC"/>
          </w:tcPr>
          <w:p>
            <w:pPr>
              <w:spacing w:after="0" w:line="187" w:lineRule="exact"/>
              <w:rPr>
                <w:sz w:val="20"/>
                <w:szCs w:val="20"/>
                <w:color w:val="auto"/>
              </w:rPr>
            </w:pPr>
            <w:r>
              <w:rPr>
                <w:rFonts w:ascii="Calibri" w:cs="Calibri" w:eastAsia="Calibri" w:hAnsi="Calibri"/>
                <w:sz w:val="16"/>
                <w:szCs w:val="16"/>
                <w:b w:val="1"/>
                <w:bCs w:val="1"/>
                <w:color w:val="auto"/>
              </w:rPr>
              <w:t>Mat Newby</w:t>
            </w: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r>
      <w:tr>
        <w:trPr>
          <w:trHeight w:val="193"/>
        </w:trPr>
        <w:tc>
          <w:tcPr>
            <w:tcW w:w="5260" w:type="dxa"/>
            <w:vAlign w:val="bottom"/>
            <w:gridSpan w:val="2"/>
          </w:tcPr>
          <w:p>
            <w:pPr>
              <w:ind w:left="18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526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Stock Optons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26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Unexercisable and Accelerated Awards</w:t>
            </w:r>
            <w:r>
              <w:rPr>
                <w:rFonts w:ascii="Calibri" w:cs="Calibri" w:eastAsia="Calibri" w:hAnsi="Calibri"/>
                <w:sz w:val="21"/>
                <w:szCs w:val="21"/>
                <w:color w:val="auto"/>
                <w:vertAlign w:val="superscript"/>
              </w:rPr>
              <w:t>(2)</w:t>
            </w:r>
          </w:p>
        </w:tc>
        <w:tc>
          <w:tcPr>
            <w:tcW w:w="94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r>
      <w:tr>
        <w:trPr>
          <w:trHeight w:val="210"/>
        </w:trPr>
        <w:tc>
          <w:tcPr>
            <w:tcW w:w="526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Restricted Stock Awards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26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Unvested and Accelerated Awards</w:t>
            </w:r>
            <w:r>
              <w:rPr>
                <w:rFonts w:ascii="Calibri" w:cs="Calibri" w:eastAsia="Calibri" w:hAnsi="Calibri"/>
                <w:sz w:val="21"/>
                <w:szCs w:val="21"/>
                <w:color w:val="auto"/>
                <w:vertAlign w:val="superscript"/>
              </w:rPr>
              <w:t>(3)</w:t>
            </w:r>
          </w:p>
        </w:tc>
        <w:tc>
          <w:tcPr>
            <w:tcW w:w="94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1,634,305</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1,634,305</w:t>
            </w:r>
          </w:p>
        </w:tc>
        <w:tc>
          <w:tcPr>
            <w:tcW w:w="80" w:type="dxa"/>
            <w:vAlign w:val="bottom"/>
          </w:tcPr>
          <w:p>
            <w:pPr>
              <w:spacing w:after="0"/>
              <w:rPr>
                <w:sz w:val="19"/>
                <w:szCs w:val="19"/>
                <w:color w:val="auto"/>
              </w:rPr>
            </w:pPr>
          </w:p>
        </w:tc>
      </w:tr>
      <w:tr>
        <w:trPr>
          <w:trHeight w:val="210"/>
        </w:trPr>
        <w:tc>
          <w:tcPr>
            <w:tcW w:w="5260" w:type="dxa"/>
            <w:vAlign w:val="bottom"/>
            <w:tcBorders>
              <w:bottom w:val="single" w:sz="8" w:color="CFF0FC"/>
            </w:tcBorders>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Benefts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260" w:type="dxa"/>
            <w:vAlign w:val="bottom"/>
            <w:gridSpan w:val="2"/>
          </w:tcPr>
          <w:p>
            <w:pPr>
              <w:ind w:left="360"/>
              <w:spacing w:after="0" w:line="229" w:lineRule="exact"/>
              <w:rPr>
                <w:sz w:val="20"/>
                <w:szCs w:val="20"/>
                <w:color w:val="auto"/>
              </w:rPr>
            </w:pPr>
            <w:r>
              <w:rPr>
                <w:rFonts w:ascii="Calibri" w:cs="Calibri" w:eastAsia="Calibri" w:hAnsi="Calibri"/>
                <w:sz w:val="16"/>
                <w:szCs w:val="16"/>
                <w:color w:val="auto"/>
              </w:rPr>
              <w:t>Executve Life Insurance Plan</w:t>
            </w:r>
            <w:r>
              <w:rPr>
                <w:rFonts w:ascii="Calibri" w:cs="Calibri" w:eastAsia="Calibri" w:hAnsi="Calibri"/>
                <w:sz w:val="21"/>
                <w:szCs w:val="21"/>
                <w:color w:val="auto"/>
                <w:vertAlign w:val="superscript"/>
              </w:rPr>
              <w:t>(4)</w:t>
            </w:r>
          </w:p>
        </w:tc>
        <w:tc>
          <w:tcPr>
            <w:tcW w:w="94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2,000,000</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r>
      <w:tr>
        <w:trPr>
          <w:trHeight w:val="229"/>
        </w:trPr>
        <w:tc>
          <w:tcPr>
            <w:tcW w:w="5260" w:type="dxa"/>
            <w:vAlign w:val="bottom"/>
            <w:tcBorders>
              <w:bottom w:val="single" w:sz="8" w:color="CFF0FC"/>
            </w:tcBorders>
            <w:gridSpan w:val="2"/>
            <w:shd w:val="clear" w:color="auto" w:fill="CFF0FC"/>
          </w:tcPr>
          <w:p>
            <w:pPr>
              <w:ind w:left="180"/>
              <w:spacing w:after="0" w:line="229" w:lineRule="exact"/>
              <w:rPr>
                <w:sz w:val="20"/>
                <w:szCs w:val="20"/>
                <w:color w:val="auto"/>
              </w:rPr>
            </w:pPr>
            <w:r>
              <w:rPr>
                <w:rFonts w:ascii="Calibri" w:cs="Calibri" w:eastAsia="Calibri" w:hAnsi="Calibri"/>
                <w:sz w:val="16"/>
                <w:szCs w:val="16"/>
                <w:i w:val="1"/>
                <w:iCs w:val="1"/>
                <w:color w:val="auto"/>
              </w:rPr>
              <w:t>Change in Control Contnuity Agreement</w:t>
            </w:r>
            <w:r>
              <w:rPr>
                <w:rFonts w:ascii="Calibri" w:cs="Calibri" w:eastAsia="Calibri" w:hAnsi="Calibri"/>
                <w:sz w:val="21"/>
                <w:szCs w:val="21"/>
                <w:i w:val="1"/>
                <w:iCs w:val="1"/>
                <w:color w:val="auto"/>
                <w:vertAlign w:val="superscript"/>
              </w:rPr>
              <w:t>(5)</w:t>
            </w:r>
          </w:p>
        </w:tc>
        <w:tc>
          <w:tcPr>
            <w:tcW w:w="9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2,831,957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7"/>
        </w:trPr>
        <w:tc>
          <w:tcPr>
            <w:tcW w:w="1000" w:type="dxa"/>
            <w:vAlign w:val="bottom"/>
          </w:tcPr>
          <w:p>
            <w:pPr>
              <w:spacing w:after="0"/>
              <w:rPr>
                <w:sz w:val="16"/>
                <w:szCs w:val="16"/>
                <w:color w:val="auto"/>
              </w:rPr>
            </w:pPr>
          </w:p>
        </w:tc>
        <w:tc>
          <w:tcPr>
            <w:tcW w:w="426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NEWBY TOTAL</w:t>
            </w:r>
          </w:p>
        </w:tc>
        <w:tc>
          <w:tcPr>
            <w:tcW w:w="940" w:type="dxa"/>
            <w:vAlign w:val="bottom"/>
          </w:tcPr>
          <w:p>
            <w:pPr>
              <w:spacing w:after="0"/>
              <w:rPr>
                <w:sz w:val="16"/>
                <w:szCs w:val="16"/>
                <w:color w:val="auto"/>
              </w:rPr>
            </w:pPr>
          </w:p>
        </w:tc>
        <w:tc>
          <w:tcPr>
            <w:tcW w:w="180" w:type="dxa"/>
            <w:vAlign w:val="bottom"/>
          </w:tcPr>
          <w:p>
            <w:pPr>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3,634,305</w:t>
            </w:r>
          </w:p>
        </w:tc>
        <w:tc>
          <w:tcPr>
            <w:tcW w:w="124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4,466,262</w:t>
            </w: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5260" w:type="dxa"/>
            <w:vAlign w:val="bottom"/>
            <w:tcBorders>
              <w:bottom w:val="single" w:sz="8" w:color="CFF0FC"/>
            </w:tcBorders>
            <w:gridSpan w:val="2"/>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rPr>
              <w:t>Eric Cribbs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193"/>
        </w:trPr>
        <w:tc>
          <w:tcPr>
            <w:tcW w:w="5260" w:type="dxa"/>
            <w:vAlign w:val="bottom"/>
            <w:gridSpan w:val="2"/>
          </w:tcPr>
          <w:p>
            <w:pPr>
              <w:ind w:left="18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526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Stock Optons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26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Unexercisable and Accelerated Awards</w:t>
            </w:r>
            <w:r>
              <w:rPr>
                <w:rFonts w:ascii="Calibri" w:cs="Calibri" w:eastAsia="Calibri" w:hAnsi="Calibri"/>
                <w:sz w:val="21"/>
                <w:szCs w:val="21"/>
                <w:color w:val="auto"/>
                <w:vertAlign w:val="superscript"/>
              </w:rPr>
              <w:t>(2)</w:t>
            </w:r>
          </w:p>
        </w:tc>
        <w:tc>
          <w:tcPr>
            <w:tcW w:w="94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w:t>
            </w:r>
          </w:p>
        </w:tc>
      </w:tr>
      <w:tr>
        <w:trPr>
          <w:trHeight w:val="210"/>
        </w:trPr>
        <w:tc>
          <w:tcPr>
            <w:tcW w:w="5260" w:type="dxa"/>
            <w:vAlign w:val="bottom"/>
            <w:tcBorders>
              <w:bottom w:val="single" w:sz="8" w:color="CFF0FC"/>
            </w:tcBorders>
            <w:gridSpan w:val="2"/>
            <w:shd w:val="clear" w:color="auto" w:fill="CFF0FC"/>
          </w:tcPr>
          <w:p>
            <w:pPr>
              <w:ind w:left="360"/>
              <w:spacing w:after="0" w:line="193" w:lineRule="exact"/>
              <w:rPr>
                <w:sz w:val="20"/>
                <w:szCs w:val="20"/>
                <w:color w:val="auto"/>
              </w:rPr>
            </w:pPr>
            <w:r>
              <w:rPr>
                <w:rFonts w:ascii="Calibri" w:cs="Calibri" w:eastAsia="Calibri" w:hAnsi="Calibri"/>
                <w:sz w:val="16"/>
                <w:szCs w:val="16"/>
                <w:color w:val="auto"/>
              </w:rPr>
              <w:t>Restricted Stock Awards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260" w:type="dxa"/>
            <w:vAlign w:val="bottom"/>
            <w:gridSpan w:val="2"/>
          </w:tcPr>
          <w:p>
            <w:pPr>
              <w:ind w:left="540"/>
              <w:spacing w:after="0" w:line="229" w:lineRule="exact"/>
              <w:rPr>
                <w:sz w:val="20"/>
                <w:szCs w:val="20"/>
                <w:color w:val="auto"/>
              </w:rPr>
            </w:pPr>
            <w:r>
              <w:rPr>
                <w:rFonts w:ascii="Calibri" w:cs="Calibri" w:eastAsia="Calibri" w:hAnsi="Calibri"/>
                <w:sz w:val="16"/>
                <w:szCs w:val="16"/>
                <w:color w:val="auto"/>
              </w:rPr>
              <w:t>Unvested and Accelerated Awards</w:t>
            </w:r>
            <w:r>
              <w:rPr>
                <w:rFonts w:ascii="Calibri" w:cs="Calibri" w:eastAsia="Calibri" w:hAnsi="Calibri"/>
                <w:sz w:val="21"/>
                <w:szCs w:val="21"/>
                <w:color w:val="auto"/>
                <w:vertAlign w:val="superscript"/>
              </w:rPr>
              <w:t>(3)</w:t>
            </w:r>
          </w:p>
        </w:tc>
        <w:tc>
          <w:tcPr>
            <w:tcW w:w="940" w:type="dxa"/>
            <w:vAlign w:val="bottom"/>
          </w:tcPr>
          <w:p>
            <w:pPr>
              <w:spacing w:after="0"/>
              <w:rPr>
                <w:sz w:val="19"/>
                <w:szCs w:val="19"/>
                <w:color w:val="auto"/>
              </w:rPr>
            </w:pPr>
          </w:p>
        </w:tc>
        <w:tc>
          <w:tcPr>
            <w:tcW w:w="18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1,168,253</w:t>
            </w:r>
          </w:p>
        </w:tc>
        <w:tc>
          <w:tcPr>
            <w:tcW w:w="12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1,168,253</w:t>
            </w:r>
          </w:p>
        </w:tc>
        <w:tc>
          <w:tcPr>
            <w:tcW w:w="80" w:type="dxa"/>
            <w:vAlign w:val="bottom"/>
          </w:tcPr>
          <w:p>
            <w:pPr>
              <w:spacing w:after="0"/>
              <w:rPr>
                <w:sz w:val="19"/>
                <w:szCs w:val="19"/>
                <w:color w:val="auto"/>
              </w:rPr>
            </w:pPr>
          </w:p>
        </w:tc>
      </w:tr>
      <w:tr>
        <w:trPr>
          <w:trHeight w:val="210"/>
        </w:trPr>
        <w:tc>
          <w:tcPr>
            <w:tcW w:w="5260" w:type="dxa"/>
            <w:vAlign w:val="bottom"/>
            <w:tcBorders>
              <w:bottom w:val="single" w:sz="8" w:color="CFF0FC"/>
            </w:tcBorders>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Benefts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29"/>
        </w:trPr>
        <w:tc>
          <w:tcPr>
            <w:tcW w:w="5260" w:type="dxa"/>
            <w:vAlign w:val="bottom"/>
            <w:gridSpan w:val="2"/>
          </w:tcPr>
          <w:p>
            <w:pPr>
              <w:ind w:left="360"/>
              <w:spacing w:after="0" w:line="229" w:lineRule="exact"/>
              <w:rPr>
                <w:sz w:val="20"/>
                <w:szCs w:val="20"/>
                <w:color w:val="auto"/>
              </w:rPr>
            </w:pPr>
            <w:r>
              <w:rPr>
                <w:rFonts w:ascii="Calibri" w:cs="Calibri" w:eastAsia="Calibri" w:hAnsi="Calibri"/>
                <w:sz w:val="16"/>
                <w:szCs w:val="16"/>
                <w:color w:val="auto"/>
              </w:rPr>
              <w:t>Executve Life Insurance Plan</w:t>
            </w:r>
            <w:r>
              <w:rPr>
                <w:rFonts w:ascii="Calibri" w:cs="Calibri" w:eastAsia="Calibri" w:hAnsi="Calibri"/>
                <w:sz w:val="21"/>
                <w:szCs w:val="21"/>
                <w:color w:val="auto"/>
                <w:vertAlign w:val="superscript"/>
              </w:rPr>
              <w:t>(4)</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2,000,000</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9"/>
                <w:szCs w:val="19"/>
                <w:color w:val="auto"/>
              </w:rPr>
            </w:pPr>
          </w:p>
        </w:tc>
      </w:tr>
      <w:tr>
        <w:trPr>
          <w:trHeight w:val="203"/>
        </w:trPr>
        <w:tc>
          <w:tcPr>
            <w:tcW w:w="1000" w:type="dxa"/>
            <w:vAlign w:val="bottom"/>
            <w:tcBorders>
              <w:bottom w:val="single" w:sz="8" w:color="CFF0FC"/>
            </w:tcBorders>
            <w:shd w:val="clear" w:color="auto" w:fill="CFF0FC"/>
          </w:tcPr>
          <w:p>
            <w:pPr>
              <w:spacing w:after="0"/>
              <w:rPr>
                <w:sz w:val="17"/>
                <w:szCs w:val="17"/>
                <w:color w:val="auto"/>
              </w:rPr>
            </w:pPr>
          </w:p>
        </w:tc>
        <w:tc>
          <w:tcPr>
            <w:tcW w:w="4260" w:type="dxa"/>
            <w:vAlign w:val="bottom"/>
            <w:tcBorders>
              <w:bottom w:val="single" w:sz="8" w:color="CFF0FC"/>
            </w:tcBorders>
            <w:shd w:val="clear" w:color="auto" w:fill="CFF0FC"/>
          </w:tcPr>
          <w:p>
            <w:pPr>
              <w:ind w:left="80"/>
              <w:spacing w:after="0" w:line="187" w:lineRule="exact"/>
              <w:rPr>
                <w:sz w:val="20"/>
                <w:szCs w:val="20"/>
                <w:color w:val="auto"/>
              </w:rPr>
            </w:pPr>
            <w:r>
              <w:rPr>
                <w:rFonts w:ascii="Calibri" w:cs="Calibri" w:eastAsia="Calibri" w:hAnsi="Calibri"/>
                <w:sz w:val="16"/>
                <w:szCs w:val="16"/>
                <w:b w:val="1"/>
                <w:bCs w:val="1"/>
                <w:color w:val="auto"/>
              </w:rPr>
              <w:t>CRIBBS TOTAL</w:t>
            </w: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b w:val="1"/>
                <w:bCs w:val="1"/>
                <w:color w:val="auto"/>
              </w:rPr>
              <w:t>3,168,253</w:t>
            </w:r>
          </w:p>
        </w:tc>
        <w:tc>
          <w:tcPr>
            <w:tcW w:w="124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b w:val="1"/>
                <w:bCs w:val="1"/>
                <w:color w:val="auto"/>
              </w:rPr>
              <w:t>1,168,253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3"/>
        </w:trPr>
        <w:tc>
          <w:tcPr>
            <w:tcW w:w="5260" w:type="dxa"/>
            <w:vAlign w:val="bottom"/>
            <w:gridSpan w:val="2"/>
          </w:tcPr>
          <w:p>
            <w:pPr>
              <w:spacing w:after="0" w:line="193" w:lineRule="exact"/>
              <w:rPr>
                <w:sz w:val="20"/>
                <w:szCs w:val="20"/>
                <w:color w:val="auto"/>
              </w:rPr>
            </w:pPr>
            <w:r>
              <w:rPr>
                <w:rFonts w:ascii="Calibri" w:cs="Calibri" w:eastAsia="Calibri" w:hAnsi="Calibri"/>
                <w:sz w:val="16"/>
                <w:szCs w:val="16"/>
                <w:b w:val="1"/>
                <w:bCs w:val="1"/>
                <w:color w:val="auto"/>
              </w:rPr>
              <w:t>Tony Thompson</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9"/>
        </w:trPr>
        <w:tc>
          <w:tcPr>
            <w:tcW w:w="5260" w:type="dxa"/>
            <w:vAlign w:val="bottom"/>
            <w:tcBorders>
              <w:bottom w:val="single" w:sz="8" w:color="CFF0FC"/>
            </w:tcBorders>
            <w:gridSpan w:val="2"/>
            <w:shd w:val="clear" w:color="auto" w:fill="CFF0FC"/>
          </w:tcPr>
          <w:p>
            <w:pPr>
              <w:ind w:left="180"/>
              <w:spacing w:after="0" w:line="193" w:lineRule="exact"/>
              <w:rPr>
                <w:sz w:val="20"/>
                <w:szCs w:val="20"/>
                <w:color w:val="auto"/>
              </w:rPr>
            </w:pPr>
            <w:r>
              <w:rPr>
                <w:rFonts w:ascii="Calibri" w:cs="Calibri" w:eastAsia="Calibri" w:hAnsi="Calibri"/>
                <w:sz w:val="16"/>
                <w:szCs w:val="16"/>
                <w:i w:val="1"/>
                <w:iCs w:val="1"/>
                <w:color w:val="auto"/>
              </w:rPr>
              <w:t>Long-Term Incentves</w:t>
            </w:r>
          </w:p>
        </w:tc>
        <w:tc>
          <w:tcPr>
            <w:tcW w:w="9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194"/>
        </w:trPr>
        <w:tc>
          <w:tcPr>
            <w:tcW w:w="5260" w:type="dxa"/>
            <w:vAlign w:val="bottom"/>
            <w:gridSpan w:val="2"/>
          </w:tcPr>
          <w:p>
            <w:pPr>
              <w:ind w:left="360"/>
              <w:spacing w:after="0" w:line="193" w:lineRule="exact"/>
              <w:rPr>
                <w:sz w:val="20"/>
                <w:szCs w:val="20"/>
                <w:color w:val="auto"/>
              </w:rPr>
            </w:pPr>
            <w:r>
              <w:rPr>
                <w:rFonts w:ascii="Calibri" w:cs="Calibri" w:eastAsia="Calibri" w:hAnsi="Calibri"/>
                <w:sz w:val="16"/>
                <w:szCs w:val="16"/>
                <w:color w:val="auto"/>
              </w:rPr>
              <w:t>Stock Optons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5260" w:type="dxa"/>
            <w:vAlign w:val="bottom"/>
            <w:gridSpan w:val="2"/>
            <w:shd w:val="clear" w:color="auto" w:fill="CFF0FC"/>
          </w:tcPr>
          <w:p>
            <w:pPr>
              <w:ind w:left="540"/>
              <w:spacing w:after="0" w:line="229" w:lineRule="exact"/>
              <w:rPr>
                <w:sz w:val="20"/>
                <w:szCs w:val="20"/>
                <w:color w:val="auto"/>
              </w:rPr>
            </w:pPr>
            <w:r>
              <w:rPr>
                <w:rFonts w:ascii="Calibri" w:cs="Calibri" w:eastAsia="Calibri" w:hAnsi="Calibri"/>
                <w:sz w:val="16"/>
                <w:szCs w:val="16"/>
                <w:color w:val="auto"/>
              </w:rPr>
              <w:t>Unexercisable and Accelerated Awards</w:t>
            </w:r>
            <w:r>
              <w:rPr>
                <w:rFonts w:ascii="Calibri" w:cs="Calibri" w:eastAsia="Calibri" w:hAnsi="Calibri"/>
                <w:sz w:val="21"/>
                <w:szCs w:val="21"/>
                <w:color w:val="auto"/>
                <w:vertAlign w:val="superscript"/>
              </w:rPr>
              <w:t>(2)</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330,176</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330,176</w:t>
            </w:r>
          </w:p>
        </w:tc>
        <w:tc>
          <w:tcPr>
            <w:tcW w:w="80" w:type="dxa"/>
            <w:vAlign w:val="bottom"/>
            <w:shd w:val="clear" w:color="auto" w:fill="CFF0FC"/>
          </w:tcPr>
          <w:p>
            <w:pPr>
              <w:spacing w:after="0"/>
              <w:rPr>
                <w:sz w:val="19"/>
                <w:szCs w:val="19"/>
                <w:color w:val="auto"/>
              </w:rPr>
            </w:pPr>
          </w:p>
        </w:tc>
      </w:tr>
      <w:tr>
        <w:trPr>
          <w:trHeight w:val="193"/>
        </w:trPr>
        <w:tc>
          <w:tcPr>
            <w:tcW w:w="5260" w:type="dxa"/>
            <w:vAlign w:val="bottom"/>
            <w:gridSpan w:val="2"/>
          </w:tcPr>
          <w:p>
            <w:pPr>
              <w:ind w:left="360"/>
              <w:spacing w:after="0" w:line="193" w:lineRule="exact"/>
              <w:rPr>
                <w:sz w:val="20"/>
                <w:szCs w:val="20"/>
                <w:color w:val="auto"/>
              </w:rPr>
            </w:pPr>
            <w:r>
              <w:rPr>
                <w:rFonts w:ascii="Calibri" w:cs="Calibri" w:eastAsia="Calibri" w:hAnsi="Calibri"/>
                <w:sz w:val="16"/>
                <w:szCs w:val="16"/>
                <w:color w:val="auto"/>
              </w:rPr>
              <w:t>Restricted Stock Awards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5260" w:type="dxa"/>
            <w:vAlign w:val="bottom"/>
            <w:gridSpan w:val="2"/>
            <w:shd w:val="clear" w:color="auto" w:fill="CFF0FC"/>
          </w:tcPr>
          <w:p>
            <w:pPr>
              <w:ind w:left="540"/>
              <w:spacing w:after="0" w:line="229" w:lineRule="exact"/>
              <w:rPr>
                <w:sz w:val="20"/>
                <w:szCs w:val="20"/>
                <w:color w:val="auto"/>
              </w:rPr>
            </w:pPr>
            <w:r>
              <w:rPr>
                <w:rFonts w:ascii="Calibri" w:cs="Calibri" w:eastAsia="Calibri" w:hAnsi="Calibri"/>
                <w:sz w:val="16"/>
                <w:szCs w:val="16"/>
                <w:color w:val="auto"/>
              </w:rPr>
              <w:t>Unvested and Accelerated Awards</w:t>
            </w:r>
            <w:r>
              <w:rPr>
                <w:rFonts w:ascii="Calibri" w:cs="Calibri" w:eastAsia="Calibri" w:hAnsi="Calibri"/>
                <w:sz w:val="21"/>
                <w:szCs w:val="21"/>
                <w:color w:val="auto"/>
                <w:vertAlign w:val="superscript"/>
              </w:rPr>
              <w:t>(3)</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995,420</w:t>
            </w:r>
          </w:p>
        </w:tc>
        <w:tc>
          <w:tcPr>
            <w:tcW w:w="124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995,420</w:t>
            </w:r>
          </w:p>
        </w:tc>
        <w:tc>
          <w:tcPr>
            <w:tcW w:w="80" w:type="dxa"/>
            <w:vAlign w:val="bottom"/>
            <w:shd w:val="clear" w:color="auto" w:fill="CFF0FC"/>
          </w:tcPr>
          <w:p>
            <w:pPr>
              <w:spacing w:after="0"/>
              <w:rPr>
                <w:sz w:val="19"/>
                <w:szCs w:val="19"/>
                <w:color w:val="auto"/>
              </w:rPr>
            </w:pPr>
          </w:p>
        </w:tc>
      </w:tr>
      <w:tr>
        <w:trPr>
          <w:trHeight w:val="194"/>
        </w:trPr>
        <w:tc>
          <w:tcPr>
            <w:tcW w:w="5260" w:type="dxa"/>
            <w:vAlign w:val="bottom"/>
            <w:gridSpan w:val="2"/>
          </w:tcPr>
          <w:p>
            <w:pPr>
              <w:ind w:left="180"/>
              <w:spacing w:after="0" w:line="193" w:lineRule="exact"/>
              <w:rPr>
                <w:sz w:val="20"/>
                <w:szCs w:val="20"/>
                <w:color w:val="auto"/>
              </w:rPr>
            </w:pPr>
            <w:r>
              <w:rPr>
                <w:rFonts w:ascii="Calibri" w:cs="Calibri" w:eastAsia="Calibri" w:hAnsi="Calibri"/>
                <w:sz w:val="16"/>
                <w:szCs w:val="16"/>
                <w:i w:val="1"/>
                <w:iCs w:val="1"/>
                <w:color w:val="auto"/>
              </w:rPr>
              <w:t>Benefts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
        </w:trPr>
        <w:tc>
          <w:tcPr>
            <w:tcW w:w="10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5260" w:type="dxa"/>
            <w:vAlign w:val="bottom"/>
            <w:tcBorders>
              <w:bottom w:val="single" w:sz="8" w:color="CFF0FC"/>
            </w:tcBorders>
            <w:gridSpan w:val="2"/>
            <w:shd w:val="clear" w:color="auto" w:fill="CFF0FC"/>
          </w:tcPr>
          <w:p>
            <w:pPr>
              <w:ind w:left="360"/>
              <w:spacing w:after="0" w:line="229" w:lineRule="exact"/>
              <w:rPr>
                <w:sz w:val="20"/>
                <w:szCs w:val="20"/>
                <w:color w:val="auto"/>
              </w:rPr>
            </w:pPr>
            <w:r>
              <w:rPr>
                <w:rFonts w:ascii="Calibri" w:cs="Calibri" w:eastAsia="Calibri" w:hAnsi="Calibri"/>
                <w:sz w:val="16"/>
                <w:szCs w:val="16"/>
                <w:color w:val="auto"/>
              </w:rPr>
              <w:t>Executve Life Insurance Plan</w:t>
            </w:r>
            <w:r>
              <w:rPr>
                <w:rFonts w:ascii="Calibri" w:cs="Calibri" w:eastAsia="Calibri" w:hAnsi="Calibri"/>
                <w:sz w:val="21"/>
                <w:szCs w:val="21"/>
                <w:color w:val="auto"/>
                <w:vertAlign w:val="superscript"/>
              </w:rPr>
              <w:t>(4)</w:t>
            </w:r>
          </w:p>
        </w:tc>
        <w:tc>
          <w:tcPr>
            <w:tcW w:w="9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2,000,000</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7"/>
        </w:trPr>
        <w:tc>
          <w:tcPr>
            <w:tcW w:w="1000" w:type="dxa"/>
            <w:vAlign w:val="bottom"/>
          </w:tcPr>
          <w:p>
            <w:pPr>
              <w:spacing w:after="0"/>
              <w:rPr>
                <w:sz w:val="16"/>
                <w:szCs w:val="16"/>
                <w:color w:val="auto"/>
              </w:rPr>
            </w:pPr>
          </w:p>
        </w:tc>
        <w:tc>
          <w:tcPr>
            <w:tcW w:w="4260" w:type="dxa"/>
            <w:vAlign w:val="bottom"/>
          </w:tcPr>
          <w:p>
            <w:pPr>
              <w:ind w:left="80"/>
              <w:spacing w:after="0" w:line="187" w:lineRule="exact"/>
              <w:rPr>
                <w:sz w:val="20"/>
                <w:szCs w:val="20"/>
                <w:color w:val="auto"/>
              </w:rPr>
            </w:pPr>
            <w:r>
              <w:rPr>
                <w:rFonts w:ascii="Calibri" w:cs="Calibri" w:eastAsia="Calibri" w:hAnsi="Calibri"/>
                <w:sz w:val="16"/>
                <w:szCs w:val="16"/>
                <w:b w:val="1"/>
                <w:bCs w:val="1"/>
                <w:color w:val="auto"/>
              </w:rPr>
              <w:t>THOMPSON TOTAL</w:t>
            </w:r>
          </w:p>
        </w:tc>
        <w:tc>
          <w:tcPr>
            <w:tcW w:w="940" w:type="dxa"/>
            <w:vAlign w:val="bottom"/>
          </w:tcPr>
          <w:p>
            <w:pPr>
              <w:spacing w:after="0"/>
              <w:rPr>
                <w:sz w:val="16"/>
                <w:szCs w:val="16"/>
                <w:color w:val="auto"/>
              </w:rPr>
            </w:pPr>
          </w:p>
        </w:tc>
        <w:tc>
          <w:tcPr>
            <w:tcW w:w="180" w:type="dxa"/>
            <w:vAlign w:val="bottom"/>
          </w:tcPr>
          <w:p>
            <w:pPr>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3,325,597</w:t>
            </w:r>
          </w:p>
        </w:tc>
        <w:tc>
          <w:tcPr>
            <w:tcW w:w="1240" w:type="dxa"/>
            <w:vAlign w:val="bottom"/>
            <w:gridSpan w:val="2"/>
          </w:tcPr>
          <w:p>
            <w:pPr>
              <w:jc w:val="right"/>
              <w:spacing w:after="0" w:line="187" w:lineRule="exact"/>
              <w:rPr>
                <w:sz w:val="20"/>
                <w:szCs w:val="20"/>
                <w:color w:val="auto"/>
              </w:rPr>
            </w:pPr>
            <w:r>
              <w:rPr>
                <w:rFonts w:ascii="Calibri" w:cs="Calibri" w:eastAsia="Calibri" w:hAnsi="Calibri"/>
                <w:sz w:val="16"/>
                <w:szCs w:val="16"/>
                <w:b w:val="1"/>
                <w:bCs w:val="1"/>
                <w:color w:val="auto"/>
              </w:rPr>
              <w:t>1,325,597</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-2771140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-2771140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-2771140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-130810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-130810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-130810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19030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72" w:lineRule="exact"/>
        <w:rPr>
          <w:sz w:val="20"/>
          <w:szCs w:val="20"/>
          <w:color w:val="auto"/>
        </w:rPr>
      </w:pPr>
    </w:p>
    <w:p>
      <w:pPr>
        <w:ind w:left="380" w:hanging="372"/>
        <w:spacing w:after="0"/>
        <w:tabs>
          <w:tab w:leader="none" w:pos="38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The defnitons of “Change in Control” are described under “Change in Control Benefts” above.</w:t>
      </w:r>
    </w:p>
    <w:p>
      <w:pPr>
        <w:spacing w:after="0" w:line="109" w:lineRule="exact"/>
        <w:rPr>
          <w:rFonts w:ascii="Calibri" w:cs="Calibri" w:eastAsia="Calibri" w:hAnsi="Calibri"/>
          <w:sz w:val="18"/>
          <w:szCs w:val="18"/>
          <w:color w:val="auto"/>
        </w:rPr>
      </w:pPr>
    </w:p>
    <w:p>
      <w:pPr>
        <w:jc w:val="both"/>
        <w:ind w:left="380" w:right="400" w:hanging="372"/>
        <w:spacing w:after="0" w:line="235" w:lineRule="auto"/>
        <w:tabs>
          <w:tab w:leader="none" w:pos="38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Represents the dollar value of the unexercisable stock optons that are accelerated because of death, disability or a change in control (assuming no replacement award is provided) based on the amount, if any, that the closing price of our Common Stock on March 29, 2024 ($271.75) exceeds the exercise price of the stock opton. For performance-vestng awards that are stll pending completon of their respectve performance periods, these amounts assume that maximum performance (120% of target) would be earned.</w:t>
      </w:r>
    </w:p>
    <w:p>
      <w:pPr>
        <w:spacing w:after="0" w:line="111" w:lineRule="exact"/>
        <w:rPr>
          <w:rFonts w:ascii="Calibri" w:cs="Calibri" w:eastAsia="Calibri" w:hAnsi="Calibri"/>
          <w:sz w:val="18"/>
          <w:szCs w:val="18"/>
          <w:color w:val="auto"/>
        </w:rPr>
      </w:pPr>
    </w:p>
    <w:p>
      <w:pPr>
        <w:ind w:left="380" w:hanging="372"/>
        <w:spacing w:after="0" w:line="254" w:lineRule="auto"/>
        <w:tabs>
          <w:tab w:leader="none" w:pos="38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Represents the dollar value of the restricted stock for which restrictons will lapse upon death, disability or a change in control (assuming no replacement award is provided) based on the closing price of our Common Stock on March 29, 2024 ($271.75). For performance-vestng awards that are stll pending completon of their respectve performance periods, these amounts assume that maximum performance (120% of target) would be earned.</w:t>
      </w:r>
    </w:p>
    <w:p>
      <w:pPr>
        <w:spacing w:after="0" w:line="92" w:lineRule="exact"/>
        <w:rPr>
          <w:rFonts w:ascii="Calibri" w:cs="Calibri" w:eastAsia="Calibri" w:hAnsi="Calibri"/>
          <w:sz w:val="17"/>
          <w:szCs w:val="17"/>
          <w:color w:val="auto"/>
        </w:rPr>
      </w:pPr>
    </w:p>
    <w:p>
      <w:pPr>
        <w:ind w:left="380" w:hanging="372"/>
        <w:spacing w:after="0"/>
        <w:tabs>
          <w:tab w:leader="none" w:pos="38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See the "Executve Life Insurance Plan" secton above for a descripton of these potental payments.</w:t>
      </w:r>
    </w:p>
    <w:p>
      <w:pPr>
        <w:spacing w:after="0" w:line="109" w:lineRule="exact"/>
        <w:rPr>
          <w:rFonts w:ascii="Calibri" w:cs="Calibri" w:eastAsia="Calibri" w:hAnsi="Calibri"/>
          <w:sz w:val="18"/>
          <w:szCs w:val="18"/>
          <w:color w:val="auto"/>
        </w:rPr>
      </w:pPr>
    </w:p>
    <w:p>
      <w:pPr>
        <w:ind w:left="380" w:right="640" w:hanging="372"/>
        <w:spacing w:after="0" w:line="235" w:lineRule="auto"/>
        <w:tabs>
          <w:tab w:leader="none" w:pos="38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See the “Change in Control Contnuity Agreements” secton above for a descripton of the components of these potental payments, assuming a qualifying terminaton of employment.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Treatment Upon Retrement</w:t>
      </w:r>
    </w:p>
    <w:p>
      <w:pPr>
        <w:spacing w:after="0" w:line="109"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Mr. Wentzel retred from his positon as President of American Gypsum efectve June 1, 2023, and Mr. Stewart retred from his positon as Executve Vice President – Strategy, Corporate Development and Communicatons efectve July 3, 2023. For each of the retring ofcers, the Board determined that his departure consttuted a Board-approved retrement from service, and therefore, pursuant to the terms of the award agreements, his outstanding restricted stock (both tme-vestng awards and performance-vestng awards for which the performance conditon had been satsfed) accelerated vestng upon retrement, and Mr. Wentzel's outstanding stock optons will survive for the remaining term following retrement. The value of these retrement-related items is refected in the fscal 2024 compensaton for Messrs.</w:t>
      </w:r>
    </w:p>
    <w:p>
      <w:pPr>
        <w:spacing w:after="0" w:line="10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68" w:name="page69"/>
    <w:bookmarkEnd w:id="68"/>
    <w:p>
      <w:pPr>
        <w:spacing w:after="0" w:line="235" w:lineRule="auto"/>
        <w:rPr>
          <w:sz w:val="20"/>
          <w:szCs w:val="20"/>
          <w:color w:val="auto"/>
        </w:rPr>
      </w:pPr>
      <w:r>
        <w:rPr>
          <w:rFonts w:ascii="Calibri" w:cs="Calibri" w:eastAsia="Calibri" w:hAnsi="Calibri"/>
          <w:sz w:val="18"/>
          <w:szCs w:val="18"/>
          <w:color w:val="auto"/>
        </w:rPr>
        <w:t>Wentzel and Stewart in the Fiscal 2024 Summary Compensaton Table above. Had the Board not made this retrement determinaton, upon departure any outstanding restricted shares would have been forfeited and any outstanding stock optons would have terminated 90 days afer departure.</w:t>
      </w:r>
    </w:p>
    <w:p>
      <w:pPr>
        <w:spacing w:after="0" w:line="31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299"/>
        <w:spacing w:after="0"/>
        <w:rPr>
          <w:sz w:val="20"/>
          <w:szCs w:val="20"/>
          <w:color w:val="auto"/>
        </w:rPr>
      </w:pPr>
      <w:r>
        <w:rPr>
          <w:rFonts w:ascii="Calibri" w:cs="Calibri" w:eastAsia="Calibri" w:hAnsi="Calibri"/>
          <w:sz w:val="20"/>
          <w:szCs w:val="20"/>
          <w:color w:val="auto"/>
        </w:rPr>
        <w:t>Eagle Materials Inc. - 2024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69" w:name="page70"/>
    <w:bookmarkEnd w:id="69"/>
    <w:p>
      <w:pPr>
        <w:jc w:val="center"/>
        <w:ind w:right="-119"/>
        <w:spacing w:after="0"/>
        <w:rPr>
          <w:sz w:val="20"/>
          <w:szCs w:val="20"/>
          <w:color w:val="auto"/>
        </w:rPr>
      </w:pPr>
      <w:r>
        <w:rPr>
          <w:rFonts w:ascii="Calibri" w:cs="Calibri" w:eastAsia="Calibri" w:hAnsi="Calibri"/>
          <w:sz w:val="25"/>
          <w:szCs w:val="25"/>
          <w:b w:val="1"/>
          <w:bCs w:val="1"/>
          <w:color w:val="4472C4"/>
        </w:rPr>
        <w:t>CEO PAY RATIO</w:t>
      </w:r>
    </w:p>
    <w:p>
      <w:pPr>
        <w:spacing w:after="0" w:line="253"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Pursuant to a mandate of the Dodd-Frank Wall Street Reform and Consumer Protecton Act, the Securites and Exchange Commission (the “SEC”) has adopted Item 402(u) of Regulaton S-K requiring annual disclosure of a reasonable estmate of the rato of the annual total compensaton of our chief executve ofcer to the annual total compensaton of the employee of the Company or one of its consolidated subsidiaries who is determined to have the median compensaton of all employees of the Company and its subsidiaries, collectvely (excluding the CEO). The rule also requires annual disclosure of such median employee’s annual total compensaton for the applicable fscal year and the CEO’s annual total compensaton for the applicable fscal year, in each case as determined in accordance with the rules governing the presentaton of total compensaton of the Named Executve Ofcers in the Summary Compensaton Table presented in this proxy statement. Our CEO is Mr. Haack.</w:t>
      </w:r>
    </w:p>
    <w:p>
      <w:pPr>
        <w:spacing w:after="0" w:line="222"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To identfy the median-compensated employee for fscal 2024, we examined the total gross W-2 compensaton data for fscal 2024 for employees who were employed by the Company or its consolidated subsidiaries on March 31, 2024. Based on this data, we determined the median-compensated employee. We then calculated such employee’s total fscal 2024 compensaton in accordance with the rules governing the presentaton of the total compensaton of the Named Executve Ofcers in the Summary Compensaton Table.</w:t>
      </w:r>
    </w:p>
    <w:p>
      <w:pPr>
        <w:spacing w:after="0" w:line="219" w:lineRule="exact"/>
        <w:rPr>
          <w:sz w:val="20"/>
          <w:szCs w:val="20"/>
          <w:color w:val="auto"/>
        </w:rPr>
      </w:pPr>
    </w:p>
    <w:p>
      <w:pPr>
        <w:jc w:val="both"/>
        <w:ind w:right="200" w:firstLine="749"/>
        <w:spacing w:after="0" w:line="235" w:lineRule="auto"/>
        <w:rPr>
          <w:sz w:val="20"/>
          <w:szCs w:val="20"/>
          <w:color w:val="auto"/>
        </w:rPr>
      </w:pPr>
      <w:r>
        <w:rPr>
          <w:rFonts w:ascii="Calibri" w:cs="Calibri" w:eastAsia="Calibri" w:hAnsi="Calibri"/>
          <w:sz w:val="18"/>
          <w:szCs w:val="18"/>
          <w:color w:val="auto"/>
        </w:rPr>
        <w:t>Based on this methodology, the fscal 2024 annual total compensaton for the median-compensated employee was $84,061. As reported in the Summary Compensaton Table of this Proxy Statement, the fscal 2024 annual total compensaton of our CEO, Mr. Haack, was $8,056,077. The rato of the CEO’s annual total compensaton to the median-compensated employee’s annual total compensaton was approximately 96:1.</w:t>
      </w:r>
    </w:p>
    <w:p>
      <w:pPr>
        <w:spacing w:after="0" w:line="219" w:lineRule="exact"/>
        <w:rPr>
          <w:sz w:val="20"/>
          <w:szCs w:val="20"/>
          <w:color w:val="auto"/>
        </w:rPr>
      </w:pPr>
    </w:p>
    <w:p>
      <w:pPr>
        <w:ind w:right="280" w:firstLine="749"/>
        <w:spacing w:after="0" w:line="235" w:lineRule="auto"/>
        <w:rPr>
          <w:sz w:val="20"/>
          <w:szCs w:val="20"/>
          <w:color w:val="auto"/>
        </w:rPr>
      </w:pPr>
      <w:r>
        <w:rPr>
          <w:rFonts w:ascii="Calibri" w:cs="Calibri" w:eastAsia="Calibri" w:hAnsi="Calibri"/>
          <w:sz w:val="18"/>
          <w:szCs w:val="18"/>
          <w:color w:val="auto"/>
        </w:rPr>
        <w:t>This pay rato is a reasonable estmate calculated in a manner consistent with SEC rules based on our payroll and employment records and the methodology described above</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Eagle Materials Inc. - 2024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6" w:right="459" w:bottom="1440" w:gutter="0" w:footer="0" w:header="0"/>
        </w:sectPr>
      </w:pPr>
    </w:p>
    <w:bookmarkStart w:id="70" w:name="page71"/>
    <w:bookmarkEnd w:id="70"/>
    <w:p>
      <w:pPr>
        <w:jc w:val="center"/>
        <w:ind w:right="-19"/>
        <w:spacing w:after="0"/>
        <w:rPr>
          <w:sz w:val="20"/>
          <w:szCs w:val="20"/>
          <w:color w:val="auto"/>
        </w:rPr>
      </w:pPr>
      <w:r>
        <w:rPr>
          <w:rFonts w:ascii="Calibri" w:cs="Calibri" w:eastAsia="Calibri" w:hAnsi="Calibri"/>
          <w:sz w:val="25"/>
          <w:szCs w:val="25"/>
          <w:b w:val="1"/>
          <w:bCs w:val="1"/>
          <w:color w:val="4472C4"/>
        </w:rPr>
        <w:t>PAY VERSUS PERFORMANCE</w:t>
      </w:r>
    </w:p>
    <w:p>
      <w:pPr>
        <w:spacing w:after="0" w:line="226"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As required by Item 402(v) of Regulaton S-K, we are providing the following informaton about the relatonship between executve compensaton for our principal executve ofcer (“PEO”) and non-PEO Named Executve Ofcers and the fnancial performance of the Company. The table below addresses compensaton actually paid (“CAP”) to the PEO and the non-PEO Named Executve Ofcers, which is a concept developed by the SEC for purposes of this tabular disclosure and does not imply that the covered executves actually received payments or value equal to the CAP during the applicable fscal year. Although the Compensaton Commitee focuses on pay relatve to performance in its executve compensaton decisions, it has not historically utlized CAP as a key measure in implementng its pay-for-performance philosophy. For further informaton concerning the Company’s pay-for-performance philosophy and how the Company aligns executve compensaton with the Company’s performance, refer to “Compensaton Discussion and Analysis” above.</w:t>
      </w:r>
    </w:p>
    <w:p>
      <w:pPr>
        <w:spacing w:after="0" w:line="209"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 Company has selected Return on Equity as the company-selected fnancial performance measure presented in the table below. Although the Company uses numerous fnancial and non-fnancial performance measures for the purpose of evaluatng performance for the Company’s compensaton programs, the Company has determined that Return on Equity is the fnancial performance measure that represents the most important performance measure (that is not otherwise required to be disclosed in the table) used by the Company to link compensaton actually paid to the Company’s Named Executve Ofcers for the most recently completed fscal year to Company performance.</w:t>
      </w:r>
    </w:p>
    <w:p>
      <w:pPr>
        <w:spacing w:after="0" w:line="200" w:lineRule="exact"/>
        <w:rPr>
          <w:sz w:val="20"/>
          <w:szCs w:val="20"/>
          <w:color w:val="auto"/>
        </w:rPr>
      </w:pP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rPr>
              <w:t>Average Summary</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rPr>
              <w:t>Compensaton</w:t>
            </w:r>
          </w:p>
        </w:tc>
        <w:tc>
          <w:tcPr>
            <w:tcW w:w="2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Average</w:t>
            </w:r>
          </w:p>
        </w:tc>
        <w:tc>
          <w:tcPr>
            <w:tcW w:w="1900" w:type="dxa"/>
            <w:vAlign w:val="bottom"/>
            <w:gridSpan w:val="3"/>
          </w:tcPr>
          <w:p>
            <w:pPr>
              <w:ind w:left="220"/>
              <w:spacing w:after="0"/>
              <w:rPr>
                <w:sz w:val="20"/>
                <w:szCs w:val="20"/>
                <w:color w:val="auto"/>
              </w:rPr>
            </w:pPr>
            <w:r>
              <w:rPr>
                <w:rFonts w:ascii="Calibri" w:cs="Calibri" w:eastAsia="Calibri" w:hAnsi="Calibri"/>
                <w:sz w:val="13"/>
                <w:szCs w:val="13"/>
                <w:b w:val="1"/>
                <w:bCs w:val="1"/>
                <w:color w:val="auto"/>
              </w:rPr>
              <w:t>Value of Inital Fixed $100</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rPr>
              <w:t>Table</w:t>
            </w:r>
          </w:p>
        </w:tc>
        <w:tc>
          <w:tcPr>
            <w:tcW w:w="2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Calibri" w:cs="Calibri" w:eastAsia="Calibri" w:hAnsi="Calibri"/>
                <w:sz w:val="13"/>
                <w:szCs w:val="13"/>
                <w:b w:val="1"/>
                <w:bCs w:val="1"/>
                <w:color w:val="auto"/>
              </w:rPr>
              <w:t>Compensaton</w:t>
            </w:r>
          </w:p>
        </w:tc>
        <w:tc>
          <w:tcPr>
            <w:tcW w:w="1900" w:type="dxa"/>
            <w:vAlign w:val="bottom"/>
            <w:gridSpan w:val="3"/>
          </w:tcPr>
          <w:p>
            <w:pPr>
              <w:ind w:left="340"/>
              <w:spacing w:after="0"/>
              <w:rPr>
                <w:sz w:val="20"/>
                <w:szCs w:val="20"/>
                <w:color w:val="auto"/>
              </w:rPr>
            </w:pPr>
            <w:r>
              <w:rPr>
                <w:rFonts w:ascii="Calibri" w:cs="Calibri" w:eastAsia="Calibri" w:hAnsi="Calibri"/>
                <w:sz w:val="13"/>
                <w:szCs w:val="13"/>
                <w:b w:val="1"/>
                <w:bCs w:val="1"/>
                <w:color w:val="auto"/>
              </w:rPr>
              <w:t>Investment Based On:</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Summary</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Actually Paid to</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Calibri" w:cs="Calibri" w:eastAsia="Calibri" w:hAnsi="Calibri"/>
                <w:sz w:val="13"/>
                <w:szCs w:val="13"/>
                <w:b w:val="1"/>
                <w:bCs w:val="1"/>
                <w:color w:val="auto"/>
              </w:rPr>
              <w:t>Peer Group</w:t>
            </w: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Calibri" w:cs="Calibri" w:eastAsia="Calibri" w:hAnsi="Calibri"/>
                <w:sz w:val="13"/>
                <w:szCs w:val="13"/>
                <w:b w:val="1"/>
                <w:bCs w:val="1"/>
                <w:color w:val="auto"/>
              </w:rPr>
              <w:t>Net Income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680" w:type="dxa"/>
            <w:vAlign w:val="bottom"/>
          </w:tcPr>
          <w:p>
            <w:pPr>
              <w:jc w:val="center"/>
              <w:spacing w:after="0"/>
              <w:rPr>
                <w:sz w:val="20"/>
                <w:szCs w:val="20"/>
                <w:color w:val="auto"/>
              </w:rPr>
            </w:pPr>
            <w:r>
              <w:rPr>
                <w:rFonts w:ascii="Calibri" w:cs="Calibri" w:eastAsia="Calibri" w:hAnsi="Calibri"/>
                <w:sz w:val="13"/>
                <w:szCs w:val="13"/>
                <w:b w:val="1"/>
                <w:bCs w:val="1"/>
                <w:color w:val="auto"/>
              </w:rPr>
              <w:t>Fiscal Year</w:t>
            </w: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Compensaton</w:t>
            </w: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3"/>
                <w:szCs w:val="13"/>
                <w:b w:val="1"/>
                <w:bCs w:val="1"/>
                <w:color w:val="auto"/>
              </w:rPr>
              <w:t>Compensaton</w:t>
            </w: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rPr>
              <w:t>Total for Non-PEO</w:t>
            </w:r>
          </w:p>
        </w:tc>
        <w:tc>
          <w:tcPr>
            <w:tcW w:w="2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Non-PEO Named</w:t>
            </w:r>
          </w:p>
        </w:tc>
        <w:tc>
          <w:tcPr>
            <w:tcW w:w="800" w:type="dxa"/>
            <w:vAlign w:val="bottom"/>
          </w:tcPr>
          <w:p>
            <w:pPr>
              <w:jc w:val="center"/>
              <w:spacing w:after="0"/>
              <w:rPr>
                <w:sz w:val="20"/>
                <w:szCs w:val="20"/>
                <w:color w:val="auto"/>
              </w:rPr>
            </w:pPr>
            <w:r>
              <w:rPr>
                <w:rFonts w:ascii="Calibri" w:cs="Calibri" w:eastAsia="Calibri" w:hAnsi="Calibri"/>
                <w:sz w:val="13"/>
                <w:szCs w:val="13"/>
                <w:b w:val="1"/>
                <w:bCs w:val="1"/>
                <w:color w:val="auto"/>
              </w:rPr>
              <w:t>Total</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Calibri" w:cs="Calibri" w:eastAsia="Calibri" w:hAnsi="Calibri"/>
                <w:sz w:val="13"/>
                <w:szCs w:val="13"/>
                <w:b w:val="1"/>
                <w:bCs w:val="1"/>
                <w:color w:val="auto"/>
              </w:rPr>
              <w:t>Total</w:t>
            </w:r>
          </w:p>
        </w:tc>
        <w:tc>
          <w:tcPr>
            <w:tcW w:w="2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3"/>
                <w:szCs w:val="13"/>
                <w:b w:val="1"/>
                <w:bCs w:val="1"/>
                <w:color w:val="auto"/>
              </w:rPr>
              <w:t>(dollars in</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6"/>
        </w:trPr>
        <w:tc>
          <w:tcPr>
            <w:tcW w:w="680" w:type="dxa"/>
            <w:vAlign w:val="bottom"/>
          </w:tcPr>
          <w:p>
            <w:pPr>
              <w:jc w:val="center"/>
              <w:spacing w:after="0"/>
              <w:rPr>
                <w:sz w:val="20"/>
                <w:szCs w:val="20"/>
                <w:color w:val="auto"/>
              </w:rPr>
            </w:pPr>
            <w:r>
              <w:rPr>
                <w:rFonts w:ascii="Calibri" w:cs="Calibri" w:eastAsia="Calibri" w:hAnsi="Calibri"/>
                <w:sz w:val="13"/>
                <w:szCs w:val="13"/>
                <w:b w:val="1"/>
                <w:bCs w:val="1"/>
                <w:color w:val="auto"/>
              </w:rPr>
              <w:t>Ended</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Table Total for</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alibri" w:cs="Calibri" w:eastAsia="Calibri" w:hAnsi="Calibri"/>
                <w:sz w:val="13"/>
                <w:szCs w:val="13"/>
                <w:b w:val="1"/>
                <w:bCs w:val="1"/>
                <w:color w:val="auto"/>
              </w:rPr>
              <w:t>Actually Paid to</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rPr>
              <w:t>Named Executve</w:t>
            </w: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Calibri" w:cs="Calibri" w:eastAsia="Calibri" w:hAnsi="Calibri"/>
                <w:sz w:val="13"/>
                <w:szCs w:val="13"/>
                <w:b w:val="1"/>
                <w:bCs w:val="1"/>
                <w:color w:val="auto"/>
              </w:rPr>
              <w:t>Executve</w:t>
            </w:r>
          </w:p>
        </w:tc>
        <w:tc>
          <w:tcPr>
            <w:tcW w:w="800" w:type="dxa"/>
            <w:vAlign w:val="bottom"/>
          </w:tcPr>
          <w:p>
            <w:pPr>
              <w:jc w:val="center"/>
              <w:spacing w:after="0"/>
              <w:rPr>
                <w:sz w:val="20"/>
                <w:szCs w:val="20"/>
                <w:color w:val="auto"/>
              </w:rPr>
            </w:pPr>
            <w:r>
              <w:rPr>
                <w:rFonts w:ascii="Calibri" w:cs="Calibri" w:eastAsia="Calibri" w:hAnsi="Calibri"/>
                <w:sz w:val="13"/>
                <w:szCs w:val="13"/>
                <w:b w:val="1"/>
                <w:bCs w:val="1"/>
                <w:color w:val="auto"/>
              </w:rPr>
              <w:t>Shareholder</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alibri" w:cs="Calibri" w:eastAsia="Calibri" w:hAnsi="Calibri"/>
                <w:sz w:val="13"/>
                <w:szCs w:val="13"/>
                <w:b w:val="1"/>
                <w:bCs w:val="1"/>
                <w:color w:val="auto"/>
              </w:rPr>
              <w:t>Shareholder</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alibri" w:cs="Calibri" w:eastAsia="Calibri" w:hAnsi="Calibri"/>
                <w:sz w:val="13"/>
                <w:szCs w:val="13"/>
                <w:b w:val="1"/>
                <w:bCs w:val="1"/>
                <w:color w:val="auto"/>
              </w:rPr>
              <w:t>thousands)</w:t>
            </w:r>
          </w:p>
        </w:tc>
        <w:tc>
          <w:tcPr>
            <w:tcW w:w="2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Calibri" w:cs="Calibri" w:eastAsia="Calibri" w:hAnsi="Calibri"/>
                <w:sz w:val="13"/>
                <w:szCs w:val="13"/>
                <w:b w:val="1"/>
                <w:bCs w:val="1"/>
                <w:color w:val="auto"/>
              </w:rPr>
              <w:t>Return on</w:t>
            </w:r>
          </w:p>
        </w:tc>
      </w:tr>
      <w:tr>
        <w:trPr>
          <w:trHeight w:val="221"/>
        </w:trPr>
        <w:tc>
          <w:tcPr>
            <w:tcW w:w="68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rPr>
              <w:t>March 31,</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w w:val="95"/>
              </w:rPr>
              <w:t>PEO</w:t>
            </w:r>
            <w:r>
              <w:rPr>
                <w:rFonts w:ascii="Calibri" w:cs="Calibri" w:eastAsia="Calibri" w:hAnsi="Calibri"/>
                <w:sz w:val="18"/>
                <w:szCs w:val="18"/>
                <w:b w:val="1"/>
                <w:bCs w:val="1"/>
                <w:color w:val="auto"/>
                <w:w w:val="95"/>
                <w:vertAlign w:val="superscript"/>
              </w:rPr>
              <w:t>(1)</w:t>
            </w:r>
            <w:r>
              <w:rPr>
                <w:rFonts w:ascii="Calibri" w:cs="Calibri" w:eastAsia="Calibri" w:hAnsi="Calibri"/>
                <w:sz w:val="13"/>
                <w:szCs w:val="13"/>
                <w:b w:val="1"/>
                <w:bCs w:val="1"/>
                <w:color w:val="auto"/>
                <w:w w:val="95"/>
              </w:rPr>
              <w:t xml:space="preserve">  ($)</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rPr>
              <w:t>PEO</w:t>
            </w:r>
            <w:r>
              <w:rPr>
                <w:rFonts w:ascii="Calibri" w:cs="Calibri" w:eastAsia="Calibri" w:hAnsi="Calibri"/>
                <w:sz w:val="18"/>
                <w:szCs w:val="18"/>
                <w:b w:val="1"/>
                <w:bCs w:val="1"/>
                <w:color w:val="auto"/>
                <w:vertAlign w:val="superscript"/>
              </w:rPr>
              <w:t>(2)</w:t>
            </w:r>
            <w:r>
              <w:rPr>
                <w:rFonts w:ascii="Calibri" w:cs="Calibri" w:eastAsia="Calibri" w:hAnsi="Calibri"/>
                <w:sz w:val="13"/>
                <w:szCs w:val="13"/>
                <w:b w:val="1"/>
                <w:bCs w:val="1"/>
                <w:color w:val="auto"/>
              </w:rPr>
              <w:t xml:space="preserve">  ($)</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rPr>
              <w:t>Ofcers</w:t>
            </w:r>
            <w:r>
              <w:rPr>
                <w:rFonts w:ascii="Calibri" w:cs="Calibri" w:eastAsia="Calibri" w:hAnsi="Calibri"/>
                <w:sz w:val="18"/>
                <w:szCs w:val="18"/>
                <w:b w:val="1"/>
                <w:bCs w:val="1"/>
                <w:color w:val="auto"/>
                <w:vertAlign w:val="superscript"/>
              </w:rPr>
              <w:t>(3)</w:t>
            </w:r>
            <w:r>
              <w:rPr>
                <w:rFonts w:ascii="Calibri" w:cs="Calibri" w:eastAsia="Calibri" w:hAnsi="Calibri"/>
                <w:sz w:val="13"/>
                <w:szCs w:val="13"/>
                <w:b w:val="1"/>
                <w:bCs w:val="1"/>
                <w:color w:val="auto"/>
              </w:rPr>
              <w:t xml:space="preserve">  ($)</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rPr>
              <w:t>Ofcers</w:t>
            </w:r>
            <w:r>
              <w:rPr>
                <w:rFonts w:ascii="Calibri" w:cs="Calibri" w:eastAsia="Calibri" w:hAnsi="Calibri"/>
                <w:sz w:val="18"/>
                <w:szCs w:val="18"/>
                <w:b w:val="1"/>
                <w:bCs w:val="1"/>
                <w:color w:val="auto"/>
                <w:vertAlign w:val="superscript"/>
              </w:rPr>
              <w:t>(4)</w:t>
            </w:r>
            <w:r>
              <w:rPr>
                <w:rFonts w:ascii="Calibri" w:cs="Calibri" w:eastAsia="Calibri" w:hAnsi="Calibri"/>
                <w:sz w:val="13"/>
                <w:szCs w:val="13"/>
                <w:b w:val="1"/>
                <w:bCs w:val="1"/>
                <w:color w:val="auto"/>
              </w:rPr>
              <w:t xml:space="preserve">  ($)</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rPr>
              <w:t>Return</w:t>
            </w:r>
            <w:r>
              <w:rPr>
                <w:rFonts w:ascii="Calibri" w:cs="Calibri" w:eastAsia="Calibri" w:hAnsi="Calibri"/>
                <w:sz w:val="18"/>
                <w:szCs w:val="18"/>
                <w:b w:val="1"/>
                <w:bCs w:val="1"/>
                <w:color w:val="auto"/>
                <w:vertAlign w:val="superscript"/>
              </w:rPr>
              <w:t>(5)</w:t>
            </w:r>
            <w:r>
              <w:rPr>
                <w:rFonts w:ascii="Calibri" w:cs="Calibri" w:eastAsia="Calibri" w:hAnsi="Calibri"/>
                <w:sz w:val="13"/>
                <w:szCs w:val="13"/>
                <w:b w:val="1"/>
                <w:bCs w:val="1"/>
                <w:color w:val="auto"/>
              </w:rPr>
              <w:t xml:space="preserve">  ($)</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rPr>
              <w:t>Return</w:t>
            </w:r>
            <w:r>
              <w:rPr>
                <w:rFonts w:ascii="Calibri" w:cs="Calibri" w:eastAsia="Calibri" w:hAnsi="Calibri"/>
                <w:sz w:val="18"/>
                <w:szCs w:val="18"/>
                <w:b w:val="1"/>
                <w:bCs w:val="1"/>
                <w:color w:val="auto"/>
                <w:vertAlign w:val="superscript"/>
              </w:rPr>
              <w:t>(5)</w:t>
            </w:r>
            <w:r>
              <w:rPr>
                <w:rFonts w:ascii="Calibri" w:cs="Calibri" w:eastAsia="Calibri" w:hAnsi="Calibri"/>
                <w:sz w:val="13"/>
                <w:szCs w:val="13"/>
                <w:b w:val="1"/>
                <w:bCs w:val="1"/>
                <w:color w:val="auto"/>
              </w:rPr>
              <w:t xml:space="preserve">  ($)</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center"/>
              <w:spacing w:after="0" w:line="220" w:lineRule="exact"/>
              <w:rPr>
                <w:sz w:val="20"/>
                <w:szCs w:val="20"/>
                <w:color w:val="auto"/>
              </w:rPr>
            </w:pPr>
            <w:r>
              <w:rPr>
                <w:rFonts w:ascii="Calibri" w:cs="Calibri" w:eastAsia="Calibri" w:hAnsi="Calibri"/>
                <w:sz w:val="9"/>
                <w:szCs w:val="9"/>
                <w:b w:val="1"/>
                <w:bCs w:val="1"/>
                <w:color w:val="auto"/>
              </w:rPr>
              <w:t xml:space="preserve">(6)  </w:t>
            </w:r>
            <w:r>
              <w:rPr>
                <w:rFonts w:ascii="Calibri" w:cs="Calibri" w:eastAsia="Calibri" w:hAnsi="Calibri"/>
                <w:sz w:val="24"/>
                <w:szCs w:val="24"/>
                <w:b w:val="1"/>
                <w:bCs w:val="1"/>
                <w:color w:val="auto"/>
                <w:vertAlign w:val="subscript"/>
              </w:rPr>
              <w:t>($)</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3"/>
                <w:szCs w:val="13"/>
                <w:b w:val="1"/>
                <w:bCs w:val="1"/>
                <w:color w:val="auto"/>
                <w:w w:val="96"/>
              </w:rPr>
              <w:t>Equity</w:t>
            </w:r>
            <w:r>
              <w:rPr>
                <w:rFonts w:ascii="Calibri" w:cs="Calibri" w:eastAsia="Calibri" w:hAnsi="Calibri"/>
                <w:sz w:val="18"/>
                <w:szCs w:val="18"/>
                <w:b w:val="1"/>
                <w:bCs w:val="1"/>
                <w:color w:val="auto"/>
                <w:w w:val="96"/>
                <w:vertAlign w:val="superscript"/>
              </w:rPr>
              <w:t>(7)</w:t>
            </w:r>
          </w:p>
        </w:tc>
        <w:tc>
          <w:tcPr>
            <w:tcW w:w="120" w:type="dxa"/>
            <w:vAlign w:val="bottom"/>
          </w:tcPr>
          <w:p>
            <w:pPr>
              <w:spacing w:after="0"/>
              <w:rPr>
                <w:sz w:val="19"/>
                <w:szCs w:val="19"/>
                <w:color w:val="auto"/>
              </w:rPr>
            </w:pPr>
          </w:p>
        </w:tc>
      </w:tr>
      <w:tr>
        <w:trPr>
          <w:trHeight w:val="187"/>
        </w:trPr>
        <w:tc>
          <w:tcPr>
            <w:tcW w:w="680" w:type="dxa"/>
            <w:vAlign w:val="bottom"/>
          </w:tcPr>
          <w:p>
            <w:pPr>
              <w:jc w:val="center"/>
              <w:spacing w:after="0" w:line="187" w:lineRule="exact"/>
              <w:rPr>
                <w:sz w:val="20"/>
                <w:szCs w:val="20"/>
                <w:color w:val="auto"/>
              </w:rPr>
            </w:pPr>
            <w:r>
              <w:rPr>
                <w:rFonts w:ascii="Calibri" w:cs="Calibri" w:eastAsia="Calibri" w:hAnsi="Calibri"/>
                <w:sz w:val="16"/>
                <w:szCs w:val="16"/>
                <w:color w:val="auto"/>
                <w:w w:val="98"/>
              </w:rPr>
              <w:t>2024</w:t>
            </w:r>
          </w:p>
        </w:tc>
        <w:tc>
          <w:tcPr>
            <w:tcW w:w="110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8,056,077</w:t>
            </w:r>
          </w:p>
        </w:tc>
        <w:tc>
          <w:tcPr>
            <w:tcW w:w="122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22,709,116</w:t>
            </w:r>
          </w:p>
        </w:tc>
        <w:tc>
          <w:tcPr>
            <w:tcW w:w="136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1,869,299</w:t>
            </w:r>
          </w:p>
        </w:tc>
        <w:tc>
          <w:tcPr>
            <w:tcW w:w="136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2,903,491</w:t>
            </w:r>
          </w:p>
        </w:tc>
        <w:tc>
          <w:tcPr>
            <w:tcW w:w="220" w:type="dxa"/>
            <w:vAlign w:val="bottom"/>
          </w:tcPr>
          <w:p>
            <w:pPr>
              <w:spacing w:after="0"/>
              <w:rPr>
                <w:sz w:val="16"/>
                <w:szCs w:val="16"/>
                <w:color w:val="auto"/>
              </w:rPr>
            </w:pPr>
          </w:p>
        </w:tc>
        <w:tc>
          <w:tcPr>
            <w:tcW w:w="800" w:type="dxa"/>
            <w:vAlign w:val="bottom"/>
          </w:tcPr>
          <w:p>
            <w:pPr>
              <w:ind w:left="320"/>
              <w:spacing w:after="0" w:line="187" w:lineRule="exact"/>
              <w:rPr>
                <w:sz w:val="20"/>
                <w:szCs w:val="20"/>
                <w:color w:val="auto"/>
              </w:rPr>
            </w:pPr>
            <w:r>
              <w:rPr>
                <w:rFonts w:ascii="Calibri" w:cs="Calibri" w:eastAsia="Calibri" w:hAnsi="Calibri"/>
                <w:sz w:val="16"/>
                <w:szCs w:val="16"/>
                <w:color w:val="auto"/>
              </w:rPr>
              <w:t>475.35</w:t>
            </w:r>
          </w:p>
        </w:tc>
        <w:tc>
          <w:tcPr>
            <w:tcW w:w="110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295.88</w:t>
            </w:r>
          </w:p>
        </w:tc>
        <w:tc>
          <w:tcPr>
            <w:tcW w:w="1180" w:type="dxa"/>
            <w:vAlign w:val="bottom"/>
            <w:gridSpan w:val="2"/>
          </w:tcPr>
          <w:p>
            <w:pPr>
              <w:jc w:val="right"/>
              <w:spacing w:after="0" w:line="187" w:lineRule="exact"/>
              <w:rPr>
                <w:sz w:val="20"/>
                <w:szCs w:val="20"/>
                <w:color w:val="auto"/>
              </w:rPr>
            </w:pPr>
            <w:r>
              <w:rPr>
                <w:rFonts w:ascii="Calibri" w:cs="Calibri" w:eastAsia="Calibri" w:hAnsi="Calibri"/>
                <w:sz w:val="16"/>
                <w:szCs w:val="16"/>
                <w:color w:val="auto"/>
              </w:rPr>
              <w:t>477,639</w:t>
            </w:r>
          </w:p>
        </w:tc>
        <w:tc>
          <w:tcPr>
            <w:tcW w:w="1100" w:type="dxa"/>
            <w:vAlign w:val="bottom"/>
            <w:gridSpan w:val="3"/>
          </w:tcPr>
          <w:p>
            <w:pPr>
              <w:jc w:val="right"/>
              <w:spacing w:after="0" w:line="187" w:lineRule="exact"/>
              <w:rPr>
                <w:sz w:val="20"/>
                <w:szCs w:val="20"/>
                <w:color w:val="auto"/>
              </w:rPr>
            </w:pPr>
            <w:r>
              <w:rPr>
                <w:rFonts w:ascii="Calibri" w:cs="Calibri" w:eastAsia="Calibri" w:hAnsi="Calibri"/>
                <w:sz w:val="16"/>
                <w:szCs w:val="16"/>
                <w:color w:val="auto"/>
              </w:rPr>
              <w:t>38.3 %</w:t>
            </w:r>
          </w:p>
        </w:tc>
      </w:tr>
      <w:tr>
        <w:trPr>
          <w:trHeight w:val="225"/>
        </w:trPr>
        <w:tc>
          <w:tcPr>
            <w:tcW w:w="680" w:type="dxa"/>
            <w:vAlign w:val="bottom"/>
          </w:tcPr>
          <w:p>
            <w:pPr>
              <w:jc w:val="center"/>
              <w:spacing w:after="0"/>
              <w:rPr>
                <w:sz w:val="20"/>
                <w:szCs w:val="20"/>
                <w:color w:val="auto"/>
              </w:rPr>
            </w:pPr>
            <w:r>
              <w:rPr>
                <w:rFonts w:ascii="Calibri" w:cs="Calibri" w:eastAsia="Calibri" w:hAnsi="Calibri"/>
                <w:sz w:val="16"/>
                <w:szCs w:val="16"/>
                <w:color w:val="auto"/>
                <w:w w:val="98"/>
              </w:rPr>
              <w:t>2023</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7,614,788</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10,936,146</w:t>
            </w:r>
          </w:p>
        </w:tc>
        <w:tc>
          <w:tcPr>
            <w:tcW w:w="1360" w:type="dxa"/>
            <w:vAlign w:val="bottom"/>
            <w:gridSpan w:val="2"/>
          </w:tcPr>
          <w:p>
            <w:pPr>
              <w:jc w:val="right"/>
              <w:spacing w:after="0"/>
              <w:rPr>
                <w:sz w:val="20"/>
                <w:szCs w:val="20"/>
                <w:color w:val="auto"/>
              </w:rPr>
            </w:pPr>
            <w:r>
              <w:rPr>
                <w:rFonts w:ascii="Calibri" w:cs="Calibri" w:eastAsia="Calibri" w:hAnsi="Calibri"/>
                <w:sz w:val="16"/>
                <w:szCs w:val="16"/>
                <w:color w:val="auto"/>
              </w:rPr>
              <w:t>2,121,005</w:t>
            </w:r>
          </w:p>
        </w:tc>
        <w:tc>
          <w:tcPr>
            <w:tcW w:w="1360" w:type="dxa"/>
            <w:vAlign w:val="bottom"/>
            <w:gridSpan w:val="2"/>
          </w:tcPr>
          <w:p>
            <w:pPr>
              <w:jc w:val="right"/>
              <w:spacing w:after="0"/>
              <w:rPr>
                <w:sz w:val="20"/>
                <w:szCs w:val="20"/>
                <w:color w:val="auto"/>
              </w:rPr>
            </w:pPr>
            <w:r>
              <w:rPr>
                <w:rFonts w:ascii="Calibri" w:cs="Calibri" w:eastAsia="Calibri" w:hAnsi="Calibri"/>
                <w:sz w:val="16"/>
                <w:szCs w:val="16"/>
                <w:color w:val="auto"/>
              </w:rPr>
              <w:t>2,342,020</w:t>
            </w:r>
          </w:p>
        </w:tc>
        <w:tc>
          <w:tcPr>
            <w:tcW w:w="2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Calibri" w:cs="Calibri" w:eastAsia="Calibri" w:hAnsi="Calibri"/>
                <w:sz w:val="16"/>
                <w:szCs w:val="16"/>
                <w:color w:val="auto"/>
              </w:rPr>
              <w:t>255.39</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190.86</w:t>
            </w:r>
          </w:p>
        </w:tc>
        <w:tc>
          <w:tcPr>
            <w:tcW w:w="1180" w:type="dxa"/>
            <w:vAlign w:val="bottom"/>
            <w:gridSpan w:val="2"/>
          </w:tcPr>
          <w:p>
            <w:pPr>
              <w:jc w:val="right"/>
              <w:spacing w:after="0"/>
              <w:rPr>
                <w:sz w:val="20"/>
                <w:szCs w:val="20"/>
                <w:color w:val="auto"/>
              </w:rPr>
            </w:pPr>
            <w:r>
              <w:rPr>
                <w:rFonts w:ascii="Calibri" w:cs="Calibri" w:eastAsia="Calibri" w:hAnsi="Calibri"/>
                <w:sz w:val="16"/>
                <w:szCs w:val="16"/>
                <w:color w:val="auto"/>
              </w:rPr>
              <w:t>461,540</w:t>
            </w:r>
          </w:p>
        </w:tc>
        <w:tc>
          <w:tcPr>
            <w:tcW w:w="1100" w:type="dxa"/>
            <w:vAlign w:val="bottom"/>
            <w:gridSpan w:val="3"/>
          </w:tcPr>
          <w:p>
            <w:pPr>
              <w:jc w:val="right"/>
              <w:spacing w:after="0"/>
              <w:rPr>
                <w:sz w:val="20"/>
                <w:szCs w:val="20"/>
                <w:color w:val="auto"/>
              </w:rPr>
            </w:pPr>
            <w:r>
              <w:rPr>
                <w:rFonts w:ascii="Calibri" w:cs="Calibri" w:eastAsia="Calibri" w:hAnsi="Calibri"/>
                <w:sz w:val="16"/>
                <w:szCs w:val="16"/>
                <w:color w:val="auto"/>
              </w:rPr>
              <w:t>32.2 %</w:t>
            </w:r>
          </w:p>
        </w:tc>
      </w:tr>
      <w:tr>
        <w:trPr>
          <w:trHeight w:val="230"/>
        </w:trPr>
        <w:tc>
          <w:tcPr>
            <w:tcW w:w="680" w:type="dxa"/>
            <w:vAlign w:val="bottom"/>
          </w:tcPr>
          <w:p>
            <w:pPr>
              <w:jc w:val="center"/>
              <w:spacing w:after="0"/>
              <w:rPr>
                <w:sz w:val="20"/>
                <w:szCs w:val="20"/>
                <w:color w:val="auto"/>
              </w:rPr>
            </w:pPr>
            <w:r>
              <w:rPr>
                <w:rFonts w:ascii="Calibri" w:cs="Calibri" w:eastAsia="Calibri" w:hAnsi="Calibri"/>
                <w:sz w:val="16"/>
                <w:szCs w:val="16"/>
                <w:color w:val="auto"/>
                <w:w w:val="98"/>
              </w:rPr>
              <w:t>2022</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6,635,750</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6,645,203</w:t>
            </w:r>
          </w:p>
        </w:tc>
        <w:tc>
          <w:tcPr>
            <w:tcW w:w="1360" w:type="dxa"/>
            <w:vAlign w:val="bottom"/>
            <w:gridSpan w:val="2"/>
          </w:tcPr>
          <w:p>
            <w:pPr>
              <w:jc w:val="right"/>
              <w:spacing w:after="0"/>
              <w:rPr>
                <w:sz w:val="20"/>
                <w:szCs w:val="20"/>
                <w:color w:val="auto"/>
              </w:rPr>
            </w:pPr>
            <w:r>
              <w:rPr>
                <w:rFonts w:ascii="Calibri" w:cs="Calibri" w:eastAsia="Calibri" w:hAnsi="Calibri"/>
                <w:sz w:val="16"/>
                <w:szCs w:val="16"/>
                <w:color w:val="auto"/>
              </w:rPr>
              <w:t>2,340,739</w:t>
            </w:r>
          </w:p>
        </w:tc>
        <w:tc>
          <w:tcPr>
            <w:tcW w:w="1360" w:type="dxa"/>
            <w:vAlign w:val="bottom"/>
            <w:gridSpan w:val="2"/>
          </w:tcPr>
          <w:p>
            <w:pPr>
              <w:jc w:val="right"/>
              <w:spacing w:after="0"/>
              <w:rPr>
                <w:sz w:val="20"/>
                <w:szCs w:val="20"/>
                <w:color w:val="auto"/>
              </w:rPr>
            </w:pPr>
            <w:r>
              <w:rPr>
                <w:rFonts w:ascii="Calibri" w:cs="Calibri" w:eastAsia="Calibri" w:hAnsi="Calibri"/>
                <w:sz w:val="16"/>
                <w:szCs w:val="16"/>
                <w:color w:val="auto"/>
              </w:rPr>
              <w:t>2,311,876</w:t>
            </w:r>
          </w:p>
        </w:tc>
        <w:tc>
          <w:tcPr>
            <w:tcW w:w="2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Calibri" w:cs="Calibri" w:eastAsia="Calibri" w:hAnsi="Calibri"/>
                <w:sz w:val="16"/>
                <w:szCs w:val="16"/>
                <w:color w:val="auto"/>
              </w:rPr>
              <w:t>221.62</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200.39</w:t>
            </w:r>
          </w:p>
        </w:tc>
        <w:tc>
          <w:tcPr>
            <w:tcW w:w="1180" w:type="dxa"/>
            <w:vAlign w:val="bottom"/>
            <w:gridSpan w:val="2"/>
          </w:tcPr>
          <w:p>
            <w:pPr>
              <w:jc w:val="right"/>
              <w:spacing w:after="0"/>
              <w:rPr>
                <w:sz w:val="20"/>
                <w:szCs w:val="20"/>
                <w:color w:val="auto"/>
              </w:rPr>
            </w:pPr>
            <w:r>
              <w:rPr>
                <w:rFonts w:ascii="Calibri" w:cs="Calibri" w:eastAsia="Calibri" w:hAnsi="Calibri"/>
                <w:sz w:val="16"/>
                <w:szCs w:val="16"/>
                <w:color w:val="auto"/>
              </w:rPr>
              <w:t>374,247</w:t>
            </w:r>
          </w:p>
        </w:tc>
        <w:tc>
          <w:tcPr>
            <w:tcW w:w="1100" w:type="dxa"/>
            <w:vAlign w:val="bottom"/>
            <w:gridSpan w:val="3"/>
          </w:tcPr>
          <w:p>
            <w:pPr>
              <w:jc w:val="right"/>
              <w:spacing w:after="0"/>
              <w:rPr>
                <w:sz w:val="20"/>
                <w:szCs w:val="20"/>
                <w:color w:val="auto"/>
              </w:rPr>
            </w:pPr>
            <w:r>
              <w:rPr>
                <w:rFonts w:ascii="Calibri" w:cs="Calibri" w:eastAsia="Calibri" w:hAnsi="Calibri"/>
                <w:sz w:val="16"/>
                <w:szCs w:val="16"/>
                <w:color w:val="auto"/>
              </w:rPr>
              <w:t>24.6 %</w:t>
            </w:r>
          </w:p>
        </w:tc>
      </w:tr>
      <w:tr>
        <w:trPr>
          <w:trHeight w:val="230"/>
        </w:trPr>
        <w:tc>
          <w:tcPr>
            <w:tcW w:w="680" w:type="dxa"/>
            <w:vAlign w:val="bottom"/>
          </w:tcPr>
          <w:p>
            <w:pPr>
              <w:jc w:val="center"/>
              <w:spacing w:after="0"/>
              <w:rPr>
                <w:sz w:val="20"/>
                <w:szCs w:val="20"/>
                <w:color w:val="auto"/>
              </w:rPr>
            </w:pPr>
            <w:r>
              <w:rPr>
                <w:rFonts w:ascii="Calibri" w:cs="Calibri" w:eastAsia="Calibri" w:hAnsi="Calibri"/>
                <w:sz w:val="16"/>
                <w:szCs w:val="16"/>
                <w:color w:val="auto"/>
                <w:w w:val="98"/>
              </w:rPr>
              <w:t>2021</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5,761,074</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17,679,107</w:t>
            </w:r>
          </w:p>
        </w:tc>
        <w:tc>
          <w:tcPr>
            <w:tcW w:w="1360" w:type="dxa"/>
            <w:vAlign w:val="bottom"/>
            <w:gridSpan w:val="2"/>
          </w:tcPr>
          <w:p>
            <w:pPr>
              <w:jc w:val="right"/>
              <w:spacing w:after="0"/>
              <w:rPr>
                <w:sz w:val="20"/>
                <w:szCs w:val="20"/>
                <w:color w:val="auto"/>
              </w:rPr>
            </w:pPr>
            <w:r>
              <w:rPr>
                <w:rFonts w:ascii="Calibri" w:cs="Calibri" w:eastAsia="Calibri" w:hAnsi="Calibri"/>
                <w:sz w:val="16"/>
                <w:szCs w:val="16"/>
                <w:color w:val="auto"/>
              </w:rPr>
              <w:t>2,167,814</w:t>
            </w:r>
          </w:p>
        </w:tc>
        <w:tc>
          <w:tcPr>
            <w:tcW w:w="1360" w:type="dxa"/>
            <w:vAlign w:val="bottom"/>
            <w:gridSpan w:val="2"/>
          </w:tcPr>
          <w:p>
            <w:pPr>
              <w:jc w:val="right"/>
              <w:spacing w:after="0"/>
              <w:rPr>
                <w:sz w:val="20"/>
                <w:szCs w:val="20"/>
                <w:color w:val="auto"/>
              </w:rPr>
            </w:pPr>
            <w:r>
              <w:rPr>
                <w:rFonts w:ascii="Calibri" w:cs="Calibri" w:eastAsia="Calibri" w:hAnsi="Calibri"/>
                <w:sz w:val="16"/>
                <w:szCs w:val="16"/>
                <w:color w:val="auto"/>
              </w:rPr>
              <w:t>5,014,372</w:t>
            </w:r>
          </w:p>
        </w:tc>
        <w:tc>
          <w:tcPr>
            <w:tcW w:w="2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Calibri" w:cs="Calibri" w:eastAsia="Calibri" w:hAnsi="Calibri"/>
                <w:sz w:val="16"/>
                <w:szCs w:val="16"/>
                <w:color w:val="auto"/>
              </w:rPr>
              <w:t>230.42</w:t>
            </w:r>
          </w:p>
        </w:tc>
        <w:tc>
          <w:tcPr>
            <w:tcW w:w="1100" w:type="dxa"/>
            <w:vAlign w:val="bottom"/>
            <w:gridSpan w:val="2"/>
          </w:tcPr>
          <w:p>
            <w:pPr>
              <w:jc w:val="right"/>
              <w:spacing w:after="0"/>
              <w:rPr>
                <w:sz w:val="20"/>
                <w:szCs w:val="20"/>
                <w:color w:val="auto"/>
              </w:rPr>
            </w:pPr>
            <w:r>
              <w:rPr>
                <w:rFonts w:ascii="Calibri" w:cs="Calibri" w:eastAsia="Calibri" w:hAnsi="Calibri"/>
                <w:sz w:val="16"/>
                <w:szCs w:val="16"/>
                <w:color w:val="auto"/>
              </w:rPr>
              <w:t>194.28</w:t>
            </w:r>
          </w:p>
        </w:tc>
        <w:tc>
          <w:tcPr>
            <w:tcW w:w="1180" w:type="dxa"/>
            <w:vAlign w:val="bottom"/>
            <w:gridSpan w:val="2"/>
          </w:tcPr>
          <w:p>
            <w:pPr>
              <w:jc w:val="right"/>
              <w:spacing w:after="0"/>
              <w:rPr>
                <w:sz w:val="20"/>
                <w:szCs w:val="20"/>
                <w:color w:val="auto"/>
              </w:rPr>
            </w:pPr>
            <w:r>
              <w:rPr>
                <w:rFonts w:ascii="Calibri" w:cs="Calibri" w:eastAsia="Calibri" w:hAnsi="Calibri"/>
                <w:sz w:val="16"/>
                <w:szCs w:val="16"/>
                <w:color w:val="auto"/>
              </w:rPr>
              <w:t>339,444</w:t>
            </w:r>
          </w:p>
        </w:tc>
        <w:tc>
          <w:tcPr>
            <w:tcW w:w="1100" w:type="dxa"/>
            <w:vAlign w:val="bottom"/>
            <w:gridSpan w:val="3"/>
          </w:tcPr>
          <w:p>
            <w:pPr>
              <w:jc w:val="right"/>
              <w:spacing w:after="0"/>
              <w:rPr>
                <w:sz w:val="20"/>
                <w:szCs w:val="20"/>
                <w:color w:val="auto"/>
              </w:rPr>
            </w:pPr>
            <w:r>
              <w:rPr>
                <w:rFonts w:ascii="Calibri" w:cs="Calibri" w:eastAsia="Calibri" w:hAnsi="Calibri"/>
                <w:sz w:val="16"/>
                <w:szCs w:val="16"/>
                <w:color w:val="auto"/>
              </w:rPr>
              <w:t>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-556260</wp:posOffset>
            </wp:positionV>
            <wp:extent cx="641223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-264795</wp:posOffset>
            </wp:positionV>
            <wp:extent cx="641223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23" w:lineRule="exact"/>
        <w:rPr>
          <w:sz w:val="20"/>
          <w:szCs w:val="20"/>
          <w:color w:val="auto"/>
        </w:rPr>
      </w:pPr>
    </w:p>
    <w:p>
      <w:pPr>
        <w:ind w:left="380" w:right="280" w:hanging="372"/>
        <w:spacing w:after="0" w:line="235" w:lineRule="auto"/>
        <w:tabs>
          <w:tab w:leader="none" w:pos="3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Mr. Haack has been our PEO for each of the fscal years included in this table. The dollar amounts reported in this column are the amounts of total compensaton reported for Mr. Haack for each corresponding year in the “Total” column of the Summary Compensaton Table. Refer to the Summary Compensaton Table of this Proxy Statement.</w:t>
      </w:r>
    </w:p>
    <w:p>
      <w:pPr>
        <w:spacing w:after="0" w:line="110" w:lineRule="exact"/>
        <w:rPr>
          <w:rFonts w:ascii="Calibri" w:cs="Calibri" w:eastAsia="Calibri" w:hAnsi="Calibri"/>
          <w:sz w:val="18"/>
          <w:szCs w:val="18"/>
          <w:color w:val="auto"/>
        </w:rPr>
      </w:pPr>
    </w:p>
    <w:p>
      <w:pPr>
        <w:ind w:left="380" w:right="20" w:hanging="372"/>
        <w:spacing w:after="0" w:line="235" w:lineRule="auto"/>
        <w:tabs>
          <w:tab w:leader="none" w:pos="3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dollar amounts reported in this column represent the amount of the CAP for Mr. Haack, as computed in accordance with Item 402(v)(2)(iii) of Regulaton S-K. Mr. Haack did not partcipate during these fscal years in any defned beneft or actuarial beneft plans of the type that would be required to be reported in the Summary Compensaton Table. In accordance with the requirements of Item 402(v) of Regulaton S-K, the following adjustments were made to Mr. Haack’s total compensaton for fscal year 2024 to determine CAP:</w:t>
      </w:r>
    </w:p>
    <w:p>
      <w:pPr>
        <w:spacing w:after="0" w:line="13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alibri" w:cs="Calibri" w:eastAsia="Calibri" w:hAnsi="Calibri"/>
                <w:sz w:val="14"/>
                <w:szCs w:val="14"/>
                <w:b w:val="1"/>
                <w:bCs w:val="1"/>
                <w:color w:val="auto"/>
              </w:rPr>
              <w:t>Reported Summary</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9"/>
        </w:trPr>
        <w:tc>
          <w:tcPr>
            <w:tcW w:w="9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Ended</w:t>
            </w:r>
          </w:p>
        </w:tc>
        <w:tc>
          <w:tcPr>
            <w:tcW w:w="1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Compensaton Table</w:t>
            </w:r>
          </w:p>
        </w:tc>
        <w:tc>
          <w:tcPr>
            <w:tcW w:w="240" w:type="dxa"/>
            <w:vAlign w:val="bottom"/>
          </w:tcPr>
          <w:p>
            <w:pPr>
              <w:spacing w:after="0"/>
              <w:rPr>
                <w:sz w:val="13"/>
                <w:szCs w:val="13"/>
                <w:color w:val="auto"/>
              </w:rPr>
            </w:pPr>
          </w:p>
        </w:tc>
        <w:tc>
          <w:tcPr>
            <w:tcW w:w="1740" w:type="dxa"/>
            <w:vAlign w:val="bottom"/>
            <w:gridSpan w:val="2"/>
          </w:tcPr>
          <w:p>
            <w:pPr>
              <w:jc w:val="center"/>
              <w:ind w:right="220"/>
              <w:spacing w:after="0" w:line="159" w:lineRule="exact"/>
              <w:rPr>
                <w:sz w:val="20"/>
                <w:szCs w:val="20"/>
                <w:color w:val="auto"/>
              </w:rPr>
            </w:pPr>
            <w:r>
              <w:rPr>
                <w:rFonts w:ascii="Calibri" w:cs="Calibri" w:eastAsia="Calibri" w:hAnsi="Calibri"/>
                <w:sz w:val="14"/>
                <w:szCs w:val="14"/>
                <w:b w:val="1"/>
                <w:bCs w:val="1"/>
                <w:color w:val="auto"/>
              </w:rPr>
              <w:t>Reported Value of</w:t>
            </w:r>
          </w:p>
        </w:tc>
        <w:tc>
          <w:tcPr>
            <w:tcW w:w="14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Equity Award</w:t>
            </w:r>
          </w:p>
        </w:tc>
        <w:tc>
          <w:tcPr>
            <w:tcW w:w="22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Calibri" w:cs="Calibri" w:eastAsia="Calibri" w:hAnsi="Calibri"/>
                <w:sz w:val="14"/>
                <w:szCs w:val="14"/>
                <w:b w:val="1"/>
                <w:bCs w:val="1"/>
                <w:color w:val="auto"/>
              </w:rPr>
              <w:t>Compensaton Actually</w:t>
            </w:r>
          </w:p>
        </w:tc>
      </w:tr>
      <w:tr>
        <w:trPr>
          <w:trHeight w:val="224"/>
        </w:trPr>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March 31,</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Total for PEO ($)</w:t>
            </w:r>
          </w:p>
        </w:tc>
        <w:tc>
          <w:tcPr>
            <w:tcW w:w="240" w:type="dxa"/>
            <w:vAlign w:val="bottom"/>
          </w:tcPr>
          <w:p>
            <w:pPr>
              <w:spacing w:after="0"/>
              <w:rPr>
                <w:sz w:val="19"/>
                <w:szCs w:val="19"/>
                <w:color w:val="auto"/>
              </w:rPr>
            </w:pPr>
          </w:p>
        </w:tc>
        <w:tc>
          <w:tcPr>
            <w:tcW w:w="150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rPr>
              <w:t>Equity Awards</w:t>
            </w:r>
            <w:r>
              <w:rPr>
                <w:rFonts w:ascii="Calibri" w:cs="Calibri" w:eastAsia="Calibri" w:hAnsi="Calibri"/>
                <w:sz w:val="19"/>
                <w:szCs w:val="19"/>
                <w:b w:val="1"/>
                <w:bCs w:val="1"/>
                <w:color w:val="auto"/>
                <w:vertAlign w:val="superscript"/>
              </w:rPr>
              <w:t>(a)</w:t>
            </w:r>
            <w:r>
              <w:rPr>
                <w:rFonts w:ascii="Calibri" w:cs="Calibri" w:eastAsia="Calibri" w:hAnsi="Calibri"/>
                <w:sz w:val="14"/>
                <w:szCs w:val="14"/>
                <w:b w:val="1"/>
                <w:bCs w:val="1"/>
                <w:color w:val="auto"/>
              </w:rPr>
              <w:t xml:space="preserve">  ($)</w:t>
            </w:r>
          </w:p>
        </w:tc>
        <w:tc>
          <w:tcPr>
            <w:tcW w:w="240" w:type="dxa"/>
            <w:vAlign w:val="bottom"/>
          </w:tcPr>
          <w:p>
            <w:pPr>
              <w:spacing w:after="0"/>
              <w:rPr>
                <w:sz w:val="19"/>
                <w:szCs w:val="19"/>
                <w:color w:val="auto"/>
              </w:rPr>
            </w:pPr>
          </w:p>
        </w:tc>
        <w:tc>
          <w:tcPr>
            <w:tcW w:w="148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rPr>
              <w:t>Adjustments</w:t>
            </w:r>
            <w:r>
              <w:rPr>
                <w:rFonts w:ascii="Calibri" w:cs="Calibri" w:eastAsia="Calibri" w:hAnsi="Calibri"/>
                <w:sz w:val="19"/>
                <w:szCs w:val="19"/>
                <w:b w:val="1"/>
                <w:bCs w:val="1"/>
                <w:color w:val="auto"/>
                <w:vertAlign w:val="superscript"/>
              </w:rPr>
              <w:t>(b)</w:t>
            </w:r>
            <w:r>
              <w:rPr>
                <w:rFonts w:ascii="Calibri" w:cs="Calibri" w:eastAsia="Calibri" w:hAnsi="Calibri"/>
                <w:sz w:val="14"/>
                <w:szCs w:val="14"/>
                <w:b w:val="1"/>
                <w:bCs w:val="1"/>
                <w:color w:val="auto"/>
              </w:rPr>
              <w:t xml:space="preserve">  ($)</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Paid to PEO  ($)</w:t>
            </w:r>
          </w:p>
        </w:tc>
        <w:tc>
          <w:tcPr>
            <w:tcW w:w="80" w:type="dxa"/>
            <w:vAlign w:val="bottom"/>
          </w:tcPr>
          <w:p>
            <w:pPr>
              <w:spacing w:after="0"/>
              <w:rPr>
                <w:sz w:val="19"/>
                <w:szCs w:val="19"/>
                <w:color w:val="auto"/>
              </w:rPr>
            </w:pPr>
          </w:p>
        </w:tc>
      </w:tr>
      <w:tr>
        <w:trPr>
          <w:trHeight w:val="188"/>
        </w:trPr>
        <w:tc>
          <w:tcPr>
            <w:tcW w:w="980" w:type="dxa"/>
            <w:vAlign w:val="bottom"/>
            <w:shd w:val="clear" w:color="auto" w:fill="CFF0FC"/>
          </w:tcPr>
          <w:p>
            <w:pPr>
              <w:jc w:val="center"/>
              <w:spacing w:after="0" w:line="188" w:lineRule="exact"/>
              <w:rPr>
                <w:sz w:val="20"/>
                <w:szCs w:val="20"/>
                <w:color w:val="auto"/>
              </w:rPr>
            </w:pPr>
            <w:r>
              <w:rPr>
                <w:rFonts w:ascii="Calibri" w:cs="Calibri" w:eastAsia="Calibri" w:hAnsi="Calibri"/>
                <w:sz w:val="16"/>
                <w:szCs w:val="16"/>
                <w:color w:val="auto"/>
              </w:rPr>
              <w:t>2024</w:t>
            </w:r>
          </w:p>
        </w:tc>
        <w:tc>
          <w:tcPr>
            <w:tcW w:w="1660" w:type="dxa"/>
            <w:vAlign w:val="bottom"/>
            <w:gridSpan w:val="2"/>
            <w:shd w:val="clear" w:color="auto" w:fill="CFF0FC"/>
          </w:tcPr>
          <w:p>
            <w:pPr>
              <w:jc w:val="right"/>
              <w:spacing w:after="0" w:line="188" w:lineRule="exact"/>
              <w:rPr>
                <w:sz w:val="20"/>
                <w:szCs w:val="20"/>
                <w:color w:val="auto"/>
              </w:rPr>
            </w:pPr>
            <w:r>
              <w:rPr>
                <w:rFonts w:ascii="Calibri" w:cs="Calibri" w:eastAsia="Calibri" w:hAnsi="Calibri"/>
                <w:sz w:val="16"/>
                <w:szCs w:val="16"/>
                <w:color w:val="auto"/>
              </w:rPr>
              <w:t>8,056,077</w:t>
            </w:r>
          </w:p>
        </w:tc>
        <w:tc>
          <w:tcPr>
            <w:tcW w:w="1980" w:type="dxa"/>
            <w:vAlign w:val="bottom"/>
            <w:gridSpan w:val="3"/>
            <w:shd w:val="clear" w:color="auto" w:fill="CFF0FC"/>
          </w:tcPr>
          <w:p>
            <w:pPr>
              <w:jc w:val="right"/>
              <w:ind w:right="180"/>
              <w:spacing w:after="0" w:line="188" w:lineRule="exact"/>
              <w:rPr>
                <w:sz w:val="20"/>
                <w:szCs w:val="20"/>
                <w:color w:val="auto"/>
              </w:rPr>
            </w:pPr>
            <w:r>
              <w:rPr>
                <w:rFonts w:ascii="Calibri" w:cs="Calibri" w:eastAsia="Calibri" w:hAnsi="Calibri"/>
                <w:sz w:val="16"/>
                <w:szCs w:val="16"/>
                <w:color w:val="auto"/>
              </w:rPr>
              <w:t>(4,800,000 )</w:t>
            </w:r>
          </w:p>
        </w:tc>
        <w:tc>
          <w:tcPr>
            <w:tcW w:w="1480" w:type="dxa"/>
            <w:vAlign w:val="bottom"/>
            <w:shd w:val="clear" w:color="auto" w:fill="CFF0FC"/>
          </w:tcPr>
          <w:p>
            <w:pPr>
              <w:jc w:val="right"/>
              <w:spacing w:after="0" w:line="188" w:lineRule="exact"/>
              <w:rPr>
                <w:sz w:val="20"/>
                <w:szCs w:val="20"/>
                <w:color w:val="auto"/>
              </w:rPr>
            </w:pPr>
            <w:r>
              <w:rPr>
                <w:rFonts w:ascii="Calibri" w:cs="Calibri" w:eastAsia="Calibri" w:hAnsi="Calibri"/>
                <w:sz w:val="16"/>
                <w:szCs w:val="16"/>
                <w:color w:val="auto"/>
              </w:rPr>
              <w:t>19,453,039</w:t>
            </w:r>
          </w:p>
        </w:tc>
        <w:tc>
          <w:tcPr>
            <w:tcW w:w="1680" w:type="dxa"/>
            <w:vAlign w:val="bottom"/>
            <w:gridSpan w:val="2"/>
            <w:shd w:val="clear" w:color="auto" w:fill="CFF0FC"/>
          </w:tcPr>
          <w:p>
            <w:pPr>
              <w:jc w:val="right"/>
              <w:spacing w:after="0" w:line="188" w:lineRule="exact"/>
              <w:rPr>
                <w:sz w:val="20"/>
                <w:szCs w:val="20"/>
                <w:color w:val="auto"/>
              </w:rPr>
            </w:pPr>
            <w:r>
              <w:rPr>
                <w:rFonts w:ascii="Calibri" w:cs="Calibri" w:eastAsia="Calibri" w:hAnsi="Calibri"/>
                <w:sz w:val="16"/>
                <w:szCs w:val="16"/>
                <w:color w:val="auto"/>
              </w:rPr>
              <w:t>22,709,116</w:t>
            </w:r>
          </w:p>
        </w:tc>
        <w:tc>
          <w:tcPr>
            <w:tcW w:w="80" w:type="dxa"/>
            <w:vAlign w:val="bottom"/>
            <w:shd w:val="clear" w:color="auto" w:fill="CFF0FC"/>
          </w:tcPr>
          <w:p>
            <w:pPr>
              <w:spacing w:after="0"/>
              <w:rPr>
                <w:sz w:val="16"/>
                <w:szCs w:val="16"/>
                <w:color w:val="auto"/>
              </w:rPr>
            </w:pPr>
          </w:p>
        </w:tc>
      </w:tr>
      <w:tr>
        <w:trPr>
          <w:trHeight w:val="36"/>
        </w:trPr>
        <w:tc>
          <w:tcPr>
            <w:tcW w:w="9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4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r>
    </w:tbl>
    <w:p>
      <w:pPr>
        <w:spacing w:after="0" w:line="302" w:lineRule="exact"/>
        <w:rPr>
          <w:sz w:val="20"/>
          <w:szCs w:val="20"/>
          <w:color w:val="auto"/>
        </w:rPr>
      </w:pPr>
    </w:p>
    <w:p>
      <w:pPr>
        <w:ind w:left="380" w:right="280" w:hanging="372"/>
        <w:spacing w:after="0" w:line="235" w:lineRule="auto"/>
        <w:tabs>
          <w:tab w:leader="none" w:pos="38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This column deducts the total of the amounts reported in the “Stock Awards” and “Opton Awards” columns in the Summary Compensaton Table for the covered fscal year.</w:t>
      </w:r>
    </w:p>
    <w:p>
      <w:pPr>
        <w:spacing w:after="0" w:line="109"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This column refects the following adjustments in respect of stock awards and opton awards for the covered fscal year: (i) add the fscal year-end fair value of any equity awards granted during the covered fscal year that are outstanding and unvested as of the end of the fscal year; (ii) add the amount of change as of the end of the covered fscal year (from the end of the prior fscal year) in fair value (whether positve or negatve) of any awards granted in prior years that are outstanding and unvested as of the end of the covered fscal year; (iii) add, for awards that are granted and vest in the same covered fscal year, the fair value as of the vestng date; (iv) add, for awards granted in prior years that vest in the covered fscal year, the amount equal to the change as of the vestng date (from the end of the prior fscal year) in fair value (whether positve or negatve); (v) subtract, for awards granted in prior years that are determined to fail to meet the applicable vestng conditons during the covered fscal year, the amount equal to the fair value at the end of the prior fscal year; and (vi) add the dollar value of any dividends or other earnings paid on stock or opton awards in the covered fscal year prior to the vestng date that are not otherwise included in total compensaton for the covered fscal year. The valuaton assumptons used to calculate fair values did not materially difer from those disclosed at the tme of grant. The amounts deducted or added in calculatng the equity award adjustments are as follows:</w:t>
      </w:r>
    </w:p>
    <w:p>
      <w:pPr>
        <w:spacing w:after="0" w:line="214"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1" w:name="page72"/>
    <w:bookmarkEnd w:id="71"/>
    <w:tbl>
      <w:tblPr>
        <w:tblLayout w:type="fixed"/>
        <w:tblInd w:w="572"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Change in Fair</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Value (from</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Prior Fiscal Year-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Change in Fair</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Year-End</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End to Covered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Value (from</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at End</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Value of</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of</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Year-End)</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as of</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Prior Fiscal Year-</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of the Prior</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Dividends or</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of Prior Year</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Vestng Date of</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End to Vestng</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 of</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other Earnings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Year Equity</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Equity Awards</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Date) of Equity</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Equity Awards</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Paid on Stock or</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Awards that are</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that are</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Year Equity</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Awards Granted</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that Failed to</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Opton Awards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and</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and</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Awards that</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in Prior Years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Meet Vestng</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not Otherwise</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4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w:t>
            </w: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Unvested at</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Unvested at</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Vested in the</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that Vested in</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Conditons in the</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Refected in Total</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40" w:type="dxa"/>
            <w:vAlign w:val="bottom"/>
          </w:tcPr>
          <w:p>
            <w:pPr>
              <w:jc w:val="center"/>
              <w:spacing w:after="0"/>
              <w:rPr>
                <w:sz w:val="20"/>
                <w:szCs w:val="20"/>
                <w:color w:val="auto"/>
              </w:rPr>
            </w:pPr>
            <w:r>
              <w:rPr>
                <w:rFonts w:ascii="Calibri" w:cs="Calibri" w:eastAsia="Calibri" w:hAnsi="Calibri"/>
                <w:sz w:val="14"/>
                <w:szCs w:val="14"/>
                <w:b w:val="1"/>
                <w:bCs w:val="1"/>
                <w:color w:val="auto"/>
              </w:rPr>
              <w:t>Ended March</w:t>
            </w: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the Covered</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2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Compensaton</w:t>
            </w:r>
          </w:p>
        </w:tc>
        <w:tc>
          <w:tcPr>
            <w:tcW w:w="320" w:type="dxa"/>
            <w:vAlign w:val="bottom"/>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Total Equity Award</w:t>
            </w:r>
          </w:p>
        </w:tc>
      </w:tr>
      <w:tr>
        <w:trPr>
          <w:trHeight w:val="175"/>
        </w:trPr>
        <w:tc>
          <w:tcPr>
            <w:tcW w:w="840" w:type="dxa"/>
            <w:vAlign w:val="bottom"/>
          </w:tcPr>
          <w:p>
            <w:pPr>
              <w:jc w:val="right"/>
              <w:ind w:right="246"/>
              <w:spacing w:after="0"/>
              <w:rPr>
                <w:sz w:val="20"/>
                <w:szCs w:val="20"/>
                <w:color w:val="auto"/>
              </w:rPr>
            </w:pPr>
            <w:r>
              <w:rPr>
                <w:rFonts w:ascii="Calibri" w:cs="Calibri" w:eastAsia="Calibri" w:hAnsi="Calibri"/>
                <w:sz w:val="14"/>
                <w:szCs w:val="14"/>
                <w:b w:val="1"/>
                <w:bCs w:val="1"/>
                <w:color w:val="auto"/>
              </w:rPr>
              <w:t>31,</w:t>
            </w: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Year-End  ($)</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Year-End  ($)</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Year  ($)</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  ($)</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Year  ($)</w:t>
            </w:r>
          </w:p>
        </w:tc>
        <w:tc>
          <w:tcPr>
            <w:tcW w:w="1300" w:type="dxa"/>
            <w:vAlign w:val="bottom"/>
            <w:gridSpan w:val="2"/>
          </w:tcPr>
          <w:p>
            <w:pPr>
              <w:jc w:val="center"/>
              <w:ind w:left="144"/>
              <w:spacing w:after="0"/>
              <w:rPr>
                <w:sz w:val="20"/>
                <w:szCs w:val="20"/>
                <w:color w:val="auto"/>
              </w:rPr>
            </w:pPr>
            <w:r>
              <w:rPr>
                <w:rFonts w:ascii="Calibri" w:cs="Calibri" w:eastAsia="Calibri" w:hAnsi="Calibri"/>
                <w:sz w:val="14"/>
                <w:szCs w:val="14"/>
                <w:b w:val="1"/>
                <w:bCs w:val="1"/>
                <w:color w:val="auto"/>
              </w:rPr>
              <w:t>($)</w:t>
            </w:r>
          </w:p>
        </w:tc>
        <w:tc>
          <w:tcPr>
            <w:tcW w:w="32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Adjustments  ($)</w:t>
            </w:r>
          </w:p>
        </w:tc>
      </w:tr>
      <w:tr>
        <w:trPr>
          <w:trHeight w:val="33"/>
        </w:trPr>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840" w:type="dxa"/>
            <w:vAlign w:val="bottom"/>
            <w:shd w:val="clear" w:color="auto" w:fill="CFF0FC"/>
          </w:tcPr>
          <w:p>
            <w:pPr>
              <w:jc w:val="right"/>
              <w:ind w:right="186"/>
              <w:spacing w:after="0" w:line="187" w:lineRule="exact"/>
              <w:rPr>
                <w:sz w:val="20"/>
                <w:szCs w:val="20"/>
                <w:color w:val="auto"/>
              </w:rPr>
            </w:pPr>
            <w:r>
              <w:rPr>
                <w:rFonts w:ascii="Calibri" w:cs="Calibri" w:eastAsia="Calibri" w:hAnsi="Calibri"/>
                <w:sz w:val="16"/>
                <w:szCs w:val="16"/>
                <w:color w:val="auto"/>
              </w:rPr>
              <w:t>2024</w:t>
            </w:r>
          </w:p>
        </w:tc>
        <w:tc>
          <w:tcPr>
            <w:tcW w:w="124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7,301,107</w:t>
            </w:r>
          </w:p>
        </w:tc>
        <w:tc>
          <w:tcPr>
            <w:tcW w:w="12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4,650,743</w:t>
            </w:r>
          </w:p>
        </w:tc>
        <w:tc>
          <w:tcPr>
            <w:tcW w:w="126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1,303,857</w:t>
            </w:r>
          </w:p>
        </w:tc>
        <w:tc>
          <w:tcPr>
            <w:tcW w:w="124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6,121,824</w:t>
            </w:r>
          </w:p>
        </w:tc>
        <w:tc>
          <w:tcPr>
            <w:tcW w:w="12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130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75,508</w:t>
            </w:r>
          </w:p>
        </w:tc>
        <w:tc>
          <w:tcPr>
            <w:tcW w:w="156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19,453,039</w:t>
            </w:r>
          </w:p>
        </w:tc>
        <w:tc>
          <w:tcPr>
            <w:tcW w:w="100" w:type="dxa"/>
            <w:vAlign w:val="bottom"/>
            <w:shd w:val="clear" w:color="auto" w:fill="CFF0FC"/>
          </w:tcPr>
          <w:p>
            <w:pPr>
              <w:spacing w:after="0"/>
              <w:rPr>
                <w:sz w:val="16"/>
                <w:szCs w:val="16"/>
                <w:color w:val="auto"/>
              </w:rPr>
            </w:pPr>
          </w:p>
        </w:tc>
      </w:tr>
      <w:tr>
        <w:trPr>
          <w:trHeight w:val="36"/>
        </w:trPr>
        <w:tc>
          <w:tcPr>
            <w:tcW w:w="8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bl>
    <w:p>
      <w:pPr>
        <w:spacing w:after="0" w:line="302" w:lineRule="exact"/>
        <w:rPr>
          <w:sz w:val="20"/>
          <w:szCs w:val="20"/>
          <w:color w:val="auto"/>
        </w:rPr>
      </w:pPr>
    </w:p>
    <w:p>
      <w:pPr>
        <w:ind w:left="372" w:right="40" w:hanging="372"/>
        <w:spacing w:after="0" w:line="235" w:lineRule="auto"/>
        <w:tabs>
          <w:tab w:leader="none" w:pos="372"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Our non-PEO Named Executve Ofcers in the fscal years reported in this table are as follows: Fiscal 2024 non-PEO Named Executve Ofcers were Messrs. Kesler, Newby, Cribbs, Thompson, Stewart and Wentzel; fscal 2023 non-PEO Named Executve Ofcers were Messrs. Kesler, Stewart, Newby, Wentzel and James H. Graass; fscal 2022 non-PEO Named Executve Ofcers were Messrs. Kesler, Stewart, Wentzel and Graass; and fscal 2021 non-PEO Named Executve Ofcers were Messrs. Kesler, Stewart, Wentzel and Graass. The dollar amounts reported in this column represent the average of the amounts reported for the non-PEO Named Executve Ofcers as a group in the “Total” column of the Summary Compensaton Table in each applicable year’s proxy statement.</w:t>
      </w:r>
    </w:p>
    <w:p>
      <w:pPr>
        <w:spacing w:after="0" w:line="113" w:lineRule="exact"/>
        <w:rPr>
          <w:rFonts w:ascii="Calibri" w:cs="Calibri" w:eastAsia="Calibri" w:hAnsi="Calibri"/>
          <w:sz w:val="18"/>
          <w:szCs w:val="18"/>
          <w:color w:val="auto"/>
        </w:rPr>
      </w:pPr>
    </w:p>
    <w:p>
      <w:pPr>
        <w:ind w:left="372" w:hanging="372"/>
        <w:spacing w:after="0" w:line="251" w:lineRule="auto"/>
        <w:tabs>
          <w:tab w:leader="none" w:pos="372"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The dollar amounts reported in this column represent the average amount of CAP for the non-PEO Named Executve Ofcers as a group, as computed in accordance with Item 402(v) of Regulaton S-K. The non-PEO Named Executve Ofcers did not partcipate during these fscal years in any defned beneft or actuarial beneft plans of the type that would be required to be reported in the Summary Compensaton Table. In accordance with the requirements of Item 402(v) of Regulaton S-K, the following adjustments were made to average total compensaton for the non-PEO Named Executve Ofcers as a group for the covered fscal year to determine the compensaton actually paid, using the same methodology described above in footnote (2):</w:t>
      </w:r>
    </w:p>
    <w:p>
      <w:pPr>
        <w:spacing w:after="0" w:line="123" w:lineRule="exact"/>
        <w:rPr>
          <w:sz w:val="20"/>
          <w:szCs w:val="20"/>
          <w:color w:val="auto"/>
        </w:rPr>
      </w:pPr>
    </w:p>
    <w:tbl>
      <w:tblPr>
        <w:tblLayout w:type="fixed"/>
        <w:tblInd w:w="1692"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alibri" w:cs="Calibri" w:eastAsia="Calibri" w:hAnsi="Calibri"/>
                <w:sz w:val="14"/>
                <w:szCs w:val="14"/>
                <w:b w:val="1"/>
                <w:bCs w:val="1"/>
                <w:color w:val="auto"/>
              </w:rPr>
              <w:t>Average Reported</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alibri" w:cs="Calibri" w:eastAsia="Calibri" w:hAnsi="Calibri"/>
                <w:sz w:val="14"/>
                <w:szCs w:val="14"/>
                <w:b w:val="1"/>
                <w:bCs w:val="1"/>
                <w:color w:val="auto"/>
              </w:rPr>
              <w:t>Summary Compensaton</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Average Compensaton</w:t>
            </w:r>
          </w:p>
        </w:tc>
      </w:tr>
      <w:tr>
        <w:trPr>
          <w:trHeight w:val="175"/>
        </w:trPr>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w:t>
            </w:r>
          </w:p>
        </w:tc>
        <w:tc>
          <w:tcPr>
            <w:tcW w:w="1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Table Total for Non-PEO</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Actually Paid to Non-</w:t>
            </w:r>
          </w:p>
        </w:tc>
      </w:tr>
      <w:tr>
        <w:trPr>
          <w:trHeight w:val="159"/>
        </w:trPr>
        <w:tc>
          <w:tcPr>
            <w:tcW w:w="9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Ended March</w:t>
            </w:r>
          </w:p>
        </w:tc>
        <w:tc>
          <w:tcPr>
            <w:tcW w:w="1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Named Executve</w:t>
            </w:r>
          </w:p>
        </w:tc>
        <w:tc>
          <w:tcPr>
            <w:tcW w:w="240" w:type="dxa"/>
            <w:vAlign w:val="bottom"/>
          </w:tcPr>
          <w:p>
            <w:pPr>
              <w:spacing w:after="0"/>
              <w:rPr>
                <w:sz w:val="13"/>
                <w:szCs w:val="13"/>
                <w:color w:val="auto"/>
              </w:rPr>
            </w:pPr>
          </w:p>
        </w:tc>
        <w:tc>
          <w:tcPr>
            <w:tcW w:w="1740" w:type="dxa"/>
            <w:vAlign w:val="bottom"/>
            <w:gridSpan w:val="2"/>
          </w:tcPr>
          <w:p>
            <w:pPr>
              <w:jc w:val="center"/>
              <w:ind w:right="260"/>
              <w:spacing w:after="0" w:line="159" w:lineRule="exact"/>
              <w:rPr>
                <w:sz w:val="20"/>
                <w:szCs w:val="20"/>
                <w:color w:val="auto"/>
              </w:rPr>
            </w:pPr>
            <w:r>
              <w:rPr>
                <w:rFonts w:ascii="Calibri" w:cs="Calibri" w:eastAsia="Calibri" w:hAnsi="Calibri"/>
                <w:sz w:val="14"/>
                <w:szCs w:val="14"/>
                <w:b w:val="1"/>
                <w:bCs w:val="1"/>
                <w:color w:val="auto"/>
              </w:rPr>
              <w:t>Average Reported Value</w:t>
            </w:r>
          </w:p>
        </w:tc>
        <w:tc>
          <w:tcPr>
            <w:tcW w:w="14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Average Equity Award</w:t>
            </w:r>
          </w:p>
        </w:tc>
        <w:tc>
          <w:tcPr>
            <w:tcW w:w="220" w:type="dxa"/>
            <w:vAlign w:val="bottom"/>
          </w:tcPr>
          <w:p>
            <w:pPr>
              <w:spacing w:after="0"/>
              <w:rPr>
                <w:sz w:val="13"/>
                <w:szCs w:val="13"/>
                <w:color w:val="auto"/>
              </w:rPr>
            </w:pPr>
          </w:p>
        </w:tc>
        <w:tc>
          <w:tcPr>
            <w:tcW w:w="1540" w:type="dxa"/>
            <w:vAlign w:val="bottom"/>
            <w:gridSpan w:val="2"/>
          </w:tcPr>
          <w:p>
            <w:pPr>
              <w:jc w:val="center"/>
              <w:ind w:right="120"/>
              <w:spacing w:after="0" w:line="159" w:lineRule="exact"/>
              <w:rPr>
                <w:sz w:val="20"/>
                <w:szCs w:val="20"/>
                <w:color w:val="auto"/>
              </w:rPr>
            </w:pPr>
            <w:r>
              <w:rPr>
                <w:rFonts w:ascii="Calibri" w:cs="Calibri" w:eastAsia="Calibri" w:hAnsi="Calibri"/>
                <w:sz w:val="14"/>
                <w:szCs w:val="14"/>
                <w:b w:val="1"/>
                <w:bCs w:val="1"/>
                <w:color w:val="auto"/>
              </w:rPr>
              <w:t>PEO Named Executve</w:t>
            </w:r>
          </w:p>
        </w:tc>
      </w:tr>
      <w:tr>
        <w:trPr>
          <w:trHeight w:val="224"/>
        </w:trPr>
        <w:tc>
          <w:tcPr>
            <w:tcW w:w="980" w:type="dxa"/>
            <w:vAlign w:val="bottom"/>
            <w:tcBorders>
              <w:bottom w:val="single" w:sz="8" w:color="auto"/>
            </w:tcBorders>
          </w:tcPr>
          <w:p>
            <w:pPr>
              <w:jc w:val="right"/>
              <w:ind w:right="326"/>
              <w:spacing w:after="0"/>
              <w:rPr>
                <w:sz w:val="20"/>
                <w:szCs w:val="20"/>
                <w:color w:val="auto"/>
              </w:rPr>
            </w:pPr>
            <w:r>
              <w:rPr>
                <w:rFonts w:ascii="Calibri" w:cs="Calibri" w:eastAsia="Calibri" w:hAnsi="Calibri"/>
                <w:sz w:val="14"/>
                <w:szCs w:val="14"/>
                <w:b w:val="1"/>
                <w:bCs w:val="1"/>
                <w:color w:val="auto"/>
              </w:rPr>
              <w:t>31,</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Ofcers  ($)</w:t>
            </w:r>
          </w:p>
        </w:tc>
        <w:tc>
          <w:tcPr>
            <w:tcW w:w="2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of Equity Awards  ($)</w:t>
            </w:r>
          </w:p>
        </w:tc>
        <w:tc>
          <w:tcPr>
            <w:tcW w:w="240" w:type="dxa"/>
            <w:vAlign w:val="bottom"/>
          </w:tcPr>
          <w:p>
            <w:pPr>
              <w:spacing w:after="0"/>
              <w:rPr>
                <w:sz w:val="19"/>
                <w:szCs w:val="19"/>
                <w:color w:val="auto"/>
              </w:rPr>
            </w:pPr>
          </w:p>
        </w:tc>
        <w:tc>
          <w:tcPr>
            <w:tcW w:w="148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rPr>
              <w:t>Adjustments</w:t>
            </w:r>
            <w:r>
              <w:rPr>
                <w:rFonts w:ascii="Calibri" w:cs="Calibri" w:eastAsia="Calibri" w:hAnsi="Calibri"/>
                <w:sz w:val="19"/>
                <w:szCs w:val="19"/>
                <w:b w:val="1"/>
                <w:bCs w:val="1"/>
                <w:color w:val="auto"/>
                <w:vertAlign w:val="superscript"/>
              </w:rPr>
              <w:t>(a)</w:t>
            </w:r>
            <w:r>
              <w:rPr>
                <w:rFonts w:ascii="Calibri" w:cs="Calibri" w:eastAsia="Calibri" w:hAnsi="Calibri"/>
                <w:sz w:val="14"/>
                <w:szCs w:val="14"/>
                <w:b w:val="1"/>
                <w:bCs w:val="1"/>
                <w:color w:val="auto"/>
              </w:rPr>
              <w:t xml:space="preserve">  ($)</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Ofcers  ($)</w:t>
            </w:r>
          </w:p>
        </w:tc>
        <w:tc>
          <w:tcPr>
            <w:tcW w:w="80" w:type="dxa"/>
            <w:vAlign w:val="bottom"/>
          </w:tcPr>
          <w:p>
            <w:pPr>
              <w:spacing w:after="0"/>
              <w:rPr>
                <w:sz w:val="19"/>
                <w:szCs w:val="19"/>
                <w:color w:val="auto"/>
              </w:rPr>
            </w:pPr>
          </w:p>
        </w:tc>
      </w:tr>
      <w:tr>
        <w:trPr>
          <w:trHeight w:val="188"/>
        </w:trPr>
        <w:tc>
          <w:tcPr>
            <w:tcW w:w="980" w:type="dxa"/>
            <w:vAlign w:val="bottom"/>
            <w:shd w:val="clear" w:color="auto" w:fill="CFF0FC"/>
          </w:tcPr>
          <w:p>
            <w:pPr>
              <w:jc w:val="right"/>
              <w:ind w:right="246"/>
              <w:spacing w:after="0" w:line="188" w:lineRule="exact"/>
              <w:rPr>
                <w:sz w:val="20"/>
                <w:szCs w:val="20"/>
                <w:color w:val="auto"/>
              </w:rPr>
            </w:pPr>
            <w:r>
              <w:rPr>
                <w:rFonts w:ascii="Calibri" w:cs="Calibri" w:eastAsia="Calibri" w:hAnsi="Calibri"/>
                <w:sz w:val="16"/>
                <w:szCs w:val="16"/>
                <w:color w:val="auto"/>
              </w:rPr>
              <w:t>2024</w:t>
            </w:r>
          </w:p>
        </w:tc>
        <w:tc>
          <w:tcPr>
            <w:tcW w:w="1660" w:type="dxa"/>
            <w:vAlign w:val="bottom"/>
            <w:gridSpan w:val="2"/>
            <w:shd w:val="clear" w:color="auto" w:fill="CFF0FC"/>
          </w:tcPr>
          <w:p>
            <w:pPr>
              <w:jc w:val="right"/>
              <w:spacing w:after="0" w:line="188" w:lineRule="exact"/>
              <w:rPr>
                <w:sz w:val="20"/>
                <w:szCs w:val="20"/>
                <w:color w:val="auto"/>
              </w:rPr>
            </w:pPr>
            <w:r>
              <w:rPr>
                <w:rFonts w:ascii="Calibri" w:cs="Calibri" w:eastAsia="Calibri" w:hAnsi="Calibri"/>
                <w:sz w:val="16"/>
                <w:szCs w:val="16"/>
                <w:color w:val="auto"/>
              </w:rPr>
              <w:t>1,869,299</w:t>
            </w:r>
          </w:p>
        </w:tc>
        <w:tc>
          <w:tcPr>
            <w:tcW w:w="1980" w:type="dxa"/>
            <w:vAlign w:val="bottom"/>
            <w:gridSpan w:val="3"/>
            <w:shd w:val="clear" w:color="auto" w:fill="CFF0FC"/>
          </w:tcPr>
          <w:p>
            <w:pPr>
              <w:jc w:val="right"/>
              <w:ind w:right="180"/>
              <w:spacing w:after="0" w:line="188" w:lineRule="exact"/>
              <w:rPr>
                <w:sz w:val="20"/>
                <w:szCs w:val="20"/>
                <w:color w:val="auto"/>
              </w:rPr>
            </w:pPr>
            <w:r>
              <w:rPr>
                <w:rFonts w:ascii="Calibri" w:cs="Calibri" w:eastAsia="Calibri" w:hAnsi="Calibri"/>
                <w:sz w:val="16"/>
                <w:szCs w:val="16"/>
                <w:color w:val="auto"/>
              </w:rPr>
              <w:t>(1,121,548 )</w:t>
            </w:r>
          </w:p>
        </w:tc>
        <w:tc>
          <w:tcPr>
            <w:tcW w:w="1480" w:type="dxa"/>
            <w:vAlign w:val="bottom"/>
            <w:shd w:val="clear" w:color="auto" w:fill="CFF0FC"/>
          </w:tcPr>
          <w:p>
            <w:pPr>
              <w:jc w:val="right"/>
              <w:spacing w:after="0" w:line="188" w:lineRule="exact"/>
              <w:rPr>
                <w:sz w:val="20"/>
                <w:szCs w:val="20"/>
                <w:color w:val="auto"/>
              </w:rPr>
            </w:pPr>
            <w:r>
              <w:rPr>
                <w:rFonts w:ascii="Calibri" w:cs="Calibri" w:eastAsia="Calibri" w:hAnsi="Calibri"/>
                <w:sz w:val="16"/>
                <w:szCs w:val="16"/>
                <w:color w:val="auto"/>
              </w:rPr>
              <w:t>2,155,740</w:t>
            </w:r>
          </w:p>
        </w:tc>
        <w:tc>
          <w:tcPr>
            <w:tcW w:w="1680" w:type="dxa"/>
            <w:vAlign w:val="bottom"/>
            <w:gridSpan w:val="2"/>
            <w:shd w:val="clear" w:color="auto" w:fill="CFF0FC"/>
          </w:tcPr>
          <w:p>
            <w:pPr>
              <w:jc w:val="right"/>
              <w:spacing w:after="0" w:line="188" w:lineRule="exact"/>
              <w:rPr>
                <w:sz w:val="20"/>
                <w:szCs w:val="20"/>
                <w:color w:val="auto"/>
              </w:rPr>
            </w:pPr>
            <w:r>
              <w:rPr>
                <w:rFonts w:ascii="Calibri" w:cs="Calibri" w:eastAsia="Calibri" w:hAnsi="Calibri"/>
                <w:sz w:val="16"/>
                <w:szCs w:val="16"/>
                <w:color w:val="auto"/>
              </w:rPr>
              <w:t>2,903,491</w:t>
            </w:r>
          </w:p>
        </w:tc>
        <w:tc>
          <w:tcPr>
            <w:tcW w:w="80" w:type="dxa"/>
            <w:vAlign w:val="bottom"/>
            <w:shd w:val="clear" w:color="auto" w:fill="CFF0FC"/>
          </w:tcPr>
          <w:p>
            <w:pPr>
              <w:spacing w:after="0"/>
              <w:rPr>
                <w:sz w:val="16"/>
                <w:szCs w:val="16"/>
                <w:color w:val="auto"/>
              </w:rPr>
            </w:pPr>
          </w:p>
        </w:tc>
      </w:tr>
      <w:tr>
        <w:trPr>
          <w:trHeight w:val="36"/>
        </w:trPr>
        <w:tc>
          <w:tcPr>
            <w:tcW w:w="9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4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r>
    </w:tbl>
    <w:p>
      <w:pPr>
        <w:spacing w:after="0" w:line="256" w:lineRule="exact"/>
        <w:rPr>
          <w:sz w:val="20"/>
          <w:szCs w:val="20"/>
          <w:color w:val="auto"/>
        </w:rPr>
      </w:pPr>
    </w:p>
    <w:p>
      <w:pPr>
        <w:ind w:left="372" w:hanging="372"/>
        <w:spacing w:after="0"/>
        <w:tabs>
          <w:tab w:leader="none" w:pos="372"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The amounts deducted or added in calculatng the equity award adjustments are as follows:</w:t>
      </w:r>
    </w:p>
    <w:p>
      <w:pPr>
        <w:spacing w:after="0" w:line="278"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Change in Fair</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Value (from Prior</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Change in Fair</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Year-End</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Fiscal Year-End to</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Value (from</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at End</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Value of</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of</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Fair Value as of</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Prior Fiscal Year-</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of the Prior Fiscal</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Dividends or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Year-End) of</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Vestng Date of</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End to Vestng</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Year of Equity</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other Earnings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Year Equity</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Prior Year Equity</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Date) of Equity</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Awards that</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Paid on Stock or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Awards that are</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Awards that are</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Year Equity</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Awards Granted</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Failed to Meet</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Opton Awards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and</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and</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Awards that</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in Prior Years</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Vestng</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not Otherwise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Unvested at</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Unvested at</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Vested in the</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that Vested in</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Conditons in the</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Refected in Total</w:t>
            </w:r>
          </w:p>
        </w:tc>
        <w:tc>
          <w:tcPr>
            <w:tcW w:w="3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Total Equity</w:t>
            </w:r>
          </w:p>
        </w:tc>
      </w:tr>
      <w:tr>
        <w:trPr>
          <w:trHeight w:val="175"/>
        </w:trPr>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Ended March</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the Covered</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Covered Fiscal</w:t>
            </w:r>
          </w:p>
        </w:tc>
        <w:tc>
          <w:tcPr>
            <w:tcW w:w="2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Compensaton</w:t>
            </w:r>
          </w:p>
        </w:tc>
        <w:tc>
          <w:tcPr>
            <w:tcW w:w="32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Award</w:t>
            </w:r>
          </w:p>
        </w:tc>
      </w:tr>
      <w:tr>
        <w:trPr>
          <w:trHeight w:val="175"/>
        </w:trPr>
        <w:tc>
          <w:tcPr>
            <w:tcW w:w="860" w:type="dxa"/>
            <w:vAlign w:val="bottom"/>
          </w:tcPr>
          <w:p>
            <w:pPr>
              <w:jc w:val="right"/>
              <w:ind w:right="266"/>
              <w:spacing w:after="0"/>
              <w:rPr>
                <w:sz w:val="20"/>
                <w:szCs w:val="20"/>
                <w:color w:val="auto"/>
              </w:rPr>
            </w:pPr>
            <w:r>
              <w:rPr>
                <w:rFonts w:ascii="Calibri" w:cs="Calibri" w:eastAsia="Calibri" w:hAnsi="Calibri"/>
                <w:sz w:val="14"/>
                <w:szCs w:val="14"/>
                <w:b w:val="1"/>
                <w:bCs w:val="1"/>
                <w:color w:val="auto"/>
              </w:rPr>
              <w:t>31,</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Year-End  ($)</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Year-End  ($)</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Year  ($)</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Fiscal Year  ($)</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Year  ($)</w:t>
            </w:r>
          </w:p>
        </w:tc>
        <w:tc>
          <w:tcPr>
            <w:tcW w:w="1320" w:type="dxa"/>
            <w:vAlign w:val="bottom"/>
            <w:gridSpan w:val="2"/>
          </w:tcPr>
          <w:p>
            <w:pPr>
              <w:jc w:val="center"/>
              <w:ind w:left="124"/>
              <w:spacing w:after="0"/>
              <w:rPr>
                <w:sz w:val="20"/>
                <w:szCs w:val="20"/>
                <w:color w:val="auto"/>
              </w:rPr>
            </w:pPr>
            <w:r>
              <w:rPr>
                <w:rFonts w:ascii="Calibri" w:cs="Calibri" w:eastAsia="Calibri" w:hAnsi="Calibri"/>
                <w:sz w:val="14"/>
                <w:szCs w:val="14"/>
                <w:b w:val="1"/>
                <w:bCs w:val="1"/>
                <w:color w:val="auto"/>
              </w:rPr>
              <w:t>($)</w:t>
            </w:r>
          </w:p>
        </w:tc>
        <w:tc>
          <w:tcPr>
            <w:tcW w:w="3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Adjustments  ($)</w:t>
            </w:r>
          </w:p>
        </w:tc>
      </w:tr>
      <w:tr>
        <w:trPr>
          <w:trHeight w:val="33"/>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860" w:type="dxa"/>
            <w:vAlign w:val="bottom"/>
            <w:shd w:val="clear" w:color="auto" w:fill="CFF0FC"/>
          </w:tcPr>
          <w:p>
            <w:pPr>
              <w:jc w:val="right"/>
              <w:ind w:right="186"/>
              <w:spacing w:after="0" w:line="187" w:lineRule="exact"/>
              <w:rPr>
                <w:sz w:val="20"/>
                <w:szCs w:val="20"/>
                <w:color w:val="auto"/>
              </w:rPr>
            </w:pPr>
            <w:r>
              <w:rPr>
                <w:rFonts w:ascii="Calibri" w:cs="Calibri" w:eastAsia="Calibri" w:hAnsi="Calibri"/>
                <w:sz w:val="16"/>
                <w:szCs w:val="16"/>
                <w:color w:val="auto"/>
              </w:rPr>
              <w:t>2024</w:t>
            </w:r>
          </w:p>
        </w:tc>
        <w:tc>
          <w:tcPr>
            <w:tcW w:w="122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775,710</w:t>
            </w:r>
          </w:p>
        </w:tc>
        <w:tc>
          <w:tcPr>
            <w:tcW w:w="130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607,137</w:t>
            </w:r>
          </w:p>
        </w:tc>
        <w:tc>
          <w:tcPr>
            <w:tcW w:w="12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135,875</w:t>
            </w:r>
          </w:p>
        </w:tc>
        <w:tc>
          <w:tcPr>
            <w:tcW w:w="128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623,655</w:t>
            </w:r>
          </w:p>
        </w:tc>
        <w:tc>
          <w:tcPr>
            <w:tcW w:w="130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132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13,363</w:t>
            </w:r>
          </w:p>
        </w:tc>
        <w:tc>
          <w:tcPr>
            <w:tcW w:w="1440" w:type="dxa"/>
            <w:vAlign w:val="bottom"/>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2,155,740</w:t>
            </w:r>
          </w:p>
        </w:tc>
        <w:tc>
          <w:tcPr>
            <w:tcW w:w="100" w:type="dxa"/>
            <w:vAlign w:val="bottom"/>
            <w:shd w:val="clear" w:color="auto" w:fill="CFF0FC"/>
          </w:tcPr>
          <w:p>
            <w:pPr>
              <w:spacing w:after="0"/>
              <w:rPr>
                <w:sz w:val="16"/>
                <w:szCs w:val="16"/>
                <w:color w:val="auto"/>
              </w:rPr>
            </w:pPr>
          </w:p>
        </w:tc>
      </w:tr>
      <w:tr>
        <w:trPr>
          <w:trHeight w:val="36"/>
        </w:trPr>
        <w:tc>
          <w:tcPr>
            <w:tcW w:w="86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bl>
    <w:p>
      <w:pPr>
        <w:spacing w:after="0" w:line="302" w:lineRule="exact"/>
        <w:rPr>
          <w:sz w:val="20"/>
          <w:szCs w:val="20"/>
          <w:color w:val="auto"/>
        </w:rPr>
      </w:pPr>
    </w:p>
    <w:p>
      <w:pPr>
        <w:ind w:left="372" w:hanging="372"/>
        <w:spacing w:after="0" w:line="235" w:lineRule="auto"/>
        <w:tabs>
          <w:tab w:leader="none" w:pos="372"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Each year refects what the cumulatve total shareholder return on a $100 investment would be, including the reinvestment of dividends, if such amount were invested on March 31, 2020. The peer group used for this purpose is the following published industry index: Dow Jones US Building Materials &amp; Fixtures.</w:t>
      </w:r>
    </w:p>
    <w:p>
      <w:pPr>
        <w:spacing w:after="0" w:line="110" w:lineRule="exact"/>
        <w:rPr>
          <w:rFonts w:ascii="Calibri" w:cs="Calibri" w:eastAsia="Calibri" w:hAnsi="Calibri"/>
          <w:sz w:val="18"/>
          <w:szCs w:val="18"/>
          <w:color w:val="auto"/>
        </w:rPr>
      </w:pPr>
    </w:p>
    <w:p>
      <w:pPr>
        <w:ind w:left="372" w:hanging="372"/>
        <w:spacing w:after="0"/>
        <w:tabs>
          <w:tab w:leader="none" w:pos="372" w:val="left"/>
        </w:tabs>
        <w:numPr>
          <w:ilvl w:val="0"/>
          <w:numId w:val="57"/>
        </w:numPr>
        <w:rPr>
          <w:rFonts w:ascii="Calibri" w:cs="Calibri" w:eastAsia="Calibri" w:hAnsi="Calibri"/>
          <w:sz w:val="17"/>
          <w:szCs w:val="17"/>
          <w:color w:val="auto"/>
        </w:rPr>
      </w:pPr>
      <w:r>
        <w:rPr>
          <w:rFonts w:ascii="Calibri" w:cs="Calibri" w:eastAsia="Calibri" w:hAnsi="Calibri"/>
          <w:sz w:val="17"/>
          <w:szCs w:val="17"/>
          <w:color w:val="auto"/>
        </w:rPr>
        <w:t>The dollar amounts reported represent the amount of net income refected in the Company’s audited fnancial statements for the applicable fscal year.</w:t>
      </w:r>
    </w:p>
    <w:p>
      <w:pPr>
        <w:spacing w:after="0" w:line="213" w:lineRule="exact"/>
        <w:rPr>
          <w:sz w:val="20"/>
          <w:szCs w:val="20"/>
          <w:color w:val="auto"/>
        </w:rPr>
      </w:pPr>
    </w:p>
    <w:p>
      <w:pPr>
        <w:ind w:left="4052"/>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Eagle Materials Inc. - 2024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02" w:right="359" w:bottom="1440" w:gutter="0" w:footer="0" w:header="0"/>
        </w:sectPr>
      </w:pPr>
    </w:p>
    <w:bookmarkStart w:id="72" w:name="page73"/>
    <w:bookmarkEnd w:id="72"/>
    <w:p>
      <w:pPr>
        <w:ind w:left="380" w:hanging="372"/>
        <w:spacing w:after="0" w:line="235" w:lineRule="auto"/>
        <w:tabs>
          <w:tab w:leader="none" w:pos="380"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Return on Equity for a given fscal year is defned as the net earnings of the Company for such fscal year; divided by the Company’s average stockholders’ equity for such fscal year (which is defned for any period to mean the Company’s total stockholders’ equity as of the beginning of such period plus the Company’s total stockholders’ equity at the end of such period; divided by 2). In calculatng the average Return on Equity, the impact of certain extraordinary items not related to operatng performance, including downward adjustment for the gain from the sale of non-core businesses, are excluded.</w:t>
      </w:r>
    </w:p>
    <w:p>
      <w:pPr>
        <w:spacing w:after="0" w:line="364"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color w:val="auto"/>
        </w:rPr>
        <w:t>__________________________</w:t>
      </w:r>
    </w:p>
    <w:p>
      <w:pPr>
        <w:spacing w:after="0" w:line="24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Financial Performance Measures</w:t>
      </w:r>
    </w:p>
    <w:p>
      <w:pPr>
        <w:spacing w:after="0" w:line="113"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As described in greater detail in “Compensaton Discussion and Analysis,” the Company’s executve compensaton program refects a pay-for-performance philosophy. The metrics that the Company uses for both our long-term and short-term incentve awards are selected based on an objectve of incentvizing our Named Executve Ofcers to increase the value of our enterprise for our shareholders. The most important fnancial performance measures used by the Company to link executve compensaton actually paid to the Company’s Named Executve Ofcers, for the most recently completed fscal year, to the Company’s performance are as follows:</w:t>
      </w:r>
    </w:p>
    <w:p>
      <w:pPr>
        <w:spacing w:after="0" w:line="121" w:lineRule="exact"/>
        <w:rPr>
          <w:sz w:val="20"/>
          <w:szCs w:val="20"/>
          <w:color w:val="auto"/>
        </w:rPr>
      </w:pPr>
    </w:p>
    <w:p>
      <w:pPr>
        <w:ind w:left="1140" w:hanging="383"/>
        <w:spacing w:after="0"/>
        <w:tabs>
          <w:tab w:leader="none" w:pos="1140" w:val="left"/>
        </w:tabs>
        <w:numPr>
          <w:ilvl w:val="0"/>
          <w:numId w:val="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Return on Equity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Operatng Earnings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EBITDA</w:t>
      </w:r>
    </w:p>
    <w:p>
      <w:pPr>
        <w:spacing w:after="0" w:line="32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Relatonship Between CAP and Performance</w:t>
      </w:r>
    </w:p>
    <w:p>
      <w:pPr>
        <w:spacing w:after="0" w:line="113"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As noted above, the Company utlizes several performance measures to align executve compensaton with Company performance. Not all of these Company measures, however, are presented in the Pay versus Performance table, which covers only total shareholder return, net income and return on equity. The tables below compare CAP to the three performance measures covered by the Pay versus Performance table. Although the Compensaton Commitee focuses on pay relatve to performance in its executve compensaton decisions, it has not historically utlized CAP as a key measure in implementng its pay-for-performance philosophy.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Actually Paid versus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151765</wp:posOffset>
            </wp:positionV>
            <wp:extent cx="3625850" cy="21170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2585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3" w:name="page74"/>
    <w:bookmarkEnd w:id="73"/>
    <w:p>
      <w:pPr>
        <w:spacing w:after="0"/>
        <w:rPr>
          <w:sz w:val="20"/>
          <w:szCs w:val="20"/>
          <w:color w:val="auto"/>
        </w:rPr>
      </w:pPr>
      <w:r>
        <w:rPr>
          <w:rFonts w:ascii="Calibri" w:cs="Calibri" w:eastAsia="Calibri" w:hAnsi="Calibri"/>
          <w:sz w:val="18"/>
          <w:szCs w:val="18"/>
          <w:b w:val="1"/>
          <w:bCs w:val="1"/>
          <w:color w:val="auto"/>
        </w:rPr>
        <w:t>Compensaton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151765</wp:posOffset>
            </wp:positionV>
            <wp:extent cx="3840480" cy="22199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4048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Actually Paid versus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151765</wp:posOffset>
            </wp:positionV>
            <wp:extent cx="3625850" cy="2289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585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right"/>
        <w:ind w:right="2459"/>
        <w:spacing w:after="0"/>
        <w:rPr>
          <w:sz w:val="20"/>
          <w:szCs w:val="20"/>
          <w:color w:val="auto"/>
        </w:rPr>
      </w:pPr>
      <w:r>
        <w:rPr>
          <w:rFonts w:ascii="Calibri" w:cs="Calibri" w:eastAsia="Calibri" w:hAnsi="Calibri"/>
          <w:sz w:val="20"/>
          <w:szCs w:val="20"/>
          <w:color w:val="auto"/>
        </w:rPr>
        <w:t>Eagle Materials Inc. - 2024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sectPr>
      </w:pPr>
    </w:p>
    <w:bookmarkStart w:id="74" w:name="page75"/>
    <w:bookmarkEnd w:id="74"/>
    <w:p>
      <w:pPr>
        <w:jc w:val="center"/>
        <w:ind w:right="-39"/>
        <w:spacing w:after="0"/>
        <w:rPr>
          <w:sz w:val="20"/>
          <w:szCs w:val="20"/>
          <w:color w:val="auto"/>
        </w:rPr>
      </w:pPr>
      <w:r>
        <w:rPr>
          <w:rFonts w:ascii="Calibri" w:cs="Calibri" w:eastAsia="Calibri" w:hAnsi="Calibri"/>
          <w:sz w:val="25"/>
          <w:szCs w:val="25"/>
          <w:b w:val="1"/>
          <w:bCs w:val="1"/>
          <w:color w:val="4472C4"/>
        </w:rPr>
        <w:t>STOCK OWNERSHIP</w:t>
      </w:r>
    </w:p>
    <w:p>
      <w:pPr>
        <w:spacing w:after="0" w:line="1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w:t>
      </w:r>
    </w:p>
    <w:p>
      <w:pPr>
        <w:spacing w:after="0" w:line="136" w:lineRule="exact"/>
        <w:rPr>
          <w:sz w:val="20"/>
          <w:szCs w:val="20"/>
          <w:color w:val="auto"/>
        </w:rPr>
      </w:pPr>
    </w:p>
    <w:p>
      <w:pPr>
        <w:jc w:val="both"/>
        <w:ind w:right="140" w:firstLine="749"/>
        <w:spacing w:after="0" w:line="252" w:lineRule="auto"/>
        <w:rPr>
          <w:sz w:val="20"/>
          <w:szCs w:val="20"/>
          <w:color w:val="auto"/>
        </w:rPr>
      </w:pPr>
      <w:r>
        <w:rPr>
          <w:rFonts w:ascii="Calibri" w:cs="Calibri" w:eastAsia="Calibri" w:hAnsi="Calibri"/>
          <w:sz w:val="17"/>
          <w:szCs w:val="17"/>
          <w:color w:val="auto"/>
        </w:rPr>
        <w:t>We encourage stock ownership by our directors, ofcers and employees to align their interests with your interests as stockholders. The following table shows the benefcial ownership of our Common Stock, as of the record date for the annual meetng (June 3, 2024) by: (a) each person who has been a director or executve ofcer of the Company since April 1, 2023 and (b) by all such directors and executve ofcers of the Company as a group (17 persons). Except as otherwise indicated, all shares are owned directly, and the owner of such shares has the sole votng and investment power with respect thereto.</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42"/>
        </w:trPr>
        <w:tc>
          <w:tcPr>
            <w:tcW w:w="2520" w:type="dxa"/>
            <w:vAlign w:val="bottom"/>
          </w:tcPr>
          <w:p>
            <w:pPr>
              <w:spacing w:after="0"/>
              <w:rPr>
                <w:sz w:val="12"/>
                <w:szCs w:val="12"/>
                <w:color w:val="auto"/>
              </w:rPr>
            </w:pPr>
          </w:p>
        </w:tc>
        <w:tc>
          <w:tcPr>
            <w:tcW w:w="2640" w:type="dxa"/>
            <w:vAlign w:val="bottom"/>
            <w:vMerge w:val="restart"/>
          </w:tcPr>
          <w:p>
            <w:pPr>
              <w:spacing w:after="0"/>
              <w:rPr>
                <w:sz w:val="20"/>
                <w:szCs w:val="20"/>
                <w:color w:val="auto"/>
              </w:rPr>
            </w:pPr>
            <w:r>
              <w:rPr>
                <w:rFonts w:ascii="Calibri" w:cs="Calibri" w:eastAsia="Calibri" w:hAnsi="Calibri"/>
                <w:sz w:val="14"/>
                <w:szCs w:val="14"/>
                <w:b w:val="1"/>
                <w:bCs w:val="1"/>
                <w:color w:val="auto"/>
              </w:rPr>
              <w:t>Amount and Nature of Benefcial Ownership</w:t>
            </w:r>
          </w:p>
        </w:tc>
        <w:tc>
          <w:tcPr>
            <w:tcW w:w="100" w:type="dxa"/>
            <w:vAlign w:val="bottom"/>
            <w:tcBorders>
              <w:bottom w:val="single" w:sz="8" w:color="auto"/>
            </w:tcBorders>
          </w:tcPr>
          <w:p>
            <w:pPr>
              <w:jc w:val="right"/>
              <w:spacing w:after="0"/>
              <w:rPr>
                <w:sz w:val="20"/>
                <w:szCs w:val="20"/>
                <w:color w:val="auto"/>
              </w:rPr>
            </w:pPr>
            <w:r>
              <w:rPr>
                <w:rFonts w:ascii="Calibri" w:cs="Calibri" w:eastAsia="Calibri" w:hAnsi="Calibri"/>
                <w:sz w:val="10"/>
                <w:szCs w:val="10"/>
                <w:b w:val="1"/>
                <w:bCs w:val="1"/>
                <w:color w:val="auto"/>
                <w:w w:val="70"/>
              </w:rPr>
              <w:t>(1)</w:t>
            </w:r>
          </w:p>
        </w:tc>
        <w:tc>
          <w:tcPr>
            <w:tcW w:w="160" w:type="dxa"/>
            <w:vAlign w:val="bottom"/>
            <w:vMerge w:val="restart"/>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26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Shares</w:t>
            </w:r>
          </w:p>
        </w:tc>
        <w:tc>
          <w:tcPr>
            <w:tcW w:w="18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Percentage</w:t>
            </w: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Benefcially</w:t>
            </w:r>
          </w:p>
        </w:tc>
        <w:tc>
          <w:tcPr>
            <w:tcW w:w="180" w:type="dxa"/>
            <w:vAlign w:val="bottom"/>
          </w:tcPr>
          <w:p>
            <w:pPr>
              <w:spacing w:after="0"/>
              <w:rPr>
                <w:sz w:val="13"/>
                <w:szCs w:val="13"/>
                <w:color w:val="auto"/>
              </w:rPr>
            </w:pPr>
          </w:p>
        </w:tc>
        <w:tc>
          <w:tcPr>
            <w:tcW w:w="1260" w:type="dxa"/>
            <w:vAlign w:val="bottom"/>
            <w:gridSpan w:val="2"/>
          </w:tcPr>
          <w:p>
            <w:pPr>
              <w:jc w:val="center"/>
              <w:ind w:right="120"/>
              <w:spacing w:after="0" w:line="159" w:lineRule="exact"/>
              <w:rPr>
                <w:sz w:val="20"/>
                <w:szCs w:val="20"/>
                <w:color w:val="auto"/>
              </w:rPr>
            </w:pPr>
            <w:r>
              <w:rPr>
                <w:rFonts w:ascii="Calibri" w:cs="Calibri" w:eastAsia="Calibri" w:hAnsi="Calibri"/>
                <w:sz w:val="14"/>
                <w:szCs w:val="14"/>
                <w:b w:val="1"/>
                <w:bCs w:val="1"/>
                <w:color w:val="auto"/>
              </w:rPr>
              <w:t>of Common</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center"/>
              <w:spacing w:after="0" w:line="223" w:lineRule="exact"/>
              <w:rPr>
                <w:sz w:val="20"/>
                <w:szCs w:val="20"/>
                <w:color w:val="auto"/>
              </w:rPr>
            </w:pPr>
            <w:r>
              <w:rPr>
                <w:rFonts w:ascii="Calibri" w:cs="Calibri" w:eastAsia="Calibri" w:hAnsi="Calibri"/>
                <w:sz w:val="14"/>
                <w:szCs w:val="14"/>
                <w:b w:val="1"/>
                <w:bCs w:val="1"/>
                <w:color w:val="auto"/>
                <w:w w:val="95"/>
              </w:rPr>
              <w:t>Owned</w:t>
            </w:r>
            <w:r>
              <w:rPr>
                <w:rFonts w:ascii="Calibri" w:cs="Calibri" w:eastAsia="Calibri" w:hAnsi="Calibri"/>
                <w:sz w:val="19"/>
                <w:szCs w:val="19"/>
                <w:b w:val="1"/>
                <w:bCs w:val="1"/>
                <w:color w:val="auto"/>
                <w:w w:val="95"/>
                <w:vertAlign w:val="superscript"/>
              </w:rPr>
              <w:t>(2)</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Stock</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420" w:type="dxa"/>
            <w:vAlign w:val="bottom"/>
            <w:gridSpan w:val="4"/>
          </w:tcPr>
          <w:p>
            <w:pPr>
              <w:spacing w:after="0" w:line="184" w:lineRule="exact"/>
              <w:rPr>
                <w:sz w:val="20"/>
                <w:szCs w:val="20"/>
                <w:color w:val="auto"/>
              </w:rPr>
            </w:pPr>
            <w:r>
              <w:rPr>
                <w:rFonts w:ascii="Calibri" w:cs="Calibri" w:eastAsia="Calibri" w:hAnsi="Calibri"/>
                <w:sz w:val="16"/>
                <w:szCs w:val="16"/>
                <w:color w:val="auto"/>
              </w:rPr>
              <w:t>Rick Beckwit</w:t>
            </w:r>
          </w:p>
        </w:tc>
        <w:tc>
          <w:tcPr>
            <w:tcW w:w="1060" w:type="dxa"/>
            <w:vAlign w:val="bottom"/>
          </w:tcPr>
          <w:p>
            <w:pPr>
              <w:jc w:val="right"/>
              <w:spacing w:after="0" w:line="189" w:lineRule="exact"/>
              <w:rPr>
                <w:sz w:val="20"/>
                <w:szCs w:val="20"/>
                <w:color w:val="auto"/>
              </w:rPr>
            </w:pPr>
            <w:r>
              <w:rPr>
                <w:rFonts w:ascii="Calibri" w:cs="Calibri" w:eastAsia="Calibri" w:hAnsi="Calibri"/>
                <w:sz w:val="16"/>
                <w:szCs w:val="16"/>
                <w:color w:val="auto"/>
              </w:rPr>
              <w:t>23,011</w:t>
            </w:r>
          </w:p>
        </w:tc>
        <w:tc>
          <w:tcPr>
            <w:tcW w:w="1440" w:type="dxa"/>
            <w:vAlign w:val="bottom"/>
            <w:gridSpan w:val="3"/>
          </w:tcPr>
          <w:p>
            <w:pPr>
              <w:jc w:val="right"/>
              <w:ind w:right="40"/>
              <w:spacing w:after="0" w:line="189"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4"/>
        </w:trPr>
        <w:tc>
          <w:tcPr>
            <w:tcW w:w="5420" w:type="dxa"/>
            <w:vAlign w:val="bottom"/>
            <w:gridSpan w:val="4"/>
          </w:tcPr>
          <w:p>
            <w:pPr>
              <w:spacing w:after="0"/>
              <w:rPr>
                <w:sz w:val="20"/>
                <w:szCs w:val="20"/>
                <w:color w:val="auto"/>
              </w:rPr>
            </w:pPr>
            <w:r>
              <w:rPr>
                <w:rFonts w:ascii="Calibri" w:cs="Calibri" w:eastAsia="Calibri" w:hAnsi="Calibri"/>
                <w:sz w:val="16"/>
                <w:szCs w:val="16"/>
                <w:color w:val="auto"/>
              </w:rPr>
              <w:t>Margot L. Carter</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9,533</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5420" w:type="dxa"/>
            <w:vAlign w:val="bottom"/>
            <w:gridSpan w:val="4"/>
          </w:tcPr>
          <w:p>
            <w:pPr>
              <w:spacing w:after="0"/>
              <w:rPr>
                <w:sz w:val="20"/>
                <w:szCs w:val="20"/>
                <w:color w:val="auto"/>
              </w:rPr>
            </w:pPr>
            <w:r>
              <w:rPr>
                <w:rFonts w:ascii="Calibri" w:cs="Calibri" w:eastAsia="Calibri" w:hAnsi="Calibri"/>
                <w:sz w:val="16"/>
                <w:szCs w:val="16"/>
                <w:color w:val="auto"/>
              </w:rPr>
              <w:t>Eric Cribbs</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15,516</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5420" w:type="dxa"/>
            <w:vAlign w:val="bottom"/>
            <w:gridSpan w:val="4"/>
          </w:tcPr>
          <w:p>
            <w:pPr>
              <w:spacing w:after="0"/>
              <w:rPr>
                <w:sz w:val="20"/>
                <w:szCs w:val="20"/>
                <w:color w:val="auto"/>
              </w:rPr>
            </w:pPr>
            <w:r>
              <w:rPr>
                <w:rFonts w:ascii="Calibri" w:cs="Calibri" w:eastAsia="Calibri" w:hAnsi="Calibri"/>
                <w:sz w:val="16"/>
                <w:szCs w:val="16"/>
                <w:color w:val="auto"/>
              </w:rPr>
              <w:t>George J. Damiris</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7,843</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5420" w:type="dxa"/>
            <w:vAlign w:val="bottom"/>
            <w:gridSpan w:val="4"/>
          </w:tcPr>
          <w:p>
            <w:pPr>
              <w:spacing w:after="0"/>
              <w:rPr>
                <w:sz w:val="20"/>
                <w:szCs w:val="20"/>
                <w:color w:val="auto"/>
              </w:rPr>
            </w:pPr>
            <w:r>
              <w:rPr>
                <w:rFonts w:ascii="Calibri" w:cs="Calibri" w:eastAsia="Calibri" w:hAnsi="Calibri"/>
                <w:sz w:val="16"/>
                <w:szCs w:val="16"/>
                <w:color w:val="auto"/>
              </w:rPr>
              <w:t>William R. Devlin</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27,561</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0"/>
        </w:trPr>
        <w:tc>
          <w:tcPr>
            <w:tcW w:w="5420" w:type="dxa"/>
            <w:vAlign w:val="bottom"/>
            <w:gridSpan w:val="4"/>
          </w:tcPr>
          <w:p>
            <w:pPr>
              <w:spacing w:after="0"/>
              <w:rPr>
                <w:sz w:val="20"/>
                <w:szCs w:val="20"/>
                <w:color w:val="auto"/>
              </w:rPr>
            </w:pPr>
            <w:r>
              <w:rPr>
                <w:rFonts w:ascii="Calibri" w:cs="Calibri" w:eastAsia="Calibri" w:hAnsi="Calibri"/>
                <w:sz w:val="16"/>
                <w:szCs w:val="16"/>
                <w:color w:val="auto"/>
              </w:rPr>
              <w:t>Martn M. Ellen</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10,349</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5420" w:type="dxa"/>
            <w:vAlign w:val="bottom"/>
            <w:gridSpan w:val="4"/>
          </w:tcPr>
          <w:p>
            <w:pPr>
              <w:spacing w:after="0"/>
              <w:rPr>
                <w:sz w:val="20"/>
                <w:szCs w:val="20"/>
                <w:color w:val="auto"/>
              </w:rPr>
            </w:pPr>
            <w:r>
              <w:rPr>
                <w:rFonts w:ascii="Calibri" w:cs="Calibri" w:eastAsia="Calibri" w:hAnsi="Calibri"/>
                <w:sz w:val="16"/>
                <w:szCs w:val="16"/>
                <w:color w:val="auto"/>
              </w:rPr>
              <w:t>Mauro Gregorio</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4,717</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9"/>
        </w:trPr>
        <w:tc>
          <w:tcPr>
            <w:tcW w:w="5420" w:type="dxa"/>
            <w:vAlign w:val="bottom"/>
            <w:gridSpan w:val="4"/>
          </w:tcPr>
          <w:p>
            <w:pPr>
              <w:spacing w:after="0"/>
              <w:rPr>
                <w:sz w:val="20"/>
                <w:szCs w:val="20"/>
                <w:color w:val="auto"/>
              </w:rPr>
            </w:pPr>
            <w:r>
              <w:rPr>
                <w:rFonts w:ascii="Calibri" w:cs="Calibri" w:eastAsia="Calibri" w:hAnsi="Calibri"/>
                <w:sz w:val="16"/>
                <w:szCs w:val="16"/>
                <w:color w:val="auto"/>
              </w:rPr>
              <w:t>Michael R. Haack</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172,395</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57"/>
        </w:trPr>
        <w:tc>
          <w:tcPr>
            <w:tcW w:w="5420" w:type="dxa"/>
            <w:vAlign w:val="bottom"/>
            <w:gridSpan w:val="4"/>
          </w:tcPr>
          <w:p>
            <w:pPr>
              <w:spacing w:after="0"/>
              <w:rPr>
                <w:sz w:val="20"/>
                <w:szCs w:val="20"/>
                <w:color w:val="auto"/>
              </w:rPr>
            </w:pPr>
            <w:r>
              <w:rPr>
                <w:rFonts w:ascii="Calibri" w:cs="Calibri" w:eastAsia="Calibri" w:hAnsi="Calibri"/>
                <w:sz w:val="16"/>
                <w:szCs w:val="16"/>
                <w:color w:val="auto"/>
              </w:rPr>
              <w:t>D. Craig Kesler</w:t>
            </w:r>
            <w:r>
              <w:rPr>
                <w:rFonts w:ascii="Calibri" w:cs="Calibri" w:eastAsia="Calibri" w:hAnsi="Calibri"/>
                <w:sz w:val="21"/>
                <w:szCs w:val="21"/>
                <w:color w:val="auto"/>
                <w:vertAlign w:val="superscript"/>
              </w:rPr>
              <w:t>(3)</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103,681</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5420" w:type="dxa"/>
            <w:vAlign w:val="bottom"/>
            <w:gridSpan w:val="4"/>
          </w:tcPr>
          <w:p>
            <w:pPr>
              <w:spacing w:after="0"/>
              <w:rPr>
                <w:sz w:val="20"/>
                <w:szCs w:val="20"/>
                <w:color w:val="auto"/>
              </w:rPr>
            </w:pPr>
            <w:r>
              <w:rPr>
                <w:rFonts w:ascii="Calibri" w:cs="Calibri" w:eastAsia="Calibri" w:hAnsi="Calibri"/>
                <w:sz w:val="16"/>
                <w:szCs w:val="16"/>
                <w:color w:val="auto"/>
              </w:rPr>
              <w:t>Mat Newby</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32,569</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7"/>
        </w:trPr>
        <w:tc>
          <w:tcPr>
            <w:tcW w:w="5420" w:type="dxa"/>
            <w:vAlign w:val="bottom"/>
            <w:gridSpan w:val="4"/>
          </w:tcPr>
          <w:p>
            <w:pPr>
              <w:spacing w:after="0" w:line="237" w:lineRule="exact"/>
              <w:rPr>
                <w:sz w:val="20"/>
                <w:szCs w:val="20"/>
                <w:color w:val="auto"/>
              </w:rPr>
            </w:pPr>
            <w:r>
              <w:rPr>
                <w:rFonts w:ascii="Calibri" w:cs="Calibri" w:eastAsia="Calibri" w:hAnsi="Calibri"/>
                <w:sz w:val="16"/>
                <w:szCs w:val="16"/>
                <w:color w:val="auto"/>
              </w:rPr>
              <w:t>Michael R. Nicolais</w:t>
            </w:r>
            <w:r>
              <w:rPr>
                <w:rFonts w:ascii="Calibri" w:cs="Calibri" w:eastAsia="Calibri" w:hAnsi="Calibri"/>
                <w:sz w:val="21"/>
                <w:szCs w:val="21"/>
                <w:color w:val="auto"/>
                <w:vertAlign w:val="superscript"/>
              </w:rPr>
              <w:t>(4)</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69,028</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50"/>
        </w:trPr>
        <w:tc>
          <w:tcPr>
            <w:tcW w:w="5420" w:type="dxa"/>
            <w:vAlign w:val="bottom"/>
            <w:gridSpan w:val="4"/>
          </w:tcPr>
          <w:p>
            <w:pPr>
              <w:spacing w:after="0" w:line="249" w:lineRule="exact"/>
              <w:rPr>
                <w:sz w:val="20"/>
                <w:szCs w:val="20"/>
                <w:color w:val="auto"/>
              </w:rPr>
            </w:pPr>
            <w:r>
              <w:rPr>
                <w:rFonts w:ascii="Calibri" w:cs="Calibri" w:eastAsia="Calibri" w:hAnsi="Calibri"/>
                <w:sz w:val="16"/>
                <w:szCs w:val="16"/>
                <w:color w:val="auto"/>
              </w:rPr>
              <w:t>David B. Powers</w:t>
            </w:r>
            <w:r>
              <w:rPr>
                <w:rFonts w:ascii="Calibri" w:cs="Calibri" w:eastAsia="Calibri" w:hAnsi="Calibri"/>
                <w:sz w:val="21"/>
                <w:szCs w:val="21"/>
                <w:color w:val="auto"/>
                <w:vertAlign w:val="superscript"/>
              </w:rPr>
              <w:t>(5)</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18,664</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5420" w:type="dxa"/>
            <w:vAlign w:val="bottom"/>
            <w:gridSpan w:val="4"/>
          </w:tcPr>
          <w:p>
            <w:pPr>
              <w:spacing w:after="0"/>
              <w:rPr>
                <w:sz w:val="20"/>
                <w:szCs w:val="20"/>
                <w:color w:val="auto"/>
              </w:rPr>
            </w:pPr>
            <w:r>
              <w:rPr>
                <w:rFonts w:ascii="Calibri" w:cs="Calibri" w:eastAsia="Calibri" w:hAnsi="Calibri"/>
                <w:sz w:val="16"/>
                <w:szCs w:val="16"/>
                <w:color w:val="auto"/>
              </w:rPr>
              <w:t>Mary P. Ricciardello</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12,801</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7"/>
        </w:trPr>
        <w:tc>
          <w:tcPr>
            <w:tcW w:w="5420" w:type="dxa"/>
            <w:vAlign w:val="bottom"/>
            <w:gridSpan w:val="4"/>
          </w:tcPr>
          <w:p>
            <w:pPr>
              <w:spacing w:after="0" w:line="237" w:lineRule="exact"/>
              <w:rPr>
                <w:sz w:val="20"/>
                <w:szCs w:val="20"/>
                <w:color w:val="auto"/>
              </w:rPr>
            </w:pPr>
            <w:r>
              <w:rPr>
                <w:rFonts w:ascii="Calibri" w:cs="Calibri" w:eastAsia="Calibri" w:hAnsi="Calibri"/>
                <w:sz w:val="16"/>
                <w:szCs w:val="16"/>
                <w:color w:val="auto"/>
              </w:rPr>
              <w:t>Richard R. Stewart</w:t>
            </w:r>
            <w:r>
              <w:rPr>
                <w:rFonts w:ascii="Calibri" w:cs="Calibri" w:eastAsia="Calibri" w:hAnsi="Calibri"/>
                <w:sz w:val="21"/>
                <w:szCs w:val="21"/>
                <w:color w:val="auto"/>
                <w:vertAlign w:val="superscript"/>
              </w:rPr>
              <w:t>(6)</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11,044</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50"/>
        </w:trPr>
        <w:tc>
          <w:tcPr>
            <w:tcW w:w="5420" w:type="dxa"/>
            <w:vAlign w:val="bottom"/>
            <w:gridSpan w:val="4"/>
          </w:tcPr>
          <w:p>
            <w:pPr>
              <w:spacing w:after="0" w:line="249" w:lineRule="exact"/>
              <w:rPr>
                <w:sz w:val="20"/>
                <w:szCs w:val="20"/>
                <w:color w:val="auto"/>
              </w:rPr>
            </w:pPr>
            <w:r>
              <w:rPr>
                <w:rFonts w:ascii="Calibri" w:cs="Calibri" w:eastAsia="Calibri" w:hAnsi="Calibri"/>
                <w:sz w:val="16"/>
                <w:szCs w:val="16"/>
                <w:color w:val="auto"/>
              </w:rPr>
              <w:t>Robert S. Stewart</w:t>
            </w:r>
            <w:r>
              <w:rPr>
                <w:rFonts w:ascii="Calibri" w:cs="Calibri" w:eastAsia="Calibri" w:hAnsi="Calibri"/>
                <w:sz w:val="21"/>
                <w:szCs w:val="21"/>
                <w:color w:val="auto"/>
                <w:vertAlign w:val="superscript"/>
              </w:rPr>
              <w:t>(7)</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13,547</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5420" w:type="dxa"/>
            <w:vAlign w:val="bottom"/>
            <w:gridSpan w:val="4"/>
          </w:tcPr>
          <w:p>
            <w:pPr>
              <w:spacing w:after="0"/>
              <w:rPr>
                <w:sz w:val="20"/>
                <w:szCs w:val="20"/>
                <w:color w:val="auto"/>
              </w:rPr>
            </w:pPr>
            <w:r>
              <w:rPr>
                <w:rFonts w:ascii="Calibri" w:cs="Calibri" w:eastAsia="Calibri" w:hAnsi="Calibri"/>
                <w:sz w:val="16"/>
                <w:szCs w:val="16"/>
                <w:color w:val="auto"/>
              </w:rPr>
              <w:t>Tony Thompson</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15,006</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57"/>
        </w:trPr>
        <w:tc>
          <w:tcPr>
            <w:tcW w:w="5420" w:type="dxa"/>
            <w:vAlign w:val="bottom"/>
            <w:gridSpan w:val="4"/>
          </w:tcPr>
          <w:p>
            <w:pPr>
              <w:spacing w:after="0"/>
              <w:rPr>
                <w:sz w:val="20"/>
                <w:szCs w:val="20"/>
                <w:color w:val="auto"/>
              </w:rPr>
            </w:pPr>
            <w:r>
              <w:rPr>
                <w:rFonts w:ascii="Calibri" w:cs="Calibri" w:eastAsia="Calibri" w:hAnsi="Calibri"/>
                <w:sz w:val="16"/>
                <w:szCs w:val="16"/>
                <w:color w:val="auto"/>
              </w:rPr>
              <w:t>Steven L. Wentzel</w:t>
            </w:r>
            <w:r>
              <w:rPr>
                <w:rFonts w:ascii="Calibri" w:cs="Calibri" w:eastAsia="Calibri" w:hAnsi="Calibri"/>
                <w:sz w:val="21"/>
                <w:szCs w:val="21"/>
                <w:color w:val="auto"/>
                <w:vertAlign w:val="superscript"/>
              </w:rPr>
              <w:t>(7)</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23,274</w:t>
            </w:r>
          </w:p>
        </w:tc>
        <w:tc>
          <w:tcPr>
            <w:tcW w:w="144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5420" w:type="dxa"/>
            <w:vAlign w:val="bottom"/>
            <w:gridSpan w:val="4"/>
          </w:tcPr>
          <w:p>
            <w:pPr>
              <w:spacing w:after="0"/>
              <w:rPr>
                <w:sz w:val="20"/>
                <w:szCs w:val="20"/>
                <w:color w:val="auto"/>
              </w:rPr>
            </w:pPr>
            <w:r>
              <w:rPr>
                <w:rFonts w:ascii="Calibri" w:cs="Calibri" w:eastAsia="Calibri" w:hAnsi="Calibri"/>
                <w:sz w:val="16"/>
                <w:szCs w:val="16"/>
                <w:color w:val="auto"/>
              </w:rPr>
              <w:t>All current directors, nominees and executve ofcers as a group</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gridSpan w:val="4"/>
          </w:tcPr>
          <w:p>
            <w:pPr>
              <w:ind w:left="120"/>
              <w:spacing w:after="0"/>
              <w:rPr>
                <w:sz w:val="20"/>
                <w:szCs w:val="20"/>
                <w:color w:val="auto"/>
              </w:rPr>
            </w:pPr>
            <w:r>
              <w:rPr>
                <w:rFonts w:ascii="Calibri" w:cs="Calibri" w:eastAsia="Calibri" w:hAnsi="Calibri"/>
                <w:sz w:val="16"/>
                <w:szCs w:val="16"/>
                <w:color w:val="auto"/>
              </w:rPr>
              <w:t>(17 persons)</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570,539</w:t>
            </w:r>
          </w:p>
        </w:tc>
        <w:tc>
          <w:tcPr>
            <w:tcW w:w="1440" w:type="dxa"/>
            <w:vAlign w:val="bottom"/>
            <w:gridSpan w:val="3"/>
          </w:tcPr>
          <w:p>
            <w:pPr>
              <w:jc w:val="right"/>
              <w:spacing w:after="0"/>
              <w:rPr>
                <w:sz w:val="20"/>
                <w:szCs w:val="20"/>
                <w:color w:val="auto"/>
              </w:rPr>
            </w:pPr>
            <w:r>
              <w:rPr>
                <w:rFonts w:ascii="Calibri" w:cs="Calibri" w:eastAsia="Calibri" w:hAnsi="Calibri"/>
                <w:sz w:val="16"/>
                <w:szCs w:val="16"/>
                <w:color w:val="auto"/>
              </w:rPr>
              <w:t>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-2724785</wp:posOffset>
            </wp:positionV>
            <wp:extent cx="4989195"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-2433320</wp:posOffset>
            </wp:positionV>
            <wp:extent cx="498919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-2141855</wp:posOffset>
            </wp:positionV>
            <wp:extent cx="498919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-1850390</wp:posOffset>
            </wp:positionV>
            <wp:extent cx="4989195"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-1558925</wp:posOffset>
            </wp:positionV>
            <wp:extent cx="4989195"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-1268095</wp:posOffset>
            </wp:positionV>
            <wp:extent cx="498919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-975995</wp:posOffset>
            </wp:positionV>
            <wp:extent cx="498919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-684530</wp:posOffset>
            </wp:positionV>
            <wp:extent cx="498919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-393065</wp:posOffset>
            </wp:positionV>
            <wp:extent cx="4989195"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19030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color w:val="auto"/>
        </w:rPr>
        <w:t>* Less than 1%</w:t>
      </w:r>
    </w:p>
    <w:p>
      <w:pPr>
        <w:spacing w:after="0" w:line="1" w:lineRule="exact"/>
        <w:rPr>
          <w:sz w:val="20"/>
          <w:szCs w:val="20"/>
          <w:color w:val="auto"/>
        </w:rPr>
      </w:pPr>
    </w:p>
    <w:p>
      <w:pPr>
        <w:ind w:left="380" w:hanging="372"/>
        <w:spacing w:after="0" w:line="235" w:lineRule="auto"/>
        <w:tabs>
          <w:tab w:leader="none" w:pos="38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For purposes of this table, “benefcial ownership” is determined in accordance with Rule 13d-3 under the Exchange Act, pursuant to which a person is deemed to have “benefcial ownership” of shares of our stock that the person has the right to acquire within 60 days. For purposes of computng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computng the percentage ownership of any other persons.</w:t>
      </w:r>
    </w:p>
    <w:p>
      <w:pPr>
        <w:spacing w:after="0" w:line="112"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Amounts include the following shares of Common Stock that may be acquired upon exercise of stock optons awarded under our 2013 Incentve Plan and our 2023 Incentve Plan: Mr. Beckwit – 2,070 shares; Mr. Cribbs – 1,401 shares; Mr. Devlin – 2,039 shares; Mr. Haack – 89,202 shares; Mr. Kesler – 41,523 shares; Mr. Newby – 12,496 shares; Mr. Nicolais – 16,508 shares; Ms. Ricciardello – 4,747 shares; Mr. Thompson – 2,039 shares and all directors and executve ofcers of the Company as a group (17 persons) – 172,025 shares. In additon, this table includes shares of Common Stock that are held for the account of partcipants as of June 3, 2024, pursuant to the Common Stock fund of the Retrement Plan, as follows: Mr. Devlin – 1,947 shares; Mr. Kesler – 2,219 shares; and all directors and executve ofcers of the Company as a group (17 persons) – 4,166 shares. These amounts do not include the RSUs previously granted to the non-employee directors (including dividend equivalent units accrued since the date of grant) disclosed in the table below the Non-Employee Director Compensaton for Fiscal Year 2024 table of this Proxy Statement.</w:t>
      </w:r>
    </w:p>
    <w:p>
      <w:pPr>
        <w:spacing w:after="0" w:line="109" w:lineRule="exact"/>
        <w:rPr>
          <w:rFonts w:ascii="Calibri" w:cs="Calibri" w:eastAsia="Calibri" w:hAnsi="Calibri"/>
          <w:sz w:val="18"/>
          <w:szCs w:val="18"/>
          <w:color w:val="auto"/>
        </w:rPr>
      </w:pPr>
    </w:p>
    <w:p>
      <w:pPr>
        <w:ind w:left="380" w:hanging="372"/>
        <w:spacing w:after="0"/>
        <w:tabs>
          <w:tab w:leader="none" w:pos="38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Includes 160 shares of Common Stock held in Mr. Kesler’s IRA.</w:t>
      </w:r>
    </w:p>
    <w:p>
      <w:pPr>
        <w:spacing w:after="0" w:line="109" w:lineRule="exact"/>
        <w:rPr>
          <w:rFonts w:ascii="Calibri" w:cs="Calibri" w:eastAsia="Calibri" w:hAnsi="Calibri"/>
          <w:sz w:val="18"/>
          <w:szCs w:val="18"/>
          <w:color w:val="auto"/>
        </w:rPr>
      </w:pPr>
    </w:p>
    <w:p>
      <w:pPr>
        <w:ind w:left="380" w:right="160" w:hanging="372"/>
        <w:spacing w:after="0" w:line="235" w:lineRule="auto"/>
        <w:tabs>
          <w:tab w:leader="none" w:pos="38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Includes (a) 1,386 shares of Common Stock owned by the wife of Mr. Nicolais; (b) 1,550 shares of Common Stock held by the proft sharing plan of the employer of Mr. Nicolais; and (c) 3,500 shares of Common Stock held in an IRA owned by Mr. Nicolais.</w:t>
      </w:r>
    </w:p>
    <w:p>
      <w:pPr>
        <w:spacing w:after="0" w:line="104" w:lineRule="exact"/>
        <w:rPr>
          <w:rFonts w:ascii="Calibri" w:cs="Calibri" w:eastAsia="Calibri" w:hAnsi="Calibri"/>
          <w:sz w:val="18"/>
          <w:szCs w:val="18"/>
          <w:color w:val="auto"/>
        </w:rPr>
      </w:pPr>
    </w:p>
    <w:p>
      <w:pPr>
        <w:ind w:left="380" w:hanging="372"/>
        <w:spacing w:after="0"/>
        <w:tabs>
          <w:tab w:leader="none" w:pos="38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Includes 18,009 shares of Common Stock owned by a spousal trust.</w:t>
      </w:r>
    </w:p>
    <w:p>
      <w:pPr>
        <w:spacing w:after="0" w:line="109" w:lineRule="exact"/>
        <w:rPr>
          <w:rFonts w:ascii="Calibri" w:cs="Calibri" w:eastAsia="Calibri" w:hAnsi="Calibri"/>
          <w:sz w:val="18"/>
          <w:szCs w:val="18"/>
          <w:color w:val="auto"/>
        </w:rPr>
      </w:pPr>
    </w:p>
    <w:p>
      <w:pPr>
        <w:ind w:left="380" w:right="60" w:hanging="372"/>
        <w:spacing w:after="0" w:line="235" w:lineRule="auto"/>
        <w:tabs>
          <w:tab w:leader="none" w:pos="380"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Includes 1,186 shares of Common Stock owned by Stewart Family Trust and 2,817 shares of Common Stock owned by Richard Ross Stewart GST Exempt Trust.</w:t>
      </w:r>
    </w:p>
    <w:p>
      <w:pPr>
        <w:spacing w:after="0" w:line="2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75" w:name="page76"/>
    <w:bookmarkEnd w:id="75"/>
    <w:p>
      <w:pPr>
        <w:ind w:left="372" w:hanging="372"/>
        <w:spacing w:after="0" w:line="235" w:lineRule="auto"/>
        <w:tabs>
          <w:tab w:leader="none" w:pos="372"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Mr. Stewart retred from the Company on July 3, 2023, and Mr. Wentzel retred from the Company on June 1, 2023. Their benefcial ownership refected above is based on their last fled Form 4.</w:t>
      </w:r>
    </w:p>
    <w:p>
      <w:pPr>
        <w:spacing w:after="0" w:line="206" w:lineRule="exact"/>
        <w:rPr>
          <w:sz w:val="20"/>
          <w:szCs w:val="20"/>
          <w:color w:val="auto"/>
        </w:rPr>
      </w:pPr>
    </w:p>
    <w:p>
      <w:pPr>
        <w:ind w:left="4052"/>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91"/>
        <w:spacing w:after="0"/>
        <w:rPr>
          <w:sz w:val="20"/>
          <w:szCs w:val="20"/>
          <w:color w:val="auto"/>
        </w:rPr>
      </w:pPr>
      <w:r>
        <w:rPr>
          <w:rFonts w:ascii="Calibri" w:cs="Calibri" w:eastAsia="Calibri" w:hAnsi="Calibri"/>
          <w:sz w:val="20"/>
          <w:szCs w:val="20"/>
          <w:color w:val="auto"/>
        </w:rPr>
        <w:t>Eagle Materials Inc. - 2024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81" w:right="41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b w:val="1"/>
          <w:bCs w:val="1"/>
          <w:color w:val="auto"/>
        </w:rPr>
        <w:t>Certain Beneficial Owners</w:t>
      </w:r>
    </w:p>
    <w:p>
      <w:pPr>
        <w:spacing w:after="0" w:line="109"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table below provides informaton regarding the only persons we know of who are the benefcial owners of more than fve percent of our Common Stock. The number of shares of Common Stock shown in the table as benefcially owned by each person as of the most recent practcable date, which is generally the date as of which informaton is provided in the most recent benefcial ownership report fled by such person with the SEC. The percentage of our Common Stock shown in the table as owned by each person is calculated in accordance with applicable SEC rules based on the number of outstanding shares of Common Stock as of June 3, 2024, the record date for our annual meetng of stockholders.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Shares</w:t>
            </w:r>
          </w:p>
        </w:tc>
        <w:tc>
          <w:tcPr>
            <w:tcW w:w="18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Percentage of</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Benefcially</w:t>
            </w:r>
          </w:p>
        </w:tc>
        <w:tc>
          <w:tcPr>
            <w:tcW w:w="18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Common</w:t>
            </w:r>
          </w:p>
        </w:tc>
        <w:tc>
          <w:tcPr>
            <w:tcW w:w="0" w:type="dxa"/>
            <w:vAlign w:val="bottom"/>
          </w:tcPr>
          <w:p>
            <w:pPr>
              <w:spacing w:after="0"/>
              <w:rPr>
                <w:sz w:val="1"/>
                <w:szCs w:val="1"/>
                <w:color w:val="auto"/>
              </w:rPr>
            </w:pPr>
          </w:p>
        </w:tc>
      </w:tr>
      <w:tr>
        <w:trPr>
          <w:trHeight w:val="168"/>
        </w:trPr>
        <w:tc>
          <w:tcPr>
            <w:tcW w:w="1700" w:type="dxa"/>
            <w:vAlign w:val="bottom"/>
          </w:tcPr>
          <w:p>
            <w:pPr>
              <w:spacing w:after="0"/>
              <w:rPr>
                <w:sz w:val="14"/>
                <w:szCs w:val="14"/>
                <w:color w:val="auto"/>
              </w:rPr>
            </w:pPr>
          </w:p>
        </w:tc>
        <w:tc>
          <w:tcPr>
            <w:tcW w:w="5260" w:type="dxa"/>
            <w:vAlign w:val="bottom"/>
            <w:gridSpan w:val="3"/>
          </w:tcPr>
          <w:p>
            <w:pPr>
              <w:spacing w:after="0" w:line="169" w:lineRule="exact"/>
              <w:rPr>
                <w:sz w:val="20"/>
                <w:szCs w:val="20"/>
                <w:color w:val="auto"/>
              </w:rPr>
            </w:pPr>
            <w:r>
              <w:rPr>
                <w:rFonts w:ascii="Calibri" w:cs="Calibri" w:eastAsia="Calibri" w:hAnsi="Calibri"/>
                <w:sz w:val="14"/>
                <w:szCs w:val="14"/>
                <w:b w:val="1"/>
                <w:bCs w:val="1"/>
                <w:color w:val="auto"/>
              </w:rPr>
              <w:t>Name and Address of Benefcial Owner</w:t>
            </w: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Owned</w:t>
            </w:r>
          </w:p>
        </w:tc>
        <w:tc>
          <w:tcPr>
            <w:tcW w:w="180" w:type="dxa"/>
            <w:vAlign w:val="bottom"/>
          </w:tcPr>
          <w:p>
            <w:pPr>
              <w:spacing w:after="0"/>
              <w:rPr>
                <w:sz w:val="14"/>
                <w:szCs w:val="14"/>
                <w:color w:val="auto"/>
              </w:rPr>
            </w:pPr>
          </w:p>
        </w:tc>
        <w:tc>
          <w:tcPr>
            <w:tcW w:w="1260" w:type="dxa"/>
            <w:vAlign w:val="bottom"/>
            <w:gridSpan w:val="3"/>
          </w:tcPr>
          <w:p>
            <w:pPr>
              <w:jc w:val="center"/>
              <w:ind w:right="140"/>
              <w:spacing w:after="0" w:line="169" w:lineRule="exact"/>
              <w:rPr>
                <w:sz w:val="20"/>
                <w:szCs w:val="20"/>
                <w:color w:val="auto"/>
              </w:rPr>
            </w:pPr>
            <w:r>
              <w:rPr>
                <w:rFonts w:ascii="Calibri" w:cs="Calibri" w:eastAsia="Calibri" w:hAnsi="Calibri"/>
                <w:sz w:val="14"/>
                <w:szCs w:val="14"/>
                <w:b w:val="1"/>
                <w:bCs w:val="1"/>
                <w:color w:val="auto"/>
              </w:rPr>
              <w:t>Stock</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260" w:type="dxa"/>
            <w:vAlign w:val="bottom"/>
            <w:tcBorders>
              <w:bottom w:val="single" w:sz="8" w:color="CFF0FC"/>
            </w:tcBorders>
            <w:gridSpan w:val="3"/>
            <w:shd w:val="clear" w:color="auto" w:fill="CFF0FC"/>
          </w:tcPr>
          <w:p>
            <w:pPr>
              <w:spacing w:after="0" w:line="187" w:lineRule="exact"/>
              <w:rPr>
                <w:sz w:val="20"/>
                <w:szCs w:val="20"/>
                <w:color w:val="auto"/>
              </w:rPr>
            </w:pPr>
            <w:r>
              <w:rPr>
                <w:rFonts w:ascii="Calibri" w:cs="Calibri" w:eastAsia="Calibri" w:hAnsi="Calibri"/>
                <w:sz w:val="16"/>
                <w:szCs w:val="16"/>
                <w:color w:val="auto"/>
              </w:rPr>
              <w:t>The Vanguard Group (1)</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5260" w:type="dxa"/>
            <w:vAlign w:val="bottom"/>
            <w:gridSpan w:val="3"/>
            <w:shd w:val="clear" w:color="auto" w:fill="CFF0FC"/>
          </w:tcPr>
          <w:p>
            <w:pPr>
              <w:ind w:left="180"/>
              <w:spacing w:after="0" w:line="188" w:lineRule="exact"/>
              <w:rPr>
                <w:sz w:val="20"/>
                <w:szCs w:val="20"/>
                <w:color w:val="auto"/>
              </w:rPr>
            </w:pPr>
            <w:r>
              <w:rPr>
                <w:rFonts w:ascii="Calibri" w:cs="Calibri" w:eastAsia="Calibri" w:hAnsi="Calibri"/>
                <w:sz w:val="16"/>
                <w:szCs w:val="16"/>
                <w:color w:val="auto"/>
              </w:rPr>
              <w:t>100 Vanguard Blvd.</w:t>
            </w:r>
          </w:p>
        </w:tc>
        <w:tc>
          <w:tcPr>
            <w:tcW w:w="100" w:type="dxa"/>
            <w:vAlign w:val="bottom"/>
            <w:shd w:val="clear" w:color="auto" w:fill="CFF0FC"/>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3,926,337</w:t>
            </w:r>
          </w:p>
        </w:tc>
        <w:tc>
          <w:tcPr>
            <w:tcW w:w="1440" w:type="dxa"/>
            <w:vAlign w:val="bottom"/>
            <w:gridSpan w:val="4"/>
          </w:tcPr>
          <w:p>
            <w:pPr>
              <w:jc w:val="right"/>
              <w:spacing w:after="0" w:line="193" w:lineRule="exact"/>
              <w:rPr>
                <w:sz w:val="20"/>
                <w:szCs w:val="20"/>
                <w:color w:val="auto"/>
              </w:rPr>
            </w:pPr>
            <w:r>
              <w:rPr>
                <w:rFonts w:ascii="Calibri" w:cs="Calibri" w:eastAsia="Calibri" w:hAnsi="Calibri"/>
                <w:sz w:val="16"/>
                <w:szCs w:val="16"/>
                <w:color w:val="auto"/>
              </w:rPr>
              <w:t>11.6 %</w:t>
            </w:r>
          </w:p>
        </w:tc>
        <w:tc>
          <w:tcPr>
            <w:tcW w:w="0" w:type="dxa"/>
            <w:vAlign w:val="bottom"/>
          </w:tcPr>
          <w:p>
            <w:pPr>
              <w:spacing w:after="0"/>
              <w:rPr>
                <w:sz w:val="1"/>
                <w:szCs w:val="1"/>
                <w:color w:val="auto"/>
              </w:rPr>
            </w:pPr>
          </w:p>
        </w:tc>
      </w:tr>
      <w:tr>
        <w:trPr>
          <w:trHeight w:val="36"/>
        </w:trPr>
        <w:tc>
          <w:tcPr>
            <w:tcW w:w="1700" w:type="dxa"/>
            <w:vAlign w:val="bottom"/>
          </w:tcPr>
          <w:p>
            <w:pPr>
              <w:spacing w:after="0"/>
              <w:rPr>
                <w:sz w:val="3"/>
                <w:szCs w:val="3"/>
                <w:color w:val="auto"/>
              </w:rPr>
            </w:pPr>
          </w:p>
        </w:tc>
        <w:tc>
          <w:tcPr>
            <w:tcW w:w="5260" w:type="dxa"/>
            <w:vAlign w:val="bottom"/>
            <w:gridSpan w:val="3"/>
            <w:vMerge w:val="restart"/>
            <w:shd w:val="clear" w:color="auto" w:fill="CFF0FC"/>
          </w:tcPr>
          <w:p>
            <w:pPr>
              <w:ind w:left="180"/>
              <w:spacing w:after="0"/>
              <w:rPr>
                <w:sz w:val="20"/>
                <w:szCs w:val="20"/>
                <w:color w:val="auto"/>
              </w:rPr>
            </w:pPr>
            <w:r>
              <w:rPr>
                <w:rFonts w:ascii="Calibri" w:cs="Calibri" w:eastAsia="Calibri" w:hAnsi="Calibri"/>
                <w:sz w:val="16"/>
                <w:szCs w:val="16"/>
                <w:color w:val="auto"/>
              </w:rPr>
              <w:t>Malvern, PA 19355</w:t>
            </w:r>
          </w:p>
        </w:tc>
        <w:tc>
          <w:tcPr>
            <w:tcW w:w="100" w:type="dxa"/>
            <w:vAlign w:val="bottom"/>
            <w:shd w:val="clear" w:color="auto" w:fill="CFF0FC"/>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tcBorders>
              <w:bottom w:val="single" w:sz="8" w:color="CFF0FC"/>
            </w:tcBorders>
            <w:gridSpan w:val="3"/>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5260" w:type="dxa"/>
            <w:vAlign w:val="bottom"/>
            <w:gridSpan w:val="3"/>
          </w:tcPr>
          <w:p>
            <w:pPr>
              <w:spacing w:after="0" w:line="193" w:lineRule="exact"/>
              <w:rPr>
                <w:sz w:val="20"/>
                <w:szCs w:val="20"/>
                <w:color w:val="auto"/>
              </w:rPr>
            </w:pPr>
            <w:r>
              <w:rPr>
                <w:rFonts w:ascii="Calibri" w:cs="Calibri" w:eastAsia="Calibri" w:hAnsi="Calibri"/>
                <w:sz w:val="16"/>
                <w:szCs w:val="16"/>
                <w:color w:val="auto"/>
              </w:rPr>
              <w:t>BlackRock, Inc. (2)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5260" w:type="dxa"/>
            <w:vAlign w:val="bottom"/>
            <w:gridSpan w:val="3"/>
          </w:tcPr>
          <w:p>
            <w:pPr>
              <w:ind w:left="180"/>
              <w:spacing w:after="0"/>
              <w:rPr>
                <w:sz w:val="20"/>
                <w:szCs w:val="20"/>
                <w:color w:val="auto"/>
              </w:rPr>
            </w:pPr>
            <w:r>
              <w:rPr>
                <w:rFonts w:ascii="Calibri" w:cs="Calibri" w:eastAsia="Calibri" w:hAnsi="Calibri"/>
                <w:sz w:val="16"/>
                <w:szCs w:val="16"/>
                <w:color w:val="auto"/>
              </w:rPr>
              <w:t>55 East 52nd Street</w:t>
            </w:r>
          </w:p>
        </w:tc>
        <w:tc>
          <w:tcPr>
            <w:tcW w:w="1220" w:type="dxa"/>
            <w:vAlign w:val="bottom"/>
            <w:gridSpan w:val="2"/>
          </w:tcPr>
          <w:p>
            <w:pPr>
              <w:jc w:val="right"/>
              <w:spacing w:after="0"/>
              <w:rPr>
                <w:sz w:val="20"/>
                <w:szCs w:val="20"/>
                <w:color w:val="auto"/>
              </w:rPr>
            </w:pPr>
            <w:r>
              <w:rPr>
                <w:rFonts w:ascii="Calibri" w:cs="Calibri" w:eastAsia="Calibri" w:hAnsi="Calibri"/>
                <w:sz w:val="16"/>
                <w:szCs w:val="16"/>
                <w:color w:val="auto"/>
              </w:rPr>
              <w:t>3,137,687</w:t>
            </w:r>
          </w:p>
        </w:tc>
        <w:tc>
          <w:tcPr>
            <w:tcW w:w="1440" w:type="dxa"/>
            <w:vAlign w:val="bottom"/>
            <w:gridSpan w:val="4"/>
          </w:tcPr>
          <w:p>
            <w:pPr>
              <w:jc w:val="right"/>
              <w:spacing w:after="0"/>
              <w:rPr>
                <w:sz w:val="20"/>
                <w:szCs w:val="20"/>
                <w:color w:val="auto"/>
              </w:rPr>
            </w:pPr>
            <w:r>
              <w:rPr>
                <w:rFonts w:ascii="Calibri" w:cs="Calibri" w:eastAsia="Calibri" w:hAnsi="Calibri"/>
                <w:sz w:val="16"/>
                <w:szCs w:val="16"/>
                <w:color w:val="auto"/>
              </w:rPr>
              <w:t>9.3 %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60" w:type="dxa"/>
            <w:vAlign w:val="bottom"/>
            <w:gridSpan w:val="3"/>
          </w:tcPr>
          <w:p>
            <w:pPr>
              <w:ind w:left="180"/>
              <w:spacing w:after="0"/>
              <w:rPr>
                <w:sz w:val="20"/>
                <w:szCs w:val="20"/>
                <w:color w:val="auto"/>
              </w:rPr>
            </w:pPr>
            <w:r>
              <w:rPr>
                <w:rFonts w:ascii="Calibri" w:cs="Calibri" w:eastAsia="Calibri" w:hAnsi="Calibri"/>
                <w:sz w:val="16"/>
                <w:szCs w:val="16"/>
                <w:color w:val="auto"/>
              </w:rPr>
              <w:t>New York, NY 10055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tcBorders>
              <w:bottom w:val="single" w:sz="8" w:color="CFF0FC"/>
            </w:tcBorders>
            <w:gridSpan w:val="3"/>
            <w:shd w:val="clear" w:color="auto" w:fill="CFF0FC"/>
          </w:tcPr>
          <w:p>
            <w:pPr>
              <w:spacing w:after="0" w:line="193" w:lineRule="exact"/>
              <w:rPr>
                <w:sz w:val="20"/>
                <w:szCs w:val="20"/>
                <w:color w:val="auto"/>
              </w:rPr>
            </w:pPr>
            <w:r>
              <w:rPr>
                <w:rFonts w:ascii="Calibri" w:cs="Calibri" w:eastAsia="Calibri" w:hAnsi="Calibri"/>
                <w:sz w:val="16"/>
                <w:szCs w:val="16"/>
                <w:color w:val="auto"/>
              </w:rPr>
              <w:t>FMR LLC (3)</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5260" w:type="dxa"/>
            <w:vAlign w:val="bottom"/>
            <w:gridSpan w:val="3"/>
            <w:shd w:val="clear" w:color="auto" w:fill="CFF0FC"/>
          </w:tcPr>
          <w:p>
            <w:pPr>
              <w:ind w:left="180"/>
              <w:spacing w:after="0" w:line="188" w:lineRule="exact"/>
              <w:rPr>
                <w:sz w:val="20"/>
                <w:szCs w:val="20"/>
                <w:color w:val="auto"/>
              </w:rPr>
            </w:pPr>
            <w:r>
              <w:rPr>
                <w:rFonts w:ascii="Calibri" w:cs="Calibri" w:eastAsia="Calibri" w:hAnsi="Calibri"/>
                <w:sz w:val="16"/>
                <w:szCs w:val="16"/>
                <w:color w:val="auto"/>
              </w:rPr>
              <w:t>245 Summer Street</w:t>
            </w:r>
          </w:p>
        </w:tc>
        <w:tc>
          <w:tcPr>
            <w:tcW w:w="100" w:type="dxa"/>
            <w:vAlign w:val="bottom"/>
            <w:shd w:val="clear" w:color="auto" w:fill="CFF0FC"/>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2,540,915</w:t>
            </w:r>
          </w:p>
        </w:tc>
        <w:tc>
          <w:tcPr>
            <w:tcW w:w="1440" w:type="dxa"/>
            <w:vAlign w:val="bottom"/>
            <w:gridSpan w:val="4"/>
          </w:tcPr>
          <w:p>
            <w:pPr>
              <w:jc w:val="right"/>
              <w:spacing w:after="0" w:line="193" w:lineRule="exact"/>
              <w:rPr>
                <w:sz w:val="20"/>
                <w:szCs w:val="20"/>
                <w:color w:val="auto"/>
              </w:rPr>
            </w:pPr>
            <w:r>
              <w:rPr>
                <w:rFonts w:ascii="Calibri" w:cs="Calibri" w:eastAsia="Calibri" w:hAnsi="Calibri"/>
                <w:sz w:val="16"/>
                <w:szCs w:val="16"/>
                <w:color w:val="auto"/>
              </w:rPr>
              <w:t>7.5 %</w:t>
            </w:r>
          </w:p>
        </w:tc>
        <w:tc>
          <w:tcPr>
            <w:tcW w:w="0" w:type="dxa"/>
            <w:vAlign w:val="bottom"/>
          </w:tcPr>
          <w:p>
            <w:pPr>
              <w:spacing w:after="0"/>
              <w:rPr>
                <w:sz w:val="1"/>
                <w:szCs w:val="1"/>
                <w:color w:val="auto"/>
              </w:rPr>
            </w:pPr>
          </w:p>
        </w:tc>
      </w:tr>
      <w:tr>
        <w:trPr>
          <w:trHeight w:val="36"/>
        </w:trPr>
        <w:tc>
          <w:tcPr>
            <w:tcW w:w="1700" w:type="dxa"/>
            <w:vAlign w:val="bottom"/>
          </w:tcPr>
          <w:p>
            <w:pPr>
              <w:spacing w:after="0"/>
              <w:rPr>
                <w:sz w:val="3"/>
                <w:szCs w:val="3"/>
                <w:color w:val="auto"/>
              </w:rPr>
            </w:pPr>
          </w:p>
        </w:tc>
        <w:tc>
          <w:tcPr>
            <w:tcW w:w="5260" w:type="dxa"/>
            <w:vAlign w:val="bottom"/>
            <w:gridSpan w:val="3"/>
            <w:vMerge w:val="restart"/>
            <w:shd w:val="clear" w:color="auto" w:fill="CFF0FC"/>
          </w:tcPr>
          <w:p>
            <w:pPr>
              <w:ind w:left="180"/>
              <w:spacing w:after="0"/>
              <w:rPr>
                <w:sz w:val="20"/>
                <w:szCs w:val="20"/>
                <w:color w:val="auto"/>
              </w:rPr>
            </w:pPr>
            <w:r>
              <w:rPr>
                <w:rFonts w:ascii="Calibri" w:cs="Calibri" w:eastAsia="Calibri" w:hAnsi="Calibri"/>
                <w:sz w:val="16"/>
                <w:szCs w:val="16"/>
                <w:color w:val="auto"/>
              </w:rPr>
              <w:t>Boston, MA 02210</w:t>
            </w:r>
          </w:p>
        </w:tc>
        <w:tc>
          <w:tcPr>
            <w:tcW w:w="100" w:type="dxa"/>
            <w:vAlign w:val="bottom"/>
            <w:shd w:val="clear" w:color="auto" w:fill="CFF0FC"/>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tcBorders>
              <w:bottom w:val="single" w:sz="8" w:color="CFF0FC"/>
            </w:tcBorders>
            <w:gridSpan w:val="3"/>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-1310640</wp:posOffset>
            </wp:positionV>
            <wp:extent cx="16459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459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-436245</wp:posOffset>
            </wp:positionV>
            <wp:extent cx="16459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45920" cy="1460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right="20" w:hanging="372"/>
        <w:spacing w:after="0" w:line="235" w:lineRule="auto"/>
        <w:tabs>
          <w:tab w:leader="none" w:pos="38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Based solely on the informaton contained in a Schedule 13G/A fled with the SEC on February 13, 2024. Of the shares reported in the Schedule 13G/A, The Vanguard Group has (i) shared votng power with respect to 15,975 shares; (ii) sole dispositve power with respect to 3,874,772 shares; and (iii) shared dispositve power with respect to 51,565 shares.</w:t>
      </w:r>
    </w:p>
    <w:p>
      <w:pPr>
        <w:spacing w:after="0" w:line="110" w:lineRule="exact"/>
        <w:rPr>
          <w:rFonts w:ascii="Calibri" w:cs="Calibri" w:eastAsia="Calibri" w:hAnsi="Calibri"/>
          <w:sz w:val="18"/>
          <w:szCs w:val="18"/>
          <w:color w:val="auto"/>
        </w:rPr>
      </w:pPr>
    </w:p>
    <w:p>
      <w:pPr>
        <w:ind w:left="380" w:right="100" w:hanging="372"/>
        <w:spacing w:after="0" w:line="235" w:lineRule="auto"/>
        <w:tabs>
          <w:tab w:leader="none" w:pos="38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Based solely on the informaton contained in a Schedule 13G/A fled with the SEC on January 25, 2024. Of the shares reported in the Schedule 13G/A, BlackRock, Inc. has sole votng power with respect to 3,073,605 shares and sole dispositve power with respect to 3,137,687 shares.</w:t>
      </w:r>
    </w:p>
    <w:p>
      <w:pPr>
        <w:spacing w:after="0" w:line="109" w:lineRule="exact"/>
        <w:rPr>
          <w:rFonts w:ascii="Calibri" w:cs="Calibri" w:eastAsia="Calibri" w:hAnsi="Calibri"/>
          <w:sz w:val="18"/>
          <w:szCs w:val="18"/>
          <w:color w:val="auto"/>
        </w:rPr>
      </w:pPr>
    </w:p>
    <w:p>
      <w:pPr>
        <w:ind w:left="380" w:right="120" w:hanging="372"/>
        <w:spacing w:after="0" w:line="235" w:lineRule="auto"/>
        <w:tabs>
          <w:tab w:leader="none" w:pos="38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Based solely on the informaton contained in a Schedule 13G/A fled with the SEC on February 9, 2024. Of the shares reported in the Schedule 13G/A, FMR LLC has sole votng power with respect to 2,538,965 shares and sole dispositve power with respect to 2,540,9153 shares.</w:t>
      </w:r>
    </w:p>
    <w:p>
      <w:pPr>
        <w:spacing w:after="0" w:line="2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Eagle Materials Inc. - 2024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0" w:right="47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b w:val="1"/>
          <w:bCs w:val="1"/>
          <w:color w:val="auto"/>
        </w:rPr>
        <w:t>Related Party Transactons</w:t>
      </w:r>
    </w:p>
    <w:p>
      <w:pPr>
        <w:spacing w:after="0" w:line="217" w:lineRule="exact"/>
        <w:rPr>
          <w:sz w:val="20"/>
          <w:szCs w:val="20"/>
          <w:color w:val="auto"/>
        </w:rPr>
      </w:pPr>
    </w:p>
    <w:p>
      <w:pPr>
        <w:jc w:val="both"/>
        <w:ind w:right="100" w:firstLine="749"/>
        <w:spacing w:after="0" w:line="235" w:lineRule="auto"/>
        <w:rPr>
          <w:sz w:val="20"/>
          <w:szCs w:val="20"/>
          <w:color w:val="auto"/>
        </w:rPr>
      </w:pPr>
      <w:r>
        <w:rPr>
          <w:rFonts w:ascii="Calibri" w:cs="Calibri" w:eastAsia="Calibri" w:hAnsi="Calibri"/>
          <w:sz w:val="18"/>
          <w:szCs w:val="18"/>
          <w:color w:val="auto"/>
        </w:rPr>
        <w:t>Our code of conduct adopted by the Board, which we refer to as “The Eagle Way,” includes provisions addressing conficts of interest which arise when a director, ofcer, or employee has an interest in a transacton in which the Company is a partcipant. The Eagle Way defnes a confict of interest as an actvity, investment or associaton that interferes or might appear to interfere with the judgment or objectvity of an ofcer or employee in performing his or her job in the best interests of the Company and our shareholders.</w:t>
      </w:r>
    </w:p>
    <w:p>
      <w:pPr>
        <w:spacing w:after="0" w:line="219" w:lineRule="exact"/>
        <w:rPr>
          <w:sz w:val="20"/>
          <w:szCs w:val="20"/>
          <w:color w:val="auto"/>
        </w:rPr>
      </w:pPr>
    </w:p>
    <w:p>
      <w:pPr>
        <w:ind w:right="60" w:firstLine="749"/>
        <w:spacing w:after="0" w:line="251" w:lineRule="auto"/>
        <w:rPr>
          <w:sz w:val="20"/>
          <w:szCs w:val="20"/>
          <w:color w:val="auto"/>
        </w:rPr>
      </w:pPr>
      <w:r>
        <w:rPr>
          <w:rFonts w:ascii="Calibri" w:cs="Calibri" w:eastAsia="Calibri" w:hAnsi="Calibri"/>
          <w:sz w:val="17"/>
          <w:szCs w:val="17"/>
          <w:color w:val="auto"/>
        </w:rPr>
        <w:t>Under The Eagle Way, ofcers or employees are encouraged to consult with their supervisors regarding any mater that may involve a confict of interest. In additon, The Eagle Way requires that prior approval of the supervisor of an ofcer or employee, the president of the Eagle business unit in which such ofcer or employee is employed, and the Company’s general counsel before: (1) obtaining an ownership interest in, or positon with, an Eagle supplier, contractor, customer or compettor, subject to certain exceptons relatng to the ownership of publicly traded securites; (2) employing any relatves where there is either a direct or indirect reportng relatonship or a substantal amount of interacton between the relatves on the job; or (3) establishing a business relatonship between Eagle and a company in which the ofcer or employee or his or her relatve has an ownership interest or holds a positon.</w:t>
      </w:r>
    </w:p>
    <w:p>
      <w:pPr>
        <w:spacing w:after="0" w:line="210" w:lineRule="exact"/>
        <w:rPr>
          <w:sz w:val="20"/>
          <w:szCs w:val="20"/>
          <w:color w:val="auto"/>
        </w:rPr>
      </w:pPr>
    </w:p>
    <w:p>
      <w:pPr>
        <w:ind w:right="20" w:firstLine="749"/>
        <w:spacing w:after="0" w:line="250" w:lineRule="auto"/>
        <w:rPr>
          <w:sz w:val="20"/>
          <w:szCs w:val="20"/>
          <w:color w:val="auto"/>
        </w:rPr>
      </w:pPr>
      <w:r>
        <w:rPr>
          <w:rFonts w:ascii="Calibri" w:cs="Calibri" w:eastAsia="Calibri" w:hAnsi="Calibri"/>
          <w:sz w:val="17"/>
          <w:szCs w:val="17"/>
          <w:color w:val="auto"/>
        </w:rPr>
        <w:t>In additon to the above policies included in The Eagle Way, we have implemented certain informal processes in connecton with transactons with related persons. For example, the Company’s legal staf is primarily responsible for the development of processes to obtain informaton from the directors and executve ofcers with respect to related person transactons and for determining, based on the facts and circumstances, whether the related person has a direct or indirect material interest in the transacton. In additon, all of our employees, executve ofcers and directors are required to disclose any conficts of interest in an annual certfcaton reviewed by our Legal Department. Afer disclosure, some conficts of interest may be resolved through implementng appropriate controls for our protecton. Depending on the identty of the ofcer or employee involved in a transacton creatng a potental confict of interest, the confict of interest may be resolved by the Company’s legal staf or may be referred to the Audit Commitee. Where an appropriately disclosed confict of interest is minor and not likely to adversely impact us, we may consent to the actvity. Such consent may be subject to appropriate controls intended to ensure that transacton as implemented is not adverse to the Company. In other cases where appropriate controls are not feasible, the person involved will be requested not to enter into, or to discontnue, the relevant transacton or relatonship. If a potental confict arises concerning a director or ofcer of the Company, the potental confict is disclosed to the Chair of the Audit Commitee of the Board for review and dispositon. As required under SEC rules, transactons that are determined to be directly or indirectly material to the Company or a related person are disclosed in the annual proxy statement.</w:t>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Insider Trading and Prohibited Transactons in Company Securites</w:t>
      </w:r>
    </w:p>
    <w:p>
      <w:pPr>
        <w:spacing w:after="0" w:line="217"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The Company maintains insider trading policies and procedures governing the purchase, sale, and/or other dispositons of Company securites by directors, executve ofcers, and employees, that it believes are reasonably designed to promote compliance with insider trading laws, rules, and regulatons, as well as the NYSE Corporate Governance Standards. Persons subject to the policies and procedures are prohibited from trading while aware of material, nonpublic informaton. These policies and procedures provide for restricted periods and pre-clearance procedures for insiders.</w:t>
      </w:r>
    </w:p>
    <w:p>
      <w:pPr>
        <w:spacing w:after="0" w:line="219"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Under our insider trading policy, the Company’s directors, ofcers and employees are prohibited from engaging in certain transactons in the Company’s securites which, though legal, might give the appearance of misalignment with stockholders or potentally result in involuntary sales of Company securites held by insiders. The transactons specifcally prohibited by the policy are:</w:t>
      </w:r>
    </w:p>
    <w:p>
      <w:pPr>
        <w:spacing w:after="0" w:line="232" w:lineRule="exact"/>
        <w:rPr>
          <w:sz w:val="20"/>
          <w:szCs w:val="20"/>
          <w:color w:val="auto"/>
        </w:rPr>
      </w:pPr>
    </w:p>
    <w:p>
      <w:pPr>
        <w:ind w:left="1500" w:right="80" w:hanging="369"/>
        <w:spacing w:after="0" w:line="235" w:lineRule="auto"/>
        <w:tabs>
          <w:tab w:leader="none" w:pos="1500" w:val="left"/>
        </w:tabs>
        <w:numPr>
          <w:ilvl w:val="0"/>
          <w:numId w:val="6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short sales, which may evidence an expectaton on the part of the seller/insider that the securites will decline in value and signal to the market a lack of confdence in the Company’s short-term prospects;</w:t>
      </w:r>
    </w:p>
    <w:p>
      <w:pPr>
        <w:spacing w:after="0" w:line="231" w:lineRule="exact"/>
        <w:rPr>
          <w:rFonts w:ascii="Times New Roman" w:cs="Times New Roman" w:eastAsia="Times New Roman" w:hAnsi="Times New Roman"/>
          <w:sz w:val="18"/>
          <w:szCs w:val="18"/>
          <w:color w:val="auto"/>
        </w:rPr>
      </w:pPr>
    </w:p>
    <w:p>
      <w:pPr>
        <w:ind w:left="1500" w:right="140" w:hanging="369"/>
        <w:spacing w:after="0" w:line="258" w:lineRule="auto"/>
        <w:tabs>
          <w:tab w:leader="none" w:pos="1500" w:val="left"/>
        </w:tabs>
        <w:numPr>
          <w:ilvl w:val="0"/>
          <w:numId w:val="63"/>
        </w:numPr>
        <w:rPr>
          <w:rFonts w:ascii="Times New Roman" w:cs="Times New Roman" w:eastAsia="Times New Roman" w:hAnsi="Times New Roman"/>
          <w:sz w:val="17"/>
          <w:szCs w:val="17"/>
          <w:color w:val="auto"/>
        </w:rPr>
      </w:pPr>
      <w:r>
        <w:rPr>
          <w:rFonts w:ascii="Calibri" w:cs="Calibri" w:eastAsia="Calibri" w:hAnsi="Calibri"/>
          <w:sz w:val="17"/>
          <w:szCs w:val="17"/>
          <w:color w:val="auto"/>
        </w:rPr>
        <w:t>publicly-traded optons (examples include puts, calls and other derivatve securites involving Company securites, on an exchange or in any other organized market), which may create the appearance that an insider is trading based on material, nonpublic informaton;</w:t>
      </w:r>
    </w:p>
    <w:p>
      <w:pPr>
        <w:spacing w:after="0" w:line="215" w:lineRule="exact"/>
        <w:rPr>
          <w:rFonts w:ascii="Times New Roman" w:cs="Times New Roman" w:eastAsia="Times New Roman" w:hAnsi="Times New Roman"/>
          <w:sz w:val="17"/>
          <w:szCs w:val="17"/>
          <w:color w:val="auto"/>
        </w:rPr>
      </w:pPr>
    </w:p>
    <w:p>
      <w:pPr>
        <w:ind w:left="1500" w:hanging="369"/>
        <w:spacing w:after="0" w:line="235" w:lineRule="auto"/>
        <w:tabs>
          <w:tab w:leader="none" w:pos="1500" w:val="left"/>
        </w:tabs>
        <w:numPr>
          <w:ilvl w:val="0"/>
          <w:numId w:val="6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hedging transactons (examples include zero-cost collars and forward sale contracts), which allow a holder to lock in much of the value of his or her stock holdings, ofen in exchange for all or part of the potental upside appreciaton in the stock--creatng a potental mis-alignment with the objectves of the Company’s other stockholders); and</w:t>
      </w:r>
    </w:p>
    <w:p>
      <w:pPr>
        <w:spacing w:after="0" w:line="9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78" w:name="page79"/>
    <w:bookmarkEnd w:id="78"/>
    <w:p>
      <w:pPr>
        <w:ind w:left="1500" w:right="300" w:hanging="369"/>
        <w:spacing w:after="0" w:line="235" w:lineRule="auto"/>
        <w:tabs>
          <w:tab w:leader="none" w:pos="1500" w:val="left"/>
        </w:tabs>
        <w:numPr>
          <w:ilvl w:val="0"/>
          <w:numId w:val="6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pledging Company securites or holding Company securites in a margin account, which might result in involuntary sales of Company securites (including during trading blackouts) in the context of a margin call or foreclosure.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 of Conduct</w:t>
      </w:r>
    </w:p>
    <w:p>
      <w:pPr>
        <w:spacing w:after="0" w:line="217"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The Company’s code of conduct, The Eagle Way, applies to all of the Company’s employees, including the Company’s ofcers. The Eagle Way also applies to the Board of Directors. The Company’s code of conduct is designed to deter wrongdoing and to promote:</w:t>
      </w:r>
    </w:p>
    <w:p>
      <w:pPr>
        <w:spacing w:after="0" w:line="231" w:lineRule="exact"/>
        <w:rPr>
          <w:sz w:val="20"/>
          <w:szCs w:val="20"/>
          <w:color w:val="auto"/>
        </w:rPr>
      </w:pPr>
    </w:p>
    <w:p>
      <w:pPr>
        <w:ind w:left="1500" w:right="80" w:hanging="369"/>
        <w:spacing w:after="0" w:line="235" w:lineRule="auto"/>
        <w:tabs>
          <w:tab w:leader="none" w:pos="1500" w:val="left"/>
        </w:tabs>
        <w:numPr>
          <w:ilvl w:val="0"/>
          <w:numId w:val="65"/>
        </w:numPr>
        <w:rPr>
          <w:rFonts w:ascii="Times New Roman" w:cs="Times New Roman" w:eastAsia="Times New Roman" w:hAnsi="Times New Roman"/>
          <w:sz w:val="18"/>
          <w:szCs w:val="18"/>
          <w:color w:val="auto"/>
        </w:rPr>
      </w:pPr>
      <w:r>
        <w:rPr>
          <w:rFonts w:ascii="Calibri" w:cs="Calibri" w:eastAsia="Calibri" w:hAnsi="Calibri"/>
          <w:sz w:val="18"/>
          <w:szCs w:val="18"/>
          <w:color w:val="auto"/>
        </w:rPr>
        <w:t>honest and ethical conduct, including the ethical handling of actual or apparent conficts of interest between personal and professional relatonships;</w:t>
      </w:r>
    </w:p>
    <w:p>
      <w:pPr>
        <w:spacing w:after="0" w:line="22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applicable governmental laws, rules and regulatons;</w:t>
      </w:r>
    </w:p>
    <w:p>
      <w:pPr>
        <w:spacing w:after="0" w:line="230" w:lineRule="exact"/>
        <w:rPr>
          <w:rFonts w:ascii="Times New Roman" w:cs="Times New Roman" w:eastAsia="Times New Roman" w:hAnsi="Times New Roman"/>
          <w:sz w:val="18"/>
          <w:szCs w:val="18"/>
          <w:color w:val="auto"/>
        </w:rPr>
      </w:pPr>
    </w:p>
    <w:p>
      <w:pPr>
        <w:ind w:left="1500" w:hanging="369"/>
        <w:spacing w:after="0" w:line="235" w:lineRule="auto"/>
        <w:tabs>
          <w:tab w:leader="none" w:pos="1500" w:val="left"/>
        </w:tabs>
        <w:numPr>
          <w:ilvl w:val="0"/>
          <w:numId w:val="6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prompt internal reportng of violatons of the code of conduct to an appropriate person or persons identfed in the code of conduct; and</w:t>
      </w:r>
    </w:p>
    <w:p>
      <w:pPr>
        <w:spacing w:after="0" w:line="22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accountability for adherence to the code of conduct.</w:t>
      </w:r>
    </w:p>
    <w:p>
      <w:pPr>
        <w:spacing w:after="0" w:line="217" w:lineRule="exact"/>
        <w:rPr>
          <w:sz w:val="20"/>
          <w:szCs w:val="20"/>
          <w:color w:val="auto"/>
        </w:rPr>
      </w:pPr>
    </w:p>
    <w:p>
      <w:pPr>
        <w:ind w:firstLine="749"/>
        <w:spacing w:after="0" w:line="251" w:lineRule="auto"/>
        <w:rPr>
          <w:sz w:val="20"/>
          <w:szCs w:val="20"/>
          <w:color w:val="auto"/>
        </w:rPr>
      </w:pPr>
      <w:r>
        <w:rPr>
          <w:rFonts w:ascii="Calibri" w:cs="Calibri" w:eastAsia="Calibri" w:hAnsi="Calibri"/>
          <w:sz w:val="17"/>
          <w:szCs w:val="17"/>
          <w:color w:val="auto"/>
        </w:rPr>
        <w:t xml:space="preserve">All of the Company’s employees and directors are required to certfy to the Company, on an annual basis, that they have complied with the Company’s code of conduct without excepton or, if they have not so complied, to list the exceptons. The Company has posted the text of its code of conduct on its Internet website at </w:t>
      </w:r>
      <w:r>
        <w:rPr>
          <w:rFonts w:ascii="Calibri" w:cs="Calibri" w:eastAsia="Calibri" w:hAnsi="Calibri"/>
          <w:sz w:val="17"/>
          <w:szCs w:val="17"/>
          <w:i w:val="1"/>
          <w:iCs w:val="1"/>
          <w:color w:val="auto"/>
        </w:rPr>
        <w:t>www.eaglematerials.com</w:t>
      </w:r>
      <w:r>
        <w:rPr>
          <w:rFonts w:ascii="Calibri" w:cs="Calibri" w:eastAsia="Calibri" w:hAnsi="Calibri"/>
          <w:sz w:val="17"/>
          <w:szCs w:val="17"/>
          <w:color w:val="auto"/>
        </w:rPr>
        <w:t xml:space="preserve"> (click on “Investor Relatons”, then on “Corporate Governance”, then on “The Eagle Way” under the heading “Code of Ethics”). Additonally, the Company will provide without charge a copy of the code of conduct to any person upon writen request to our Secretary at our principal executve ofce. This reference to our website is intended to inform investors where they may obtain additonal informaton; the materials and other informaton presented on our website are not incorporated in and should not be considered part of this proxy statement.</w:t>
      </w:r>
    </w:p>
    <w:p>
      <w:pPr>
        <w:spacing w:after="0" w:line="306"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Eagle Materials Inc. - 2024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79" w:name="page80"/>
    <w:bookmarkEnd w:id="79"/>
    <w:p>
      <w:pPr>
        <w:jc w:val="center"/>
        <w:ind w:right="-19"/>
        <w:spacing w:after="0"/>
        <w:rPr>
          <w:sz w:val="20"/>
          <w:szCs w:val="20"/>
          <w:color w:val="auto"/>
        </w:rPr>
      </w:pPr>
      <w:r>
        <w:rPr>
          <w:rFonts w:ascii="Calibri" w:cs="Calibri" w:eastAsia="Calibri" w:hAnsi="Calibri"/>
          <w:sz w:val="25"/>
          <w:szCs w:val="25"/>
          <w:b w:val="1"/>
          <w:bCs w:val="1"/>
          <w:color w:val="4472C4"/>
        </w:rPr>
        <w:t>PROPOSAL NO. 2: ADVISORY VOTE TO APPROVE COMPENSATION</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4472C4"/>
        </w:rPr>
        <w:t>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As required pursuant to Secton 14A of the Securites Exchange Act of 1934, as amended, we are seeking your advisory vote approving the compensaton paid to our Named Executve Ofcers as disclosed in this proxy statement, commonly known as the "say-on-pay" vote. We believe the structure of our executve compensaton programs promotes our business objectves, aligns executves’ interests with those of stockholders and serves to motvate, atract and retain executve talent. We currently hold a say-on-pay vote annually and our next say-on-pay vote is expected to occur at our 2025 annual meetng of stockholders.</w:t>
      </w:r>
    </w:p>
    <w:p>
      <w:pPr>
        <w:spacing w:after="0" w:line="207"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We urge stockholders to read the “Compensaton Discussion and Analysis” secton of this Proxy Statement, which describes in more detail how our executve compensaton policies and programs operate. We are seeking stockholder approval of the following advisory resoluton: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5768975" cy="7543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68975" cy="754380"/>
                    </a:xfrm>
                    <a:prstGeom prst="rect">
                      <a:avLst/>
                    </a:prstGeom>
                    <a:noFill/>
                  </pic:spPr>
                </pic:pic>
              </a:graphicData>
            </a:graphic>
          </wp:anchor>
        </w:drawing>
      </w:r>
    </w:p>
    <w:p>
      <w:pPr>
        <w:spacing w:after="0" w:line="360" w:lineRule="exact"/>
        <w:rPr>
          <w:sz w:val="20"/>
          <w:szCs w:val="20"/>
          <w:color w:val="auto"/>
        </w:rPr>
      </w:pPr>
    </w:p>
    <w:p>
      <w:pPr>
        <w:ind w:left="1180" w:right="1540" w:firstLine="324"/>
        <w:spacing w:after="0" w:line="235" w:lineRule="auto"/>
        <w:rPr>
          <w:sz w:val="20"/>
          <w:szCs w:val="20"/>
          <w:color w:val="auto"/>
        </w:rPr>
      </w:pPr>
      <w:r>
        <w:rPr>
          <w:rFonts w:ascii="Calibri" w:cs="Calibri" w:eastAsia="Calibri" w:hAnsi="Calibri"/>
          <w:sz w:val="18"/>
          <w:szCs w:val="18"/>
          <w:b w:val="1"/>
          <w:bCs w:val="1"/>
          <w:color w:val="auto"/>
        </w:rPr>
        <w:t xml:space="preserve">RESOLVED, </w:t>
      </w:r>
      <w:r>
        <w:rPr>
          <w:rFonts w:ascii="Calibri" w:cs="Calibri" w:eastAsia="Calibri" w:hAnsi="Calibri"/>
          <w:sz w:val="18"/>
          <w:szCs w:val="18"/>
          <w:color w:val="auto"/>
        </w:rPr>
        <w:t>that the compensaton paid to the Company’s Named Executve Ofcers, as disclosed pursuant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compensaton disclosure rules of the Securites and Exchange Commission, including the Compensaton Discussion and Analysis, the compensaton tables and the related material disclosed in this Proxy Statement, is hereby approved by the stockholders of the Company on an advisory basis.</w:t>
      </w:r>
    </w:p>
    <w:p>
      <w:pPr>
        <w:spacing w:after="0" w:line="200" w:lineRule="exact"/>
        <w:rPr>
          <w:sz w:val="20"/>
          <w:szCs w:val="20"/>
          <w:color w:val="auto"/>
        </w:rPr>
      </w:pPr>
    </w:p>
    <w:p>
      <w:pPr>
        <w:spacing w:after="0" w:line="289"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Although the vote on this proposal is advisory and nonbinding, the Compensaton Commitee and the Board will review the results of the vote and consider them when making future determinatons regarding our executve compensaton programs. The afrmatve vote of a majority of the shares present in person or represented by proxy at the meetng and enttled to vote thereon is required for the approval of the foregoing resoluton. Broker non-votes are not enttled to vote on this proposal, and therefore they have no efect on the approval of the proposal. An abstenton will have the same efect as a vote against the proposal.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109" w:lineRule="exact"/>
        <w:rPr>
          <w:sz w:val="20"/>
          <w:szCs w:val="20"/>
          <w:color w:val="auto"/>
        </w:rPr>
      </w:pPr>
    </w:p>
    <w:p>
      <w:pPr>
        <w:ind w:right="120" w:firstLine="749"/>
        <w:spacing w:after="0" w:line="235" w:lineRule="auto"/>
        <w:rPr>
          <w:sz w:val="20"/>
          <w:szCs w:val="20"/>
          <w:color w:val="auto"/>
        </w:rPr>
      </w:pPr>
      <w:r>
        <w:rPr>
          <w:rFonts w:ascii="Calibri" w:cs="Calibri" w:eastAsia="Calibri" w:hAnsi="Calibri"/>
          <w:sz w:val="18"/>
          <w:szCs w:val="18"/>
          <w:b w:val="1"/>
          <w:bCs w:val="1"/>
          <w:color w:val="auto"/>
        </w:rPr>
        <w:t>Our Board of Directors recommends that holders of Common Stock vote FOR the non-binding advisory resoluton approving the compensaton paid to our Named Executve Ofcers.</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80" w:name="page81"/>
    <w:bookmarkEnd w:id="80"/>
    <w:p>
      <w:pPr>
        <w:ind w:left="2940"/>
        <w:spacing w:after="0"/>
        <w:rPr>
          <w:sz w:val="20"/>
          <w:szCs w:val="20"/>
          <w:color w:val="auto"/>
        </w:rPr>
      </w:pPr>
      <w:r>
        <w:rPr>
          <w:rFonts w:ascii="Calibri" w:cs="Calibri" w:eastAsia="Calibri" w:hAnsi="Calibri"/>
          <w:sz w:val="25"/>
          <w:szCs w:val="25"/>
          <w:b w:val="1"/>
          <w:bCs w:val="1"/>
          <w:color w:val="4472C4"/>
        </w:rPr>
        <w:t>PROPOSAL NO. 3: APPROVAL OF AMENDMENT TO</w:t>
      </w:r>
    </w:p>
    <w:p>
      <w:pPr>
        <w:spacing w:after="0" w:line="5" w:lineRule="exact"/>
        <w:rPr>
          <w:sz w:val="20"/>
          <w:szCs w:val="20"/>
          <w:color w:val="auto"/>
        </w:rPr>
      </w:pPr>
    </w:p>
    <w:p>
      <w:pPr>
        <w:ind w:left="2800"/>
        <w:spacing w:after="0"/>
        <w:rPr>
          <w:sz w:val="20"/>
          <w:szCs w:val="20"/>
          <w:color w:val="auto"/>
        </w:rPr>
      </w:pPr>
      <w:r>
        <w:rPr>
          <w:rFonts w:ascii="Calibri" w:cs="Calibri" w:eastAsia="Calibri" w:hAnsi="Calibri"/>
          <w:sz w:val="25"/>
          <w:szCs w:val="25"/>
          <w:b w:val="1"/>
          <w:bCs w:val="1"/>
          <w:color w:val="4472C4"/>
        </w:rPr>
        <w:t>OUR CHARTER TO ALLOW FOR OFFICER EXCULPATION</w:t>
      </w:r>
    </w:p>
    <w:p>
      <w:pPr>
        <w:spacing w:after="0" w:line="200" w:lineRule="exact"/>
        <w:rPr>
          <w:sz w:val="20"/>
          <w:szCs w:val="20"/>
          <w:color w:val="auto"/>
        </w:rPr>
      </w:pPr>
    </w:p>
    <w:p>
      <w:pPr>
        <w:spacing w:after="0" w:line="337" w:lineRule="exact"/>
        <w:rPr>
          <w:sz w:val="20"/>
          <w:szCs w:val="20"/>
          <w:color w:val="auto"/>
        </w:rPr>
      </w:pPr>
    </w:p>
    <w:p>
      <w:pPr>
        <w:ind w:firstLine="749"/>
        <w:spacing w:after="0" w:line="250" w:lineRule="auto"/>
        <w:rPr>
          <w:sz w:val="20"/>
          <w:szCs w:val="20"/>
          <w:color w:val="auto"/>
        </w:rPr>
      </w:pPr>
      <w:r>
        <w:rPr>
          <w:rFonts w:ascii="Calibri" w:cs="Calibri" w:eastAsia="Calibri" w:hAnsi="Calibri"/>
          <w:sz w:val="17"/>
          <w:szCs w:val="17"/>
          <w:color w:val="auto"/>
        </w:rPr>
        <w:t>We are asking stockholders to approve an amendment to our Restated Certfcate of Incorporaton to align the current exculpaton provision with developing law. Currently, Artcle VI of the Restated Certfcate of Incorporaton limits the personal monetary liability of directors for certain fduciary duty breaches as allowed under Secton 102(b)(7) of the Delaware General Corporaton Law (the “DGCL”). Delaware updated Secton 102(b)(7) in 2022 to allow Delaware corporatons to extend the exculpaton provision to cover certain ofcers, in additon to directors. For both directors and ofcers, the liability limitaton does not apply to breaches of the duty of loyalty, acts or omissions not in good faith or that involve intentonal misconduct or a knowing violaton of law, or any transacton in which the director or ofcer derived an improper personal beneft. In additon, for ofcers, amended Secton 102(b)(7) only permits exculpaton for direct claims brought by stockholders and does not permit exculpaton for claims brought by the Company against the ofcer (including any derivatve claims made by stockholders on behalf of the Company). In light of this update, we are proposing to amend our Restated Certfcate of Incorporaton to revise the exculpaton provision to extend its coverage to certain senior ofcers to the extent permited under amended Secton 102(b)(7). As a result, both directors and ofcers would be protected from monetary liability for fduciary duty breaches to the extent allowed under the DGCL.</w:t>
      </w:r>
    </w:p>
    <w:p>
      <w:pPr>
        <w:spacing w:after="0" w:line="214" w:lineRule="exact"/>
        <w:rPr>
          <w:sz w:val="20"/>
          <w:szCs w:val="20"/>
          <w:color w:val="auto"/>
        </w:rPr>
      </w:pPr>
    </w:p>
    <w:p>
      <w:pPr>
        <w:ind w:right="20" w:firstLine="749"/>
        <w:spacing w:after="0" w:line="251" w:lineRule="auto"/>
        <w:rPr>
          <w:sz w:val="20"/>
          <w:szCs w:val="20"/>
          <w:color w:val="auto"/>
        </w:rPr>
      </w:pPr>
      <w:r>
        <w:rPr>
          <w:rFonts w:ascii="Calibri" w:cs="Calibri" w:eastAsia="Calibri" w:hAnsi="Calibri"/>
          <w:sz w:val="17"/>
          <w:szCs w:val="17"/>
          <w:color w:val="auto"/>
        </w:rPr>
        <w:t>The Board believes that it is important to provide protecton from certain liabilites that may discourage prospectve or current ofcers from serving the Company or actng in the best interests of stockholders. The role of an ofcer (like the role of a director) requires tme-sensitve decision-making on critcal maters that can lead to substantal risk of investgatons, claims, actons, lawsuits, or proceedings seeking to impose liability on the basis of hindsight, especially in the current litgious environment and despite the absence of any underlying merit. Limitng concern about personal risk would empower both directors and ofcers to best exercise their business judgment in furtherance of stockholder interests while minimizing the potental distracton posed by frivolous lawsuits and costs which are ofen borne by the Company either directly, through indemnifcaton, or indirectly through higher insurance premiums.</w:t>
      </w:r>
    </w:p>
    <w:p>
      <w:pPr>
        <w:spacing w:after="0" w:line="210"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color w:val="auto"/>
        </w:rPr>
        <w:t>In additon, as other companies contnue to update their charters to align with amended Secton 102(b)(7), failing to adopt the proposed amendment could negatvely impact our ability to recruit (and retain) highly qualifed ofcers who value the protecton from potental exposure to liabilites, costs of defense, and other risks of proceedings that would be aforded by protecton similar to that aforded by the proposed amendment. Additonally, the proposed amendment will align the protectons for our ofcers with those protectons already aforded to our directors. The Board believes that all of this will in turn beneft our stockholders by reducing threatened litgaton, atorneys’ fees, and costs of litgaton, and enhancing recruitng and retenton of highly qualifed ofcers.</w:t>
      </w:r>
    </w:p>
    <w:p>
      <w:pPr>
        <w:spacing w:after="0" w:line="221"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For these reasons, the Board believes that the proposal to amend our Restated Certfcate of Incorporaton as described herein is in the best interests of the Company and its stockholders, and has unanimously adopted a resoluton to amend our Restated Certfcate of Incorporaton, subject to our stockholders’ approval. The proposed amended provision (marked to show the proposed changes from the current language) is atached to this Proxy Statement as Appendix A.</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217" w:lineRule="exact"/>
        <w:rPr>
          <w:sz w:val="20"/>
          <w:szCs w:val="20"/>
          <w:color w:val="auto"/>
        </w:rPr>
      </w:pPr>
    </w:p>
    <w:p>
      <w:pPr>
        <w:ind w:right="20" w:firstLine="749"/>
        <w:spacing w:after="0" w:line="235" w:lineRule="auto"/>
        <w:rPr>
          <w:sz w:val="20"/>
          <w:szCs w:val="20"/>
          <w:color w:val="auto"/>
        </w:rPr>
      </w:pPr>
      <w:r>
        <w:rPr>
          <w:rFonts w:ascii="Calibri" w:cs="Calibri" w:eastAsia="Calibri" w:hAnsi="Calibri"/>
          <w:sz w:val="18"/>
          <w:szCs w:val="18"/>
          <w:b w:val="1"/>
          <w:bCs w:val="1"/>
          <w:color w:val="auto"/>
        </w:rPr>
        <w:t>Our Board of Directors recommends you vote “FOR” the proposed amendment to our Restated Certfcate of Incorporaton to provide for ofcer exculpaton.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1" w:name="page82"/>
    <w:bookmarkEnd w:id="81"/>
    <w:p>
      <w:pPr>
        <w:jc w:val="center"/>
        <w:ind w:right="-39"/>
        <w:spacing w:after="0"/>
        <w:rPr>
          <w:sz w:val="20"/>
          <w:szCs w:val="20"/>
          <w:color w:val="auto"/>
        </w:rPr>
      </w:pPr>
      <w:r>
        <w:rPr>
          <w:rFonts w:ascii="Calibri" w:cs="Calibri" w:eastAsia="Calibri" w:hAnsi="Calibri"/>
          <w:sz w:val="25"/>
          <w:szCs w:val="25"/>
          <w:b w:val="1"/>
          <w:bCs w:val="1"/>
          <w:color w:val="4472C4"/>
        </w:rPr>
        <w:t>PROPOSAL NO. 4: APPROVAL OF EXPECTED</w:t>
      </w:r>
    </w:p>
    <w:p>
      <w:pPr>
        <w:spacing w:after="0" w:line="5"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4472C4"/>
        </w:rPr>
        <w:t>APPOINTMENT OF INDEPENDENT AUDITORS</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w:t>
      </w:r>
    </w:p>
    <w:p>
      <w:pPr>
        <w:spacing w:after="0" w:line="109"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Ernst &amp; Young acted as our independent auditors to audit our books and records for fscal 2024, and the Audit Commitee expects to appoint Ernst &amp; Young as our independent auditors for fscal year 2025 if its proposal for audit services is satsfactory.</w:t>
      </w:r>
    </w:p>
    <w:p>
      <w:pPr>
        <w:spacing w:after="0" w:line="218"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We believe the approval of this expected appointment is good corporate practce because the audit of our books and records is a mater of importance to our stockholders. If our stockholders do not support the expected appointment, our Audit Commitee will consider that fact when determining whether or not to retain Ernst &amp; Young, but stll may elect to retain them. Even if the expected appointment is approved, the Audit Commitee, in its discreton, may elect not to proceed with the appointment. Once it has appointed an auditor, our Audit Commitee may elect to change the appointment at any tme during the year if it determines that such a change would be in our best interests and the best interests of our stockholders.</w:t>
      </w:r>
    </w:p>
    <w:p>
      <w:pPr>
        <w:spacing w:after="0" w:line="220"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Representatves of Ernst &amp; Young are expected to be present for the annual meetng, with the opportunity to make a statement if they choose to do so, and will be available to respond to appropriate questons from our stockholders.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Recommendaton of the Board</w:t>
      </w:r>
    </w:p>
    <w:p>
      <w:pPr>
        <w:spacing w:after="0" w:line="109" w:lineRule="exact"/>
        <w:rPr>
          <w:sz w:val="20"/>
          <w:szCs w:val="20"/>
          <w:color w:val="auto"/>
        </w:rPr>
      </w:pPr>
    </w:p>
    <w:p>
      <w:pPr>
        <w:ind w:right="120" w:firstLine="749"/>
        <w:spacing w:after="0" w:line="235" w:lineRule="auto"/>
        <w:rPr>
          <w:sz w:val="20"/>
          <w:szCs w:val="20"/>
          <w:color w:val="auto"/>
        </w:rPr>
      </w:pPr>
      <w:r>
        <w:rPr>
          <w:rFonts w:ascii="Calibri" w:cs="Calibri" w:eastAsia="Calibri" w:hAnsi="Calibri"/>
          <w:sz w:val="18"/>
          <w:szCs w:val="18"/>
          <w:b w:val="1"/>
          <w:bCs w:val="1"/>
          <w:color w:val="auto"/>
        </w:rPr>
        <w:t>Our Board of Directors recommends a vote FOR the approval of the expected appointment of Ernst &amp; Young as the Company’s auditors for the fscal year ending March 31, 2025.</w:t>
      </w:r>
    </w:p>
    <w:p>
      <w:pPr>
        <w:spacing w:after="0" w:line="200" w:lineRule="exact"/>
        <w:rPr>
          <w:sz w:val="20"/>
          <w:szCs w:val="20"/>
          <w:color w:val="auto"/>
        </w:rPr>
      </w:pPr>
    </w:p>
    <w:p>
      <w:pPr>
        <w:spacing w:after="0" w:line="35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Eagle Materials Inc. - 2024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82" w:name="page83"/>
    <w:bookmarkEnd w:id="82"/>
    <w:p>
      <w:pPr>
        <w:jc w:val="center"/>
        <w:spacing w:after="0"/>
        <w:rPr>
          <w:sz w:val="20"/>
          <w:szCs w:val="20"/>
          <w:color w:val="auto"/>
        </w:rPr>
      </w:pPr>
      <w:r>
        <w:rPr>
          <w:rFonts w:ascii="Calibri" w:cs="Calibri" w:eastAsia="Calibri" w:hAnsi="Calibri"/>
          <w:sz w:val="25"/>
          <w:szCs w:val="25"/>
          <w:b w:val="1"/>
          <w:bCs w:val="1"/>
          <w:color w:val="4472C4"/>
        </w:rPr>
        <w:t>RELATIONSHIP WITH INDEPENDENT PUBLIC ACCOUNTANTS</w:t>
      </w:r>
    </w:p>
    <w:p>
      <w:pPr>
        <w:spacing w:after="0" w:line="253" w:lineRule="exact"/>
        <w:rPr>
          <w:sz w:val="20"/>
          <w:szCs w:val="20"/>
          <w:color w:val="auto"/>
        </w:rPr>
      </w:pPr>
    </w:p>
    <w:p>
      <w:pPr>
        <w:ind w:left="760"/>
        <w:spacing w:after="0"/>
        <w:rPr>
          <w:sz w:val="20"/>
          <w:szCs w:val="20"/>
          <w:color w:val="auto"/>
        </w:rPr>
      </w:pPr>
      <w:r>
        <w:rPr>
          <w:rFonts w:ascii="Calibri" w:cs="Calibri" w:eastAsia="Calibri" w:hAnsi="Calibri"/>
          <w:sz w:val="17"/>
          <w:szCs w:val="17"/>
          <w:color w:val="auto"/>
        </w:rPr>
        <w:t>Ernst &amp; Young LLP, which we refer to as Ernst &amp; Young, audited the Company’s fnancial statements for the fscal years ended March 31, 2022, 2023</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and 2024.</w:t>
      </w:r>
    </w:p>
    <w:p>
      <w:pPr>
        <w:spacing w:after="0" w:line="217" w:lineRule="exact"/>
        <w:rPr>
          <w:sz w:val="20"/>
          <w:szCs w:val="20"/>
          <w:color w:val="auto"/>
        </w:rPr>
      </w:pPr>
    </w:p>
    <w:p>
      <w:pPr>
        <w:ind w:right="20" w:firstLine="749"/>
        <w:spacing w:after="0" w:line="251" w:lineRule="auto"/>
        <w:rPr>
          <w:sz w:val="20"/>
          <w:szCs w:val="20"/>
          <w:color w:val="auto"/>
        </w:rPr>
      </w:pPr>
      <w:r>
        <w:rPr>
          <w:rFonts w:ascii="Calibri" w:cs="Calibri" w:eastAsia="Calibri" w:hAnsi="Calibri"/>
          <w:sz w:val="17"/>
          <w:szCs w:val="17"/>
          <w:color w:val="auto"/>
        </w:rPr>
        <w:t>Ernst &amp; Young reports directly to our Audit Commitee. The Audit Commitee has adopted policies and procedures for pre-approving all audit and permissible non-audit services performed by Ernst &amp; Young. Under these policies, the Audit Commitee pre-approves the use of audit and specifc permissible audit-related and non-audit services up to certain dollar limits. Other audit and permissible non-audit services that exceed a $50,000 threshold must be pre-approved separately by the Audit Commitee, or, for such services that do not exceed $50,000, by a member of the Audit Commitee. Any such member must report the pre-approval at the next Audit Commitee meetng. In deciding whether or not to pre-approve services, the Audit Commitee determines whether each service is permissible under the SEC’s rules, and, if permissible, the potental efect of such services on the independence of Ernst &amp; Young.</w:t>
      </w:r>
    </w:p>
    <w:p>
      <w:pPr>
        <w:spacing w:after="0" w:line="210" w:lineRule="exact"/>
        <w:rPr>
          <w:sz w:val="20"/>
          <w:szCs w:val="20"/>
          <w:color w:val="auto"/>
        </w:rPr>
      </w:pPr>
    </w:p>
    <w:p>
      <w:pPr>
        <w:ind w:right="80" w:firstLine="749"/>
        <w:spacing w:after="0" w:line="235" w:lineRule="auto"/>
        <w:rPr>
          <w:sz w:val="20"/>
          <w:szCs w:val="20"/>
          <w:color w:val="auto"/>
        </w:rPr>
      </w:pPr>
      <w:r>
        <w:rPr>
          <w:rFonts w:ascii="Calibri" w:cs="Calibri" w:eastAsia="Calibri" w:hAnsi="Calibri"/>
          <w:sz w:val="18"/>
          <w:szCs w:val="18"/>
          <w:color w:val="auto"/>
        </w:rPr>
        <w:t>The following table sets forth the various fees for services provided to the Company by Ernst &amp; Young in the fscal years ended March 31, 2024 and 2023, all of which services have been approved by the Audit Commitee: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Audit Fees</w:t>
            </w:r>
            <w:r>
              <w:rPr>
                <w:rFonts w:ascii="Calibri" w:cs="Calibri" w:eastAsia="Calibri" w:hAnsi="Calibri"/>
                <w:sz w:val="19"/>
                <w:szCs w:val="19"/>
                <w:b w:val="1"/>
                <w:bCs w:val="1"/>
                <w:color w:val="auto"/>
                <w:vertAlign w:val="superscript"/>
              </w:rPr>
              <w:t>(1)</w:t>
            </w:r>
            <w:r>
              <w:rPr>
                <w:rFonts w:ascii="Calibri" w:cs="Calibri" w:eastAsia="Calibri" w:hAnsi="Calibri"/>
                <w:sz w:val="14"/>
                <w:szCs w:val="14"/>
                <w:b w:val="1"/>
                <w:bCs w:val="1"/>
                <w:color w:val="auto"/>
              </w:rPr>
              <w:t xml:space="preserve">  ($)</w:t>
            </w:r>
          </w:p>
        </w:tc>
        <w:tc>
          <w:tcPr>
            <w:tcW w:w="240" w:type="dxa"/>
            <w:vAlign w:val="bottom"/>
          </w:tcPr>
          <w:p>
            <w:pPr>
              <w:spacing w:after="0"/>
              <w:rPr>
                <w:sz w:val="14"/>
                <w:szCs w:val="14"/>
                <w:color w:val="auto"/>
              </w:rPr>
            </w:pPr>
          </w:p>
        </w:tc>
        <w:tc>
          <w:tcPr>
            <w:tcW w:w="940" w:type="dxa"/>
            <w:vAlign w:val="bottom"/>
          </w:tcPr>
          <w:p>
            <w:pPr>
              <w:jc w:val="center"/>
              <w:ind w:left="28"/>
              <w:spacing w:after="0"/>
              <w:rPr>
                <w:sz w:val="20"/>
                <w:szCs w:val="20"/>
                <w:color w:val="auto"/>
              </w:rPr>
            </w:pPr>
            <w:r>
              <w:rPr>
                <w:rFonts w:ascii="Calibri" w:cs="Calibri" w:eastAsia="Calibri" w:hAnsi="Calibri"/>
                <w:sz w:val="14"/>
                <w:szCs w:val="14"/>
                <w:b w:val="1"/>
                <w:bCs w:val="1"/>
                <w:color w:val="auto"/>
              </w:rPr>
              <w:t>Audit Related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Calibri" w:cs="Calibri" w:eastAsia="Calibri" w:hAnsi="Calibri"/>
                <w:sz w:val="14"/>
                <w:szCs w:val="14"/>
                <w:b w:val="1"/>
                <w:bCs w:val="1"/>
                <w:color w:val="auto"/>
              </w:rPr>
              <w:t>All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gridSpan w:val="3"/>
          </w:tcPr>
          <w:p>
            <w:pPr>
              <w:ind w:left="20"/>
              <w:spacing w:after="0" w:line="169" w:lineRule="exact"/>
              <w:rPr>
                <w:sz w:val="20"/>
                <w:szCs w:val="20"/>
                <w:color w:val="auto"/>
              </w:rPr>
            </w:pPr>
            <w:r>
              <w:rPr>
                <w:rFonts w:ascii="Calibri" w:cs="Calibri" w:eastAsia="Calibri" w:hAnsi="Calibri"/>
                <w:sz w:val="14"/>
                <w:szCs w:val="14"/>
                <w:b w:val="1"/>
                <w:bCs w:val="1"/>
                <w:color w:val="auto"/>
              </w:rPr>
              <w:t>Fiscal Year Ended March 31,</w:t>
            </w: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28"/>
              <w:spacing w:after="0" w:line="169" w:lineRule="exact"/>
              <w:rPr>
                <w:sz w:val="20"/>
                <w:szCs w:val="20"/>
                <w:color w:val="auto"/>
              </w:rPr>
            </w:pPr>
            <w:r>
              <w:rPr>
                <w:rFonts w:ascii="Calibri" w:cs="Calibri" w:eastAsia="Calibri" w:hAnsi="Calibri"/>
                <w:sz w:val="14"/>
                <w:szCs w:val="14"/>
                <w:b w:val="1"/>
                <w:bCs w:val="1"/>
                <w:color w:val="auto"/>
              </w:rPr>
              <w:t>Fees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20"/>
              <w:spacing w:after="0" w:line="169" w:lineRule="exact"/>
              <w:rPr>
                <w:sz w:val="20"/>
                <w:szCs w:val="20"/>
                <w:color w:val="auto"/>
              </w:rPr>
            </w:pPr>
            <w:r>
              <w:rPr>
                <w:rFonts w:ascii="Calibri" w:cs="Calibri" w:eastAsia="Calibri" w:hAnsi="Calibri"/>
                <w:sz w:val="14"/>
                <w:szCs w:val="14"/>
                <w:b w:val="1"/>
                <w:bCs w:val="1"/>
                <w:color w:val="auto"/>
              </w:rPr>
              <w:t>Tax Fees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ind w:left="240"/>
              <w:spacing w:after="0" w:line="169" w:lineRule="exact"/>
              <w:rPr>
                <w:sz w:val="20"/>
                <w:szCs w:val="20"/>
                <w:color w:val="auto"/>
              </w:rPr>
            </w:pPr>
            <w:r>
              <w:rPr>
                <w:rFonts w:ascii="Calibri" w:cs="Calibri" w:eastAsia="Calibri" w:hAnsi="Calibri"/>
                <w:sz w:val="14"/>
                <w:szCs w:val="14"/>
                <w:b w:val="1"/>
                <w:bCs w:val="1"/>
                <w:color w:val="auto"/>
              </w:rPr>
              <w:t>Fees</w:t>
            </w:r>
          </w:p>
        </w:tc>
        <w:tc>
          <w:tcPr>
            <w:tcW w:w="4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4"/>
                <w:szCs w:val="14"/>
                <w:color w:val="auto"/>
              </w:rPr>
            </w:pPr>
          </w:p>
        </w:tc>
        <w:tc>
          <w:tcPr>
            <w:tcW w:w="1100" w:type="dxa"/>
            <w:vAlign w:val="bottom"/>
            <w:gridSpan w:val="2"/>
          </w:tcPr>
          <w:p>
            <w:pPr>
              <w:ind w:left="220"/>
              <w:spacing w:after="0" w:line="169" w:lineRule="exact"/>
              <w:rPr>
                <w:sz w:val="20"/>
                <w:szCs w:val="20"/>
                <w:color w:val="auto"/>
              </w:rPr>
            </w:pPr>
            <w:r>
              <w:rPr>
                <w:rFonts w:ascii="Calibri" w:cs="Calibri" w:eastAsia="Calibri" w:hAnsi="Calibri"/>
                <w:sz w:val="14"/>
                <w:szCs w:val="14"/>
                <w:b w:val="1"/>
                <w:bCs w:val="1"/>
                <w:color w:val="auto"/>
              </w:rPr>
              <w:t>Total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680" w:type="dxa"/>
            <w:vAlign w:val="bottom"/>
            <w:tcBorders>
              <w:bottom w:val="single" w:sz="8" w:color="CFF0FC"/>
            </w:tcBorders>
            <w:gridSpan w:val="2"/>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2024</w:t>
            </w:r>
          </w:p>
        </w:tc>
        <w:tc>
          <w:tcPr>
            <w:tcW w:w="35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2,360,000</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ind w:left="80"/>
              <w:spacing w:after="0" w:line="187" w:lineRule="exact"/>
              <w:rPr>
                <w:sz w:val="20"/>
                <w:szCs w:val="20"/>
                <w:color w:val="auto"/>
              </w:rPr>
            </w:pPr>
            <w:r>
              <w:rPr>
                <w:rFonts w:ascii="Calibri" w:cs="Calibri" w:eastAsia="Calibri" w:hAnsi="Calibri"/>
                <w:sz w:val="16"/>
                <w:szCs w:val="16"/>
                <w:color w:val="auto"/>
                <w:w w:val="98"/>
              </w:rPr>
              <w:t>2,000</w:t>
            </w:r>
          </w:p>
        </w:tc>
        <w:tc>
          <w:tcPr>
            <w:tcW w:w="1220" w:type="dxa"/>
            <w:vAlign w:val="bottom"/>
            <w:tcBorders>
              <w:bottom w:val="single" w:sz="8" w:color="CFF0FC"/>
            </w:tcBorders>
            <w:gridSpan w:val="2"/>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2,362,000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2023</w:t>
            </w:r>
          </w:p>
        </w:tc>
        <w:tc>
          <w:tcPr>
            <w:tcW w:w="35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2,018,646</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ind w:left="80"/>
              <w:spacing w:after="0" w:line="193" w:lineRule="exact"/>
              <w:rPr>
                <w:sz w:val="20"/>
                <w:szCs w:val="20"/>
                <w:color w:val="auto"/>
              </w:rPr>
            </w:pPr>
            <w:r>
              <w:rPr>
                <w:rFonts w:ascii="Calibri" w:cs="Calibri" w:eastAsia="Calibri" w:hAnsi="Calibri"/>
                <w:sz w:val="16"/>
                <w:szCs w:val="16"/>
                <w:color w:val="auto"/>
                <w:w w:val="98"/>
              </w:rPr>
              <w:t>2,000</w:t>
            </w:r>
          </w:p>
        </w:tc>
        <w:tc>
          <w:tcPr>
            <w:tcW w:w="12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2,020,646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9030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9" w:lineRule="exact"/>
        <w:rPr>
          <w:sz w:val="20"/>
          <w:szCs w:val="20"/>
          <w:color w:val="auto"/>
        </w:rPr>
      </w:pPr>
    </w:p>
    <w:p>
      <w:pPr>
        <w:ind w:left="380" w:right="540" w:hanging="372"/>
        <w:spacing w:after="0" w:line="235" w:lineRule="auto"/>
        <w:tabs>
          <w:tab w:leader="none" w:pos="323" w:val="left"/>
        </w:tabs>
        <w:numPr>
          <w:ilvl w:val="0"/>
          <w:numId w:val="66"/>
        </w:numPr>
        <w:rPr>
          <w:rFonts w:ascii="Calibri" w:cs="Calibri" w:eastAsia="Calibri" w:hAnsi="Calibri"/>
          <w:sz w:val="18"/>
          <w:szCs w:val="18"/>
          <w:color w:val="auto"/>
        </w:rPr>
      </w:pPr>
      <w:r>
        <w:rPr>
          <w:rFonts w:ascii="Calibri" w:cs="Calibri" w:eastAsia="Calibri" w:hAnsi="Calibri"/>
          <w:sz w:val="18"/>
          <w:szCs w:val="18"/>
          <w:color w:val="auto"/>
        </w:rPr>
        <w:t>Includes fees for the annual audit and quarterly reviews, accountng and fnancial reportng consultatons regarding generally accepted accountng principles.</w:t>
      </w:r>
    </w:p>
    <w:p>
      <w:pPr>
        <w:spacing w:after="0" w:line="98"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Eagle Materials Inc. - 2024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3" w:name="page84"/>
    <w:bookmarkEnd w:id="83"/>
    <w:p>
      <w:pPr>
        <w:jc w:val="center"/>
        <w:ind w:right="-19"/>
        <w:spacing w:after="0"/>
        <w:rPr>
          <w:sz w:val="20"/>
          <w:szCs w:val="20"/>
          <w:color w:val="auto"/>
        </w:rPr>
      </w:pPr>
      <w:r>
        <w:rPr>
          <w:rFonts w:ascii="Calibri" w:cs="Calibri" w:eastAsia="Calibri" w:hAnsi="Calibri"/>
          <w:sz w:val="25"/>
          <w:szCs w:val="25"/>
          <w:b w:val="1"/>
          <w:bCs w:val="1"/>
          <w:color w:val="4472C4"/>
        </w:rPr>
        <w:t>AUDIT COMMITTEE REPORT</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of Eagle Materials Inc.:</w:t>
      </w:r>
    </w:p>
    <w:p>
      <w:pPr>
        <w:spacing w:after="0" w:line="21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All of the Audit Commitee members are independent as defned in the current NYSE listng standards and the applicable rules of the Securites Exchange Act of 1934, and Mr. Ellen is our “audit commitee fnancial expert” within the meaning of the rules of the SEC. The Audit Commitee charter sets forth the dutes and responsibilites of the Audit Commitee. The Audit Commitee is primarily responsible for assistng the Board in fulflling its responsibility to oversee the following: the integrity of our fnancial statements, our compliance with legal and regulatory requirements, the qualifcatons and independence and appointment of our independent auditors and the performance of our internal audit functon and independent auditors. Management has primary responsibility for the preparaton of the fnancial statements, completeness and accuracy of fnancial reportng and the overall system of internal control over fnancial reportng.</w:t>
      </w:r>
    </w:p>
    <w:p>
      <w:pPr>
        <w:spacing w:after="0" w:line="222"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We have reviewed and discussed with management and the independent registered public accountng frm, Ernst &amp; Young LLP, as appropriate, (1) the audited fnancial statements of Eagle Materials Inc. as of and for the fscal year ended March 31, 2024 and (2) management’s report on internal control over fnancial reportng and the independent registered accountng frm’s related opinions.</w:t>
      </w:r>
    </w:p>
    <w:p>
      <w:pPr>
        <w:spacing w:after="0" w:line="21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We have discussed with Ernst &amp; Young LLP the required communicatons specifed by auditng standards, together with guidelines established by the SEC and the Sarbanes-Oxley Act, including the maters required to be discussed by Public Company Accountng Oversight Board (“PCAOB”) Auditng Standard No. 1301, </w:t>
      </w:r>
      <w:r>
        <w:rPr>
          <w:rFonts w:ascii="Calibri" w:cs="Calibri" w:eastAsia="Calibri" w:hAnsi="Calibri"/>
          <w:sz w:val="18"/>
          <w:szCs w:val="18"/>
          <w:i w:val="1"/>
          <w:iCs w:val="1"/>
          <w:color w:val="auto"/>
        </w:rPr>
        <w:t>Communicaton with Audit Commitees</w:t>
      </w:r>
      <w:r>
        <w:rPr>
          <w:rFonts w:ascii="Calibri" w:cs="Calibri" w:eastAsia="Calibri" w:hAnsi="Calibri"/>
          <w:sz w:val="18"/>
          <w:szCs w:val="18"/>
          <w:color w:val="auto"/>
        </w:rPr>
        <w:t>.</w:t>
      </w:r>
    </w:p>
    <w:p>
      <w:pPr>
        <w:spacing w:after="0" w:line="21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received and reviewed the writen disclosures and the leter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afliates is compatble with Ernst &amp; Young LLP’s independence.</w:t>
      </w:r>
    </w:p>
    <w:p>
      <w:pPr>
        <w:spacing w:after="0" w:line="219"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Based on the reviews and discussions referred to above, we recommend to the Board of Directors that the fnancial statements referred to above be included in the Annual Report of Eagle Materials Inc. on Form 10-K for the fscal year ended March 31, 2024. This report is furnished by the members of the Audit Commitee as of May 22,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Audit Commitee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Martn M. Ellen, </w:t>
      </w:r>
      <w:r>
        <w:rPr>
          <w:rFonts w:ascii="Calibri" w:cs="Calibri" w:eastAsia="Calibri" w:hAnsi="Calibri"/>
          <w:sz w:val="18"/>
          <w:szCs w:val="18"/>
          <w:i w:val="1"/>
          <w:iCs w:val="1"/>
          <w:color w:val="auto"/>
        </w:rPr>
        <w:t>Chairman</w:t>
      </w:r>
    </w:p>
    <w:p>
      <w:pPr>
        <w:spacing w:after="0" w:line="235" w:lineRule="auto"/>
        <w:rPr>
          <w:sz w:val="20"/>
          <w:szCs w:val="20"/>
          <w:color w:val="auto"/>
        </w:rPr>
      </w:pPr>
      <w:r>
        <w:rPr>
          <w:rFonts w:ascii="Calibri" w:cs="Calibri" w:eastAsia="Calibri" w:hAnsi="Calibri"/>
          <w:sz w:val="18"/>
          <w:szCs w:val="18"/>
          <w:color w:val="auto"/>
        </w:rPr>
        <w:t>Mauro Gregorio</w:t>
      </w:r>
    </w:p>
    <w:p>
      <w:pPr>
        <w:spacing w:after="0" w:line="236" w:lineRule="auto"/>
        <w:rPr>
          <w:sz w:val="20"/>
          <w:szCs w:val="20"/>
          <w:color w:val="auto"/>
        </w:rPr>
      </w:pPr>
      <w:r>
        <w:rPr>
          <w:rFonts w:ascii="Calibri" w:cs="Calibri" w:eastAsia="Calibri" w:hAnsi="Calibri"/>
          <w:sz w:val="18"/>
          <w:szCs w:val="18"/>
          <w:color w:val="auto"/>
        </w:rPr>
        <w:t>Mary P. Ricciardello</w:t>
      </w:r>
    </w:p>
    <w:p>
      <w:pPr>
        <w:spacing w:after="0" w:line="236" w:lineRule="auto"/>
        <w:rPr>
          <w:sz w:val="20"/>
          <w:szCs w:val="20"/>
          <w:color w:val="auto"/>
        </w:rPr>
      </w:pPr>
      <w:r>
        <w:rPr>
          <w:rFonts w:ascii="Calibri" w:cs="Calibri" w:eastAsia="Calibri" w:hAnsi="Calibri"/>
          <w:sz w:val="18"/>
          <w:szCs w:val="18"/>
          <w:color w:val="auto"/>
        </w:rPr>
        <w:t>Richard R. Stewart</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This report of the Audit Commitee does not consttute “solicitng material” and should not be deemed “fled” or incorporated by reference into any of the other Company flings under the Securites Act of 1933 or the Securites Exchange Act of 1934, except to the extent the Company specifcally requests that the informaton be treated as solicitng material or specifcally incorporates this report by reference therein.</w:t>
      </w:r>
    </w:p>
    <w:p>
      <w:pPr>
        <w:spacing w:after="0" w:line="9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84" w:name="page85"/>
    <w:bookmarkEnd w:id="84"/>
    <w:p>
      <w:pPr>
        <w:jc w:val="center"/>
        <w:ind w:right="-19"/>
        <w:spacing w:after="0"/>
        <w:rPr>
          <w:sz w:val="20"/>
          <w:szCs w:val="20"/>
          <w:color w:val="auto"/>
        </w:rPr>
      </w:pPr>
      <w:r>
        <w:rPr>
          <w:rFonts w:ascii="Calibri" w:cs="Calibri" w:eastAsia="Calibri" w:hAnsi="Calibri"/>
          <w:sz w:val="25"/>
          <w:szCs w:val="25"/>
          <w:b w:val="1"/>
          <w:bCs w:val="1"/>
          <w:color w:val="4472C4"/>
        </w:rPr>
        <w:t>OTHER MATTERS WHICH MAY BE PRESENTED FOR ACTION AT THE MEETING</w:t>
      </w:r>
    </w:p>
    <w:p>
      <w:pPr>
        <w:spacing w:after="0" w:line="226"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Our Board of Directors does not intend to present for acton at this annual meetng any mater other than those specifcally set forth in the Notce of Annual Meetng of Stockholders. If any other mater is properly presented for acton at the meetng, it is the intenton of persons named in the proxy to vote thereon in accordance with their judgment pursuant to the discretonary authority conferred by the proxy.</w:t>
      </w:r>
    </w:p>
    <w:p>
      <w:pPr>
        <w:spacing w:after="0" w:line="322"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4472C4"/>
        </w:rPr>
        <w:t>DELIVERY OF DOCUMENTS TO STOCKHOLDERS</w:t>
      </w:r>
    </w:p>
    <w:p>
      <w:pPr>
        <w:spacing w:after="0" w:line="226" w:lineRule="exact"/>
        <w:rPr>
          <w:sz w:val="20"/>
          <w:szCs w:val="20"/>
          <w:color w:val="auto"/>
        </w:rPr>
      </w:pPr>
    </w:p>
    <w:p>
      <w:pPr>
        <w:jc w:val="both"/>
        <w:ind w:right="80" w:firstLine="749"/>
        <w:spacing w:after="0" w:line="249" w:lineRule="auto"/>
        <w:rPr>
          <w:sz w:val="20"/>
          <w:szCs w:val="20"/>
          <w:color w:val="auto"/>
        </w:rPr>
      </w:pPr>
      <w:r>
        <w:rPr>
          <w:rFonts w:ascii="Calibri" w:cs="Calibri" w:eastAsia="Calibri" w:hAnsi="Calibri"/>
          <w:sz w:val="17"/>
          <w:szCs w:val="17"/>
          <w:color w:val="auto"/>
        </w:rPr>
        <w:t>Pursuant to the rules of the SEC, the Company and services that it employs to deliver communicatons to its stockholders are permited to deliver to two or more stockholders sharing the same mailing address a single copy of the proxy statement. Upon writen or oral request, the Company will deliver a separate copy of the proxy statement to any stockholder at a shared mailing address who wishes to receive separate copies of such documents in the future. Stockholders receiving multple copies of such documents may likewise request that the Company deliver single copies of such documents in the future.</w:t>
      </w:r>
    </w:p>
    <w:p>
      <w:pPr>
        <w:spacing w:after="0" w:line="3"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Stockholders may notfy the Company of their requests by calling or directng a writen request to Eagle Materials Inc., Atenton: Mat Newby, Secretary, 5960 Berkshire Ln., Suite 900, Dallas, Texas 75225, (214) 432-2000.</w:t>
      </w: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4472C4"/>
        </w:rPr>
        <w:t>STOCKHOLDER PROPOSALS AND NOMINATIONS FOR THE 2025 ANNUAL MEETING</w:t>
      </w:r>
    </w:p>
    <w:p>
      <w:pPr>
        <w:spacing w:after="0" w:line="226"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In order to be considered for inclusion in the Company’s proxy material for that meetng, a stockholder proposal must be received at our executve ofces, addressed to the atenton of the Secretary, not later than February 17, 2025. Any such proposal must also comply with all other applicable requirements of Rule 14a-8 under the Exchange Act.</w:t>
      </w:r>
    </w:p>
    <w:p>
      <w:pPr>
        <w:spacing w:after="0" w:line="219" w:lineRule="exact"/>
        <w:rPr>
          <w:sz w:val="20"/>
          <w:szCs w:val="20"/>
          <w:color w:val="auto"/>
        </w:rPr>
      </w:pPr>
    </w:p>
    <w:p>
      <w:pPr>
        <w:ind w:right="160" w:firstLine="749"/>
        <w:spacing w:after="0" w:line="235" w:lineRule="auto"/>
        <w:rPr>
          <w:sz w:val="20"/>
          <w:szCs w:val="20"/>
          <w:color w:val="auto"/>
        </w:rPr>
      </w:pPr>
      <w:r>
        <w:rPr>
          <w:rFonts w:ascii="Calibri" w:cs="Calibri" w:eastAsia="Calibri" w:hAnsi="Calibri"/>
          <w:sz w:val="18"/>
          <w:szCs w:val="18"/>
          <w:color w:val="auto"/>
        </w:rPr>
        <w:t>For any proposal that is not submited for inclusion in our proxy material for the 2025 Annual Meetng of Stockholders but is instead sought to be presented directly at that meetng, Rule 14a-4(c) under the Exchange Act permits the Company’s management to exercise discretonary votng authority under proxies it solicits unless the Company is notfed about the proposal on or before May 3, 2025, subject to the applicable rules of the SEC. Our Bylaws provide that, to be considered at the 2025 Annual Meetng, a stockholder proposal must be submited in writng and received by our Secretary at the executve ofces of the Company during the period beginning on April 3, 2025 and ending May 3, 2025, and must contain the informaton specifed by and otherwise comply with our Bylaws.</w:t>
      </w:r>
    </w:p>
    <w:p>
      <w:pPr>
        <w:spacing w:after="0" w:line="221"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Under our Bylaws, nominatons for director may be made by a stockholder who is enttled to vote for the electon of directors and complies with all of the applicable requirements set forth in our Bylaws. The notce by a stockholder of its intenton to nominate directors at the 2025 annual meetng of stockholders must be received at our executve ofces, addressed to the atenton of the Secretary, during the period beginning on April 3, 2025 and ending on May 3, 2025. Notce of director nominatons must satsfy the provisions in our Bylaws relatng to director nominatons and set forth informaton required by Rule 14a-19(b) of the Securites Exchange Act of 1934.</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Any stockholder wishing to receive a copy of our Bylaws should direct a writen request to our Secretary at the Company’s principal executve</w:t>
      </w:r>
    </w:p>
    <w:p>
      <w:pPr>
        <w:spacing w:after="0" w:line="235" w:lineRule="auto"/>
        <w:rPr>
          <w:sz w:val="20"/>
          <w:szCs w:val="20"/>
          <w:color w:val="auto"/>
        </w:rPr>
      </w:pPr>
      <w:r>
        <w:rPr>
          <w:rFonts w:ascii="Calibri" w:cs="Calibri" w:eastAsia="Calibri" w:hAnsi="Calibri"/>
          <w:sz w:val="18"/>
          <w:szCs w:val="18"/>
          <w:color w:val="auto"/>
        </w:rPr>
        <w:t>ofce.</w:t>
      </w: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FORM 10-K</w:t>
      </w:r>
    </w:p>
    <w:p>
      <w:pPr>
        <w:spacing w:after="0" w:line="226" w:lineRule="exact"/>
        <w:rPr>
          <w:sz w:val="20"/>
          <w:szCs w:val="20"/>
          <w:color w:val="auto"/>
        </w:rPr>
      </w:pPr>
    </w:p>
    <w:p>
      <w:pPr>
        <w:jc w:val="both"/>
        <w:ind w:right="100" w:firstLine="749"/>
        <w:spacing w:after="0" w:line="235" w:lineRule="auto"/>
        <w:rPr>
          <w:sz w:val="20"/>
          <w:szCs w:val="20"/>
          <w:color w:val="auto"/>
        </w:rPr>
      </w:pPr>
      <w:r>
        <w:rPr>
          <w:rFonts w:ascii="Calibri" w:cs="Calibri" w:eastAsia="Calibri" w:hAnsi="Calibri"/>
          <w:sz w:val="18"/>
          <w:szCs w:val="18"/>
          <w:b w:val="1"/>
          <w:bCs w:val="1"/>
          <w:color w:val="auto"/>
        </w:rPr>
        <w:t>Stockholders enttled to vote at the meetng may obtain a printed copy of the Company’s Annual Report on Form 10-K for the fscal year ended March 31, 2024, including the fnancial statements required to be fled with the SEC, without charge, upon writen or oral request to Eagle Materials Inc., Atenton: Mat Newby, Secretary, 5960 Berkshire Ln., Suite 900, Dallas, Texas 75225, (214) 432-2000.</w:t>
      </w:r>
    </w:p>
    <w:p>
      <w:pPr>
        <w:spacing w:after="0" w:line="227"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color w:val="auto"/>
        </w:rPr>
        <w:t>By Order of the Board of Directors</w:t>
      </w:r>
    </w:p>
    <w:p>
      <w:pPr>
        <w:spacing w:after="0" w:line="266" w:lineRule="exact"/>
        <w:rPr>
          <w:sz w:val="20"/>
          <w:szCs w:val="20"/>
          <w:color w:val="auto"/>
        </w:rPr>
      </w:pPr>
    </w:p>
    <w:p>
      <w:pPr>
        <w:ind w:left="5640"/>
        <w:spacing w:after="0"/>
        <w:rPr>
          <w:sz w:val="20"/>
          <w:szCs w:val="20"/>
          <w:color w:val="auto"/>
        </w:rPr>
      </w:pPr>
      <w:r>
        <w:rPr>
          <w:rFonts w:ascii="Calibri" w:cs="Calibri" w:eastAsia="Calibri" w:hAnsi="Calibri"/>
          <w:sz w:val="18"/>
          <w:szCs w:val="18"/>
          <w:color w:val="auto"/>
        </w:rPr>
        <w:t>MATT NEWBY</w:t>
      </w:r>
    </w:p>
    <w:p>
      <w:pPr>
        <w:spacing w:after="0" w:line="23" w:lineRule="exact"/>
        <w:rPr>
          <w:sz w:val="20"/>
          <w:szCs w:val="20"/>
          <w:color w:val="auto"/>
        </w:rPr>
      </w:pPr>
    </w:p>
    <w:p>
      <w:pPr>
        <w:ind w:left="5640"/>
        <w:spacing w:after="0"/>
        <w:rPr>
          <w:sz w:val="20"/>
          <w:szCs w:val="20"/>
          <w:color w:val="auto"/>
        </w:rPr>
      </w:pPr>
      <w:r>
        <w:rPr>
          <w:rFonts w:ascii="Calibri" w:cs="Calibri" w:eastAsia="Calibri" w:hAnsi="Calibri"/>
          <w:sz w:val="18"/>
          <w:szCs w:val="18"/>
          <w:i w:val="1"/>
          <w:iCs w:val="1"/>
          <w:color w:val="auto"/>
        </w:rPr>
        <w:t>Executve Vice President,</w:t>
      </w:r>
    </w:p>
    <w:p>
      <w:pPr>
        <w:ind w:left="5640"/>
        <w:spacing w:after="0" w:line="235" w:lineRule="auto"/>
        <w:rPr>
          <w:sz w:val="20"/>
          <w:szCs w:val="20"/>
          <w:color w:val="auto"/>
        </w:rPr>
      </w:pPr>
      <w:r>
        <w:rPr>
          <w:rFonts w:ascii="Calibri" w:cs="Calibri" w:eastAsia="Calibri" w:hAnsi="Calibri"/>
          <w:sz w:val="18"/>
          <w:szCs w:val="18"/>
          <w:i w:val="1"/>
          <w:iCs w:val="1"/>
          <w:color w:val="auto"/>
        </w:rPr>
        <w:t>General Counsel and Secretary</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June 17, 2024</w:t>
      </w:r>
    </w:p>
    <w:p>
      <w:pPr>
        <w:spacing w:after="0" w:line="327"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Eagle Materials Inc. - 2024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85" w:name="page86"/>
    <w:bookmarkEnd w:id="85"/>
    <w:p>
      <w:pPr>
        <w:jc w:val="right"/>
        <w:spacing w:after="0"/>
        <w:rPr>
          <w:sz w:val="20"/>
          <w:szCs w:val="20"/>
          <w:color w:val="auto"/>
        </w:rPr>
      </w:pPr>
      <w:r>
        <w:rPr>
          <w:rFonts w:ascii="Calibri" w:cs="Calibri" w:eastAsia="Calibri" w:hAnsi="Calibri"/>
          <w:sz w:val="18"/>
          <w:szCs w:val="18"/>
          <w:color w:val="auto"/>
        </w:rPr>
        <w:t>Appendix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OFFICER EXCULPATION CHARTER AMENDMENT</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As discussed in Proposal 3, proposed changes to the Company’s Restated Certfcate of Incorporaton are shown below. The changes shown to Artcle VI would become efectve upon fling of the Amendment with the Secretary of State of the State of Delaware, if Proposal 3 “Approval of Amendment to our Charter to Allow for Ofcer Exculpaton” is approved by our stockholders. Additons to the provision are indicated by underlining and deletons are indicated by strike-outs.</w:t>
      </w: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ARTICLE VI</w:t>
      </w:r>
    </w:p>
    <w:p>
      <w:pPr>
        <w:spacing w:after="0" w:line="225" w:lineRule="exact"/>
        <w:rPr>
          <w:sz w:val="20"/>
          <w:szCs w:val="20"/>
          <w:color w:val="auto"/>
        </w:rPr>
      </w:pPr>
    </w:p>
    <w:p>
      <w:pPr>
        <w:ind w:left="1500" w:right="1500" w:firstLine="633"/>
        <w:spacing w:after="0"/>
        <w:rPr>
          <w:sz w:val="20"/>
          <w:szCs w:val="20"/>
          <w:color w:val="auto"/>
        </w:rPr>
      </w:pPr>
      <w:r>
        <w:rPr>
          <w:rFonts w:ascii="Calibri" w:cs="Calibri" w:eastAsia="Calibri" w:hAnsi="Calibri"/>
          <w:sz w:val="20"/>
          <w:szCs w:val="20"/>
          <w:color w:val="auto"/>
        </w:rPr>
        <w:t xml:space="preserve">A director </w:t>
      </w:r>
      <w:r>
        <w:rPr>
          <w:rFonts w:ascii="Calibri" w:cs="Calibri" w:eastAsia="Calibri" w:hAnsi="Calibri"/>
          <w:sz w:val="20"/>
          <w:szCs w:val="20"/>
          <w:u w:val="single" w:color="auto"/>
          <w:color w:val="auto"/>
        </w:rPr>
        <w:t>or ofcer</w:t>
      </w:r>
      <w:r>
        <w:rPr>
          <w:rFonts w:ascii="Calibri" w:cs="Calibri" w:eastAsia="Calibri" w:hAnsi="Calibri"/>
          <w:sz w:val="20"/>
          <w:szCs w:val="20"/>
          <w:color w:val="auto"/>
        </w:rPr>
        <w:t xml:space="preserve"> of the Corporaton shall not be personally liable to the Corporaton or its stockholders for monetary damages for breach of fduciary duty as a director </w:t>
      </w:r>
      <w:r>
        <w:rPr>
          <w:rFonts w:ascii="Calibri" w:cs="Calibri" w:eastAsia="Calibri" w:hAnsi="Calibri"/>
          <w:sz w:val="20"/>
          <w:szCs w:val="20"/>
          <w:u w:val="single" w:color="auto"/>
          <w:color w:val="auto"/>
        </w:rPr>
        <w:t>or ofcer, as</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applicable</w:t>
      </w:r>
      <w:r>
        <w:rPr>
          <w:rFonts w:ascii="Calibri" w:cs="Calibri" w:eastAsia="Calibri" w:hAnsi="Calibri"/>
          <w:sz w:val="20"/>
          <w:szCs w:val="20"/>
          <w:color w:val="auto"/>
        </w:rPr>
        <w:t xml:space="preserve">, except for liability (i) for any breach of the director’s </w:t>
      </w:r>
      <w:r>
        <w:rPr>
          <w:rFonts w:ascii="Calibri" w:cs="Calibri" w:eastAsia="Calibri" w:hAnsi="Calibri"/>
          <w:sz w:val="20"/>
          <w:szCs w:val="20"/>
          <w:u w:val="single" w:color="auto"/>
          <w:color w:val="auto"/>
        </w:rPr>
        <w:t>or ofcer’s</w:t>
      </w:r>
      <w:r>
        <w:rPr>
          <w:rFonts w:ascii="Calibri" w:cs="Calibri" w:eastAsia="Calibri" w:hAnsi="Calibri"/>
          <w:sz w:val="20"/>
          <w:szCs w:val="20"/>
          <w:color w:val="auto"/>
        </w:rPr>
        <w:t xml:space="preserve"> duty of loyalty to the Corporaton or its stockholders, (ii) for acts or omissions not in good faith or which involve intentonal misconduct or a knowing violaton of law, (iii) </w:t>
      </w:r>
      <w:r>
        <w:rPr>
          <w:rFonts w:ascii="Calibri" w:cs="Calibri" w:eastAsia="Calibri" w:hAnsi="Calibri"/>
          <w:sz w:val="20"/>
          <w:szCs w:val="20"/>
          <w:u w:val="single" w:color="auto"/>
          <w:color w:val="auto"/>
        </w:rPr>
        <w:t>with respect to directors only,</w:t>
      </w:r>
      <w:r>
        <w:rPr>
          <w:rFonts w:ascii="Calibri" w:cs="Calibri" w:eastAsia="Calibri" w:hAnsi="Calibri"/>
          <w:sz w:val="20"/>
          <w:szCs w:val="20"/>
          <w:color w:val="auto"/>
        </w:rPr>
        <w:t xml:space="preserve"> under Secton 174 of the DGCL, as the same exists or hereafer may be amended or replaced, </w:t>
      </w:r>
      <w:r>
        <w:rPr>
          <w:rFonts w:ascii="Calibri" w:cs="Calibri" w:eastAsia="Calibri" w:hAnsi="Calibri"/>
          <w:sz w:val="20"/>
          <w:szCs w:val="20"/>
          <w:color w:val="auto"/>
          <w:strike w:val="1"/>
        </w:rPr>
        <w:t>or</w:t>
      </w:r>
      <w:r>
        <w:rPr>
          <w:rFonts w:ascii="Calibri" w:cs="Calibri" w:eastAsia="Calibri" w:hAnsi="Calibri"/>
          <w:sz w:val="20"/>
          <w:szCs w:val="20"/>
          <w:color w:val="auto"/>
        </w:rPr>
        <w:t xml:space="preserve"> (iv) for any transacton from which the director </w:t>
      </w:r>
      <w:r>
        <w:rPr>
          <w:rFonts w:ascii="Calibri" w:cs="Calibri" w:eastAsia="Calibri" w:hAnsi="Calibri"/>
          <w:sz w:val="20"/>
          <w:szCs w:val="20"/>
          <w:u w:val="single" w:color="auto"/>
          <w:color w:val="auto"/>
        </w:rPr>
        <w:t>or ofcer</w:t>
      </w:r>
      <w:r>
        <w:rPr>
          <w:rFonts w:ascii="Calibri" w:cs="Calibri" w:eastAsia="Calibri" w:hAnsi="Calibri"/>
          <w:sz w:val="20"/>
          <w:szCs w:val="20"/>
          <w:color w:val="auto"/>
        </w:rPr>
        <w:t xml:space="preserve"> derived any improper personal beneft</w:t>
      </w:r>
      <w:r>
        <w:rPr>
          <w:rFonts w:ascii="Calibri" w:cs="Calibri" w:eastAsia="Calibri" w:hAnsi="Calibri"/>
          <w:sz w:val="20"/>
          <w:szCs w:val="20"/>
          <w:u w:val="single" w:color="auto"/>
          <w:color w:val="auto"/>
        </w:rPr>
        <w:t>, or (v) with</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respect to ofcers only, in any acton by or in the right of the Corporaton</w:t>
      </w:r>
      <w:r>
        <w:rPr>
          <w:rFonts w:ascii="Calibri" w:cs="Calibri" w:eastAsia="Calibri" w:hAnsi="Calibri"/>
          <w:sz w:val="20"/>
          <w:szCs w:val="20"/>
          <w:color w:val="auto"/>
        </w:rPr>
        <w:t xml:space="preserve">. If the DGCL is amended afer the fling of this Restated Certfcate of Incorporaton to authorize corporate acton further eliminatng or limitng the personal liability of directors </w:t>
      </w:r>
      <w:r>
        <w:rPr>
          <w:rFonts w:ascii="Calibri" w:cs="Calibri" w:eastAsia="Calibri" w:hAnsi="Calibri"/>
          <w:sz w:val="20"/>
          <w:szCs w:val="20"/>
          <w:u w:val="single" w:color="auto"/>
          <w:color w:val="auto"/>
        </w:rPr>
        <w:t>or ofcers</w:t>
      </w:r>
      <w:r>
        <w:rPr>
          <w:rFonts w:ascii="Calibri" w:cs="Calibri" w:eastAsia="Calibri" w:hAnsi="Calibri"/>
          <w:sz w:val="20"/>
          <w:szCs w:val="20"/>
          <w:color w:val="auto"/>
        </w:rPr>
        <w:t xml:space="preserve">, then the liability of a director </w:t>
      </w:r>
      <w:r>
        <w:rPr>
          <w:rFonts w:ascii="Calibri" w:cs="Calibri" w:eastAsia="Calibri" w:hAnsi="Calibri"/>
          <w:sz w:val="20"/>
          <w:szCs w:val="20"/>
          <w:u w:val="single" w:color="auto"/>
          <w:color w:val="auto"/>
        </w:rPr>
        <w:t>or</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ofcer</w:t>
      </w:r>
      <w:r>
        <w:rPr>
          <w:rFonts w:ascii="Calibri" w:cs="Calibri" w:eastAsia="Calibri" w:hAnsi="Calibri"/>
          <w:sz w:val="20"/>
          <w:szCs w:val="20"/>
          <w:color w:val="auto"/>
        </w:rPr>
        <w:t xml:space="preserve"> of the Corporaton shall be eliminated or limited to the fullest extent permited by the DGCL as so amended. Any repeal or modifcaton of this Artcle VI by the stockholders of the Corporaton shall be prospectve only, and shall not adversely afect any limitaton on the personal liability of a director </w:t>
      </w:r>
      <w:r>
        <w:rPr>
          <w:rFonts w:ascii="Calibri" w:cs="Calibri" w:eastAsia="Calibri" w:hAnsi="Calibri"/>
          <w:sz w:val="20"/>
          <w:szCs w:val="20"/>
          <w:u w:val="single" w:color="auto"/>
          <w:color w:val="auto"/>
        </w:rPr>
        <w:t>or ofcer</w:t>
      </w:r>
      <w:r>
        <w:rPr>
          <w:rFonts w:ascii="Calibri" w:cs="Calibri" w:eastAsia="Calibri" w:hAnsi="Calibri"/>
          <w:sz w:val="20"/>
          <w:szCs w:val="20"/>
          <w:color w:val="auto"/>
        </w:rPr>
        <w:t xml:space="preserve"> of the Corporaton existng at the tme of such repeal or modifcaton. </w:t>
      </w:r>
      <w:r>
        <w:rPr>
          <w:rFonts w:ascii="Calibri" w:cs="Calibri" w:eastAsia="Calibri" w:hAnsi="Calibri"/>
          <w:sz w:val="20"/>
          <w:szCs w:val="20"/>
          <w:u w:val="single" w:color="auto"/>
          <w:color w:val="auto"/>
        </w:rPr>
        <w:t>For</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purposes of this Artcle VI, “ofcer” shall have the meaning provided in Secton 102(b)(7) of the DGCL as the same exists or hereafer may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FFFFFF"/>
        </w:rPr>
        <w:t>on reverse side</w:t>
      </w:r>
    </w:p>
    <w:p>
      <w:pPr>
        <w:spacing w:after="0" w:line="200" w:lineRule="exact"/>
        <w:rPr>
          <w:sz w:val="20"/>
          <w:szCs w:val="20"/>
          <w:color w:val="auto"/>
        </w:rPr>
      </w:pPr>
    </w:p>
    <w:p>
      <w:pPr>
        <w:spacing w:after="0" w:line="329" w:lineRule="exact"/>
        <w:rPr>
          <w:sz w:val="20"/>
          <w:szCs w:val="20"/>
          <w:color w:val="auto"/>
        </w:rPr>
      </w:pPr>
    </w:p>
    <w:p>
      <w:pPr>
        <w:ind w:left="4060"/>
        <w:spacing w:after="0"/>
        <w:rPr>
          <w:sz w:val="20"/>
          <w:szCs w:val="20"/>
          <w:color w:val="auto"/>
        </w:rPr>
      </w:pPr>
      <w:r>
        <w:rPr>
          <w:rFonts w:ascii="Calibri" w:cs="Calibri" w:eastAsia="Calibri" w:hAnsi="Calibri"/>
          <w:sz w:val="20"/>
          <w:szCs w:val="20"/>
          <w:color w:val="auto"/>
        </w:rPr>
        <w:t>_______________________________</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xml:space="preserve">Eagle Materials Inc. - 2023 PROXY STATEMENT  </w:t>
      </w:r>
      <w:r>
        <w:rPr>
          <w:rFonts w:ascii="Calibri" w:cs="Calibri" w:eastAsia="Calibri" w:hAnsi="Calibri"/>
          <w:sz w:val="17"/>
          <w:szCs w:val="17"/>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8280400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1168400</wp:posOffset>
            </wp:positionH>
            <wp:positionV relativeFrom="page">
              <wp:posOffset>791845</wp:posOffset>
            </wp:positionV>
            <wp:extent cx="5186045" cy="6737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186045" cy="673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5939790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1134110</wp:posOffset>
            </wp:positionH>
            <wp:positionV relativeFrom="page">
              <wp:posOffset>791845</wp:posOffset>
            </wp:positionV>
            <wp:extent cx="5254625" cy="44062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5254625" cy="440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7">
    <w:nsid w:val="77465F01"/>
    <w:multiLevelType w:val="hybridMultilevel"/>
    <w:lvl w:ilvl="0">
      <w:lvlJc w:val="left"/>
      <w:lvlText w:val="(%1)"/>
      <w:numFmt w:val="decimal"/>
      <w:start w:val="2"/>
    </w:lvl>
  </w:abstractNum>
  <w:abstractNum w:abstractNumId="8">
    <w:nsid w:val="7724C67E"/>
    <w:multiLevelType w:val="hybridMultilevel"/>
    <w:lvl w:ilvl="0">
      <w:lvlJc w:val="left"/>
      <w:lvlText w:val="(%1)"/>
      <w:numFmt w:val="decimal"/>
      <w:start w:val="4"/>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lvl w:ilvl="1">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2"/>
    </w:lvl>
  </w:abstractNum>
  <w:abstractNum w:abstractNumId="35">
    <w:nsid w:val="1BA026FA"/>
    <w:multiLevelType w:val="hybridMultilevel"/>
    <w:lvl w:ilvl="0">
      <w:lvlJc w:val="left"/>
      <w:lvlText w:val="(%1)"/>
      <w:numFmt w:val="lowerRoman"/>
      <w:start w:val="1"/>
    </w:lvl>
  </w:abstractNum>
  <w:abstractNum w:abstractNumId="36">
    <w:nsid w:val="79A1DEAA"/>
    <w:multiLevelType w:val="hybridMultilevel"/>
    <w:lvl w:ilvl="0">
      <w:lvlJc w:val="left"/>
      <w:lvlText w:val="(%1)"/>
      <w:numFmt w:val="lowerRoman"/>
      <w:start w:val="2"/>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lowerRoman"/>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3"/>
    </w:lvl>
  </w:abstractNum>
  <w:abstractNum w:abstractNumId="43">
    <w:nsid w:val="23F9C13C"/>
    <w:multiLevelType w:val="hybridMultilevel"/>
    <w:lvl w:ilvl="0">
      <w:lvlJc w:val="left"/>
      <w:lvlText w:val="(%1)"/>
      <w:numFmt w:val="decimal"/>
      <w:start w:val="5"/>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2"/>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3"/>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decimal"/>
      <w:start w:val="3"/>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decimal"/>
      <w:start w:val="5"/>
    </w:lvl>
  </w:abstractNum>
  <w:abstractNum w:abstractNumId="57">
    <w:nsid w:val="61574095"/>
    <w:multiLevelType w:val="hybridMultilevel"/>
    <w:lvl w:ilvl="0">
      <w:lvlJc w:val="left"/>
      <w:lvlText w:val="(%1)"/>
      <w:numFmt w:val="decimal"/>
      <w:start w:val="7"/>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7"/>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2024-06-17T15:30:27Z</dcterms:created>
  <dcterms:modified xsi:type="dcterms:W3CDTF">2024-06-17T15:30:27Z</dcterms:modified>
</cp:coreProperties>
</file>