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March 31, 2024</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No.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EAGLE MATERIALS INC.</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Delaware </w:t>
      </w:r>
      <w:r>
        <w:rPr>
          <w:rFonts w:ascii="Arial" w:cs="Arial" w:eastAsia="Arial" w:hAnsi="Arial"/>
          <w:sz w:val="14"/>
          <w:szCs w:val="14"/>
          <w:color w:val="auto"/>
        </w:rPr>
        <w:t>(State of Incorporation)</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75-2520779 </w:t>
      </w:r>
      <w:r>
        <w:rPr>
          <w:rFonts w:ascii="Arial" w:cs="Arial" w:eastAsia="Arial" w:hAnsi="Arial"/>
          <w:sz w:val="14"/>
          <w:szCs w:val="14"/>
          <w:color w:val="auto"/>
        </w:rPr>
        <w:t>(I.R.S. Employer Identification No.)</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5960 Berkshire Lane, Suite 900, Dallas, Texas 75225 </w:t>
      </w:r>
      <w:r>
        <w:rPr>
          <w:rFonts w:ascii="Arial" w:cs="Arial" w:eastAsia="Arial" w:hAnsi="Arial"/>
          <w:sz w:val="14"/>
          <w:szCs w:val="14"/>
          <w:color w:val="auto"/>
        </w:rPr>
        <w:t>(Address of principal executive offices)</w:t>
      </w:r>
    </w:p>
    <w:p>
      <w:pPr>
        <w:spacing w:after="0" w:line="39" w:lineRule="exact"/>
        <w:rPr>
          <w:sz w:val="24"/>
          <w:szCs w:val="24"/>
          <w:color w:val="auto"/>
        </w:rPr>
      </w:pPr>
    </w:p>
    <w:p>
      <w:pPr>
        <w:ind w:left="4420" w:hanging="418"/>
        <w:spacing w:after="0"/>
        <w:tabs>
          <w:tab w:leader="none" w:pos="4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432-2000 </w:t>
      </w:r>
      <w:r>
        <w:rPr>
          <w:rFonts w:ascii="Arial" w:cs="Arial" w:eastAsia="Arial" w:hAnsi="Arial"/>
          <w:sz w:val="14"/>
          <w:szCs w:val="14"/>
          <w:color w:val="auto"/>
        </w:rPr>
        <w:t>(Registrant’s telephone number)</w:t>
      </w:r>
    </w:p>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8"/>
                <w:szCs w:val="18"/>
                <w:color w:val="auto"/>
              </w:rPr>
            </w:pPr>
          </w:p>
        </w:tc>
        <w:tc>
          <w:tcPr>
            <w:tcW w:w="4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4500" w:type="dxa"/>
            <w:vAlign w:val="bottom"/>
          </w:tcPr>
          <w:p>
            <w:pPr>
              <w:jc w:val="center"/>
              <w:spacing w:after="0"/>
              <w:rPr>
                <w:sz w:val="20"/>
                <w:szCs w:val="20"/>
                <w:color w:val="auto"/>
              </w:rPr>
            </w:pPr>
            <w:r>
              <w:rPr>
                <w:rFonts w:ascii="Arial" w:cs="Arial" w:eastAsia="Arial" w:hAnsi="Arial"/>
                <w:sz w:val="14"/>
                <w:szCs w:val="14"/>
                <w:color w:val="auto"/>
              </w:rPr>
              <w:t>Common Stock (par value $.01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EXP</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20" w:type="dxa"/>
            <w:vAlign w:val="bottom"/>
          </w:tcPr>
          <w:p>
            <w:pPr>
              <w:jc w:val="center"/>
              <w:ind w:right="128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352"/>
        </w:trPr>
        <w:tc>
          <w:tcPr>
            <w:tcW w:w="8120" w:type="dxa"/>
            <w:vAlign w:val="bottom"/>
            <w:gridSpan w:val="6"/>
          </w:tcPr>
          <w:p>
            <w:pPr>
              <w:ind w:left="316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2260" w:type="dxa"/>
            <w:vAlign w:val="bottom"/>
            <w:tcBorders>
              <w:bottom w:val="single" w:sz="8" w:color="auto"/>
            </w:tcBorders>
            <w:gridSpan w:val="3"/>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120" w:type="dxa"/>
            <w:vAlign w:val="bottom"/>
            <w:vMerge w:val="restart"/>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0"/>
        </w:trPr>
        <w:tc>
          <w:tcPr>
            <w:tcW w:w="75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5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12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0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9"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See definition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25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88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42"/>
        </w:trPr>
        <w:tc>
          <w:tcPr>
            <w:tcW w:w="382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3780" w:type="dxa"/>
            <w:vAlign w:val="bottom"/>
          </w:tcPr>
          <w:p>
            <w:pPr>
              <w:spacing w:after="0"/>
              <w:rPr>
                <w:sz w:val="21"/>
                <w:szCs w:val="21"/>
                <w:color w:val="auto"/>
              </w:rPr>
            </w:pPr>
          </w:p>
        </w:tc>
      </w:tr>
    </w:tbl>
    <w:p>
      <w:pPr>
        <w:spacing w:after="0" w:line="19"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ind w:right="200"/>
        <w:spacing w:after="0" w:line="281" w:lineRule="auto"/>
        <w:rPr>
          <w:sz w:val="20"/>
          <w:szCs w:val="20"/>
          <w:color w:val="auto"/>
        </w:rPr>
      </w:pPr>
      <w:r>
        <w:rPr>
          <w:rFonts w:ascii="Arial" w:cs="Arial" w:eastAsia="Arial" w:hAnsi="Arial"/>
          <w:sz w:val="14"/>
          <w:szCs w:val="14"/>
          <w:color w:val="auto"/>
        </w:rPr>
        <w:t>The aggregate market value of the voting stock held by nonaffiliates of the Company at September 30, 2023 (the last business day of the registrant’s most recently completed second fiscal quarter) was approximately $5.7 billion.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May 17, 2024, the number of outstanding shares of common stock was:</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Class</w:t>
            </w:r>
          </w:p>
        </w:tc>
        <w:tc>
          <w:tcPr>
            <w:tcW w:w="22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Outstanding Shares</w:t>
            </w:r>
          </w:p>
        </w:tc>
      </w:tr>
      <w:tr>
        <w:trPr>
          <w:trHeight w:val="184"/>
        </w:trPr>
        <w:tc>
          <w:tcPr>
            <w:tcW w:w="5520" w:type="dxa"/>
            <w:vAlign w:val="bottom"/>
          </w:tcPr>
          <w:p>
            <w:pPr>
              <w:jc w:val="center"/>
              <w:spacing w:after="0"/>
              <w:rPr>
                <w:sz w:val="20"/>
                <w:szCs w:val="20"/>
                <w:color w:val="auto"/>
              </w:rPr>
            </w:pPr>
            <w:r>
              <w:rPr>
                <w:rFonts w:ascii="Arial" w:cs="Arial" w:eastAsia="Arial" w:hAnsi="Arial"/>
                <w:sz w:val="14"/>
                <w:szCs w:val="14"/>
                <w:color w:val="auto"/>
              </w:rPr>
              <w:t>Common Stock, $.01 Par Value</w:t>
            </w:r>
          </w:p>
        </w:tc>
        <w:tc>
          <w:tcPr>
            <w:tcW w:w="220" w:type="dxa"/>
            <w:vAlign w:val="bottom"/>
          </w:tcPr>
          <w:p>
            <w:pPr>
              <w:spacing w:after="0"/>
              <w:rPr>
                <w:sz w:val="15"/>
                <w:szCs w:val="15"/>
                <w:color w:val="auto"/>
              </w:rPr>
            </w:pPr>
          </w:p>
        </w:tc>
        <w:tc>
          <w:tcPr>
            <w:tcW w:w="5500" w:type="dxa"/>
            <w:vAlign w:val="bottom"/>
          </w:tcPr>
          <w:p>
            <w:pPr>
              <w:jc w:val="right"/>
              <w:ind w:right="2313"/>
              <w:spacing w:after="0"/>
              <w:rPr>
                <w:sz w:val="20"/>
                <w:szCs w:val="20"/>
                <w:color w:val="auto"/>
              </w:rPr>
            </w:pPr>
            <w:r>
              <w:rPr>
                <w:rFonts w:ascii="Arial" w:cs="Arial" w:eastAsia="Arial" w:hAnsi="Arial"/>
                <w:sz w:val="14"/>
                <w:szCs w:val="14"/>
                <w:color w:val="auto"/>
              </w:rPr>
              <w:t>33,915,345</w:t>
            </w:r>
          </w:p>
        </w:tc>
      </w:tr>
    </w:tbl>
    <w:p>
      <w:pPr>
        <w:spacing w:after="0" w:line="14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4" w:lineRule="exact"/>
        <w:rPr>
          <w:sz w:val="24"/>
          <w:szCs w:val="24"/>
          <w:color w:val="auto"/>
        </w:rPr>
      </w:pPr>
    </w:p>
    <w:p>
      <w:pPr>
        <w:ind w:right="380"/>
        <w:spacing w:after="0" w:line="285" w:lineRule="auto"/>
        <w:rPr>
          <w:sz w:val="20"/>
          <w:szCs w:val="20"/>
          <w:color w:val="auto"/>
        </w:rPr>
      </w:pPr>
      <w:r>
        <w:rPr>
          <w:rFonts w:ascii="Arial" w:cs="Arial" w:eastAsia="Arial" w:hAnsi="Arial"/>
          <w:sz w:val="14"/>
          <w:szCs w:val="14"/>
          <w:color w:val="auto"/>
        </w:rPr>
        <w:t>Portions of the Proxy Statement for the Annual Meeting of Stockholders of Eagle Materials Inc. to be held on August 1, 2024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4"/>
              </w:rPr>
              <w:t>PART I</w:t>
            </w:r>
          </w:p>
        </w:tc>
        <w:tc>
          <w:tcPr>
            <w:tcW w:w="6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31"/>
          </w:tcPr>
          <w:p>
            <w:pPr>
              <w:spacing w:after="0"/>
              <w:rPr>
                <w:sz w:val="20"/>
                <w:szCs w:val="20"/>
                <w:color w:val="auto"/>
              </w:rPr>
            </w:pPr>
            <w:r>
              <w:rPr>
                <w:rFonts w:ascii="Arial" w:cs="Arial" w:eastAsia="Arial" w:hAnsi="Arial"/>
                <w:sz w:val="18"/>
                <w:szCs w:val="18"/>
                <w:color w:val="auto"/>
              </w:rPr>
              <w:t>Business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980" w:type="dxa"/>
            <w:vAlign w:val="bottom"/>
            <w:gridSpan w:val="30"/>
          </w:tcPr>
          <w:p>
            <w:pPr>
              <w:spacing w:after="0" w:line="182" w:lineRule="exact"/>
              <w:rPr>
                <w:sz w:val="20"/>
                <w:szCs w:val="20"/>
                <w:color w:val="auto"/>
              </w:rPr>
            </w:pPr>
            <w:r>
              <w:rPr>
                <w:rFonts w:ascii="Arial" w:cs="Arial" w:eastAsia="Arial" w:hAnsi="Arial"/>
                <w:sz w:val="18"/>
                <w:szCs w:val="18"/>
                <w:color w:val="auto"/>
              </w:rPr>
              <w:t>Overview</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980" w:type="dxa"/>
            <w:vAlign w:val="bottom"/>
            <w:gridSpan w:val="30"/>
          </w:tcPr>
          <w:p>
            <w:pPr>
              <w:spacing w:after="0" w:line="182" w:lineRule="exact"/>
              <w:rPr>
                <w:sz w:val="20"/>
                <w:szCs w:val="20"/>
                <w:color w:val="auto"/>
              </w:rPr>
            </w:pPr>
            <w:r>
              <w:rPr>
                <w:rFonts w:ascii="Arial" w:cs="Arial" w:eastAsia="Arial" w:hAnsi="Arial"/>
                <w:sz w:val="18"/>
                <w:szCs w:val="18"/>
                <w:color w:val="auto"/>
              </w:rPr>
              <w:t>Fiscal 2024 Highlights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auto"/>
                <w:w w:val="99"/>
              </w:rPr>
              <w:t>Human Capital</w:t>
            </w:r>
          </w:p>
        </w:tc>
        <w:tc>
          <w:tcPr>
            <w:tcW w:w="56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980" w:type="dxa"/>
            <w:vAlign w:val="bottom"/>
            <w:gridSpan w:val="30"/>
          </w:tcPr>
          <w:p>
            <w:pPr>
              <w:spacing w:after="0" w:line="182" w:lineRule="exact"/>
              <w:rPr>
                <w:sz w:val="20"/>
                <w:szCs w:val="20"/>
                <w:color w:val="auto"/>
              </w:rPr>
            </w:pPr>
            <w:r>
              <w:rPr>
                <w:rFonts w:ascii="Arial" w:cs="Arial" w:eastAsia="Arial" w:hAnsi="Arial"/>
                <w:sz w:val="18"/>
                <w:szCs w:val="18"/>
                <w:color w:val="auto"/>
              </w:rPr>
              <w:t>Industry Segment Information</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auto"/>
              </w:rPr>
              <w:t>Where You Can Find More</w:t>
            </w:r>
          </w:p>
        </w:tc>
        <w:tc>
          <w:tcPr>
            <w:tcW w:w="6620" w:type="dxa"/>
            <w:vAlign w:val="bottom"/>
            <w:gridSpan w:val="13"/>
          </w:tcPr>
          <w:p>
            <w:pPr>
              <w:spacing w:after="0" w:line="182" w:lineRule="exact"/>
              <w:rPr>
                <w:sz w:val="20"/>
                <w:szCs w:val="20"/>
                <w:color w:val="auto"/>
              </w:rPr>
            </w:pPr>
            <w:r>
              <w:rPr>
                <w:rFonts w:ascii="Arial" w:cs="Arial" w:eastAsia="Arial" w:hAnsi="Arial"/>
                <w:sz w:val="18"/>
                <w:szCs w:val="18"/>
                <w:color w:val="auto"/>
              </w:rPr>
              <w:t>Information</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vMerge w:val="continue"/>
          </w:tcPr>
          <w:p>
            <w:pPr>
              <w:spacing w:after="0"/>
              <w:rPr>
                <w:sz w:val="15"/>
                <w:szCs w:val="15"/>
                <w:color w:val="auto"/>
              </w:rPr>
            </w:pPr>
          </w:p>
        </w:tc>
        <w:tc>
          <w:tcPr>
            <w:tcW w:w="3280" w:type="dxa"/>
            <w:vAlign w:val="bottom"/>
            <w:gridSpan w:val="20"/>
          </w:tcPr>
          <w:p>
            <w:pPr>
              <w:spacing w:after="0" w:line="182" w:lineRule="exact"/>
              <w:rPr>
                <w:sz w:val="20"/>
                <w:szCs w:val="20"/>
                <w:color w:val="auto"/>
              </w:rPr>
            </w:pPr>
            <w:r>
              <w:rPr>
                <w:rFonts w:ascii="Arial" w:cs="Arial" w:eastAsia="Arial" w:hAnsi="Arial"/>
                <w:sz w:val="18"/>
                <w:szCs w:val="18"/>
                <w:color w:val="auto"/>
              </w:rPr>
              <w:t>Risk Factors</w:t>
            </w:r>
          </w:p>
        </w:tc>
        <w:tc>
          <w:tcPr>
            <w:tcW w:w="2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auto"/>
              </w:rPr>
              <w:t>Unresolved</w:t>
            </w:r>
          </w:p>
        </w:tc>
        <w:tc>
          <w:tcPr>
            <w:tcW w:w="8200" w:type="dxa"/>
            <w:vAlign w:val="bottom"/>
            <w:gridSpan w:val="25"/>
          </w:tcPr>
          <w:p>
            <w:pPr>
              <w:spacing w:after="0" w:line="182" w:lineRule="exact"/>
              <w:rPr>
                <w:sz w:val="20"/>
                <w:szCs w:val="20"/>
                <w:color w:val="auto"/>
              </w:rPr>
            </w:pPr>
            <w:r>
              <w:rPr>
                <w:rFonts w:ascii="Arial" w:cs="Arial" w:eastAsia="Arial" w:hAnsi="Arial"/>
                <w:sz w:val="18"/>
                <w:szCs w:val="18"/>
                <w:color w:val="auto"/>
              </w:rPr>
              <w:t>Staff Comments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1C.</w:t>
            </w:r>
          </w:p>
        </w:tc>
        <w:tc>
          <w:tcPr>
            <w:tcW w:w="22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auto"/>
              </w:rPr>
              <w:t>Cybersecurity</w:t>
            </w:r>
          </w:p>
        </w:tc>
        <w:tc>
          <w:tcPr>
            <w:tcW w:w="92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7"/>
              </w:rPr>
              <w:t>Properties</w:t>
            </w:r>
          </w:p>
        </w:tc>
        <w:tc>
          <w:tcPr>
            <w:tcW w:w="280" w:type="dxa"/>
            <w:vAlign w:val="bottom"/>
            <w:tcBorders>
              <w:top w:val="single" w:sz="8" w:color="0000EE"/>
            </w:tcBorders>
            <w:gridSpan w:val="3"/>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3.</w:t>
            </w:r>
          </w:p>
        </w:tc>
        <w:tc>
          <w:tcPr>
            <w:tcW w:w="9200" w:type="dxa"/>
            <w:vAlign w:val="bottom"/>
            <w:gridSpan w:val="31"/>
          </w:tcPr>
          <w:p>
            <w:pPr>
              <w:spacing w:after="0" w:line="182" w:lineRule="exact"/>
              <w:rPr>
                <w:sz w:val="20"/>
                <w:szCs w:val="20"/>
                <w:color w:val="auto"/>
              </w:rPr>
            </w:pPr>
            <w:r>
              <w:rPr>
                <w:rFonts w:ascii="Arial" w:cs="Arial" w:eastAsia="Arial" w:hAnsi="Arial"/>
                <w:sz w:val="18"/>
                <w:szCs w:val="18"/>
                <w:color w:val="auto"/>
              </w:rPr>
              <w:t>Legal Proceedings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Item 4.</w:t>
            </w: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vMerge w:val="continue"/>
          </w:tcPr>
          <w:p>
            <w:pPr>
              <w:spacing w:after="0"/>
              <w:rPr>
                <w:sz w:val="15"/>
                <w:szCs w:val="15"/>
                <w:color w:val="auto"/>
              </w:rPr>
            </w:pPr>
          </w:p>
        </w:tc>
        <w:tc>
          <w:tcPr>
            <w:tcW w:w="9200" w:type="dxa"/>
            <w:vAlign w:val="bottom"/>
            <w:gridSpan w:val="31"/>
          </w:tcPr>
          <w:p>
            <w:pPr>
              <w:spacing w:after="0" w:line="182" w:lineRule="exact"/>
              <w:rPr>
                <w:sz w:val="20"/>
                <w:szCs w:val="20"/>
                <w:color w:val="auto"/>
              </w:rPr>
            </w:pPr>
            <w:r>
              <w:rPr>
                <w:rFonts w:ascii="Arial" w:cs="Arial" w:eastAsia="Arial" w:hAnsi="Arial"/>
                <w:sz w:val="18"/>
                <w:szCs w:val="18"/>
                <w:color w:val="auto"/>
              </w:rPr>
              <w:t>Mine Safety Disclosures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5.</w:t>
            </w:r>
          </w:p>
        </w:tc>
        <w:tc>
          <w:tcPr>
            <w:tcW w:w="700" w:type="dxa"/>
            <w:vAlign w:val="bottom"/>
            <w:gridSpan w:val="5"/>
          </w:tcPr>
          <w:p>
            <w:pPr>
              <w:spacing w:after="0"/>
              <w:rPr>
                <w:sz w:val="24"/>
                <w:szCs w:val="24"/>
                <w:color w:val="auto"/>
              </w:rPr>
            </w:pPr>
          </w:p>
        </w:tc>
        <w:tc>
          <w:tcPr>
            <w:tcW w:w="9200" w:type="dxa"/>
            <w:vAlign w:val="bottom"/>
            <w:gridSpan w:val="31"/>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6.</w:t>
            </w:r>
          </w:p>
        </w:tc>
        <w:tc>
          <w:tcPr>
            <w:tcW w:w="892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auto"/>
              </w:rPr>
              <w:t>Selected Financial Data</w:t>
            </w: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7.</w:t>
            </w:r>
          </w:p>
        </w:tc>
        <w:tc>
          <w:tcPr>
            <w:tcW w:w="19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auto"/>
                <w:w w:val="89"/>
              </w:rPr>
              <w:t>Management’s Discussion</w:t>
            </w: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7180" w:type="dxa"/>
            <w:vAlign w:val="bottom"/>
            <w:gridSpan w:val="15"/>
          </w:tcPr>
          <w:p>
            <w:pPr>
              <w:ind w:left="120"/>
              <w:spacing w:after="0" w:line="182" w:lineRule="exact"/>
              <w:rPr>
                <w:sz w:val="20"/>
                <w:szCs w:val="20"/>
                <w:color w:val="auto"/>
              </w:rPr>
            </w:pPr>
            <w:r>
              <w:rPr>
                <w:rFonts w:ascii="Arial" w:cs="Arial" w:eastAsia="Arial" w:hAnsi="Arial"/>
                <w:sz w:val="18"/>
                <w:szCs w:val="18"/>
                <w:color w:val="auto"/>
              </w:rPr>
              <w:t>and Analysis of Financial Condition and Results of Operations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7A.</w:t>
            </w:r>
          </w:p>
        </w:tc>
        <w:tc>
          <w:tcPr>
            <w:tcW w:w="706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8.</w:t>
            </w:r>
          </w:p>
        </w:tc>
        <w:tc>
          <w:tcPr>
            <w:tcW w:w="470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auto"/>
                <w:w w:val="94"/>
              </w:rPr>
              <w:t>Changes in and Disagreements with Accountants</w:t>
            </w:r>
          </w:p>
        </w:tc>
        <w:tc>
          <w:tcPr>
            <w:tcW w:w="5480" w:type="dxa"/>
            <w:vAlign w:val="bottom"/>
            <w:gridSpan w:val="9"/>
          </w:tcPr>
          <w:p>
            <w:pPr>
              <w:ind w:left="260"/>
              <w:spacing w:after="0" w:line="182" w:lineRule="exact"/>
              <w:rPr>
                <w:sz w:val="20"/>
                <w:szCs w:val="20"/>
                <w:color w:val="auto"/>
              </w:rPr>
            </w:pPr>
            <w:r>
              <w:rPr>
                <w:rFonts w:ascii="Arial" w:cs="Arial" w:eastAsia="Arial" w:hAnsi="Arial"/>
                <w:sz w:val="18"/>
                <w:szCs w:val="18"/>
                <w:color w:val="auto"/>
              </w:rPr>
              <w:t>on Accounting and Financial Disclosure</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auto"/>
              </w:rPr>
              <w:t>Controls and Procedures</w:t>
            </w:r>
          </w:p>
        </w:tc>
        <w:tc>
          <w:tcPr>
            <w:tcW w:w="88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auto"/>
                <w:w w:val="98"/>
              </w:rPr>
              <w:t>Other Information</w:t>
            </w:r>
          </w:p>
        </w:tc>
        <w:tc>
          <w:tcPr>
            <w:tcW w:w="60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120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9C.</w:t>
            </w:r>
          </w:p>
        </w:tc>
        <w:tc>
          <w:tcPr>
            <w:tcW w:w="9200" w:type="dxa"/>
            <w:vAlign w:val="bottom"/>
            <w:gridSpan w:val="31"/>
          </w:tcPr>
          <w:p>
            <w:pPr>
              <w:spacing w:after="0" w:line="182" w:lineRule="exact"/>
              <w:rPr>
                <w:sz w:val="20"/>
                <w:szCs w:val="20"/>
                <w:color w:val="auto"/>
              </w:rPr>
            </w:pPr>
            <w:r>
              <w:rPr>
                <w:rFonts w:ascii="Arial" w:cs="Arial" w:eastAsia="Arial" w:hAnsi="Arial"/>
                <w:sz w:val="18"/>
                <w:szCs w:val="18"/>
                <w:color w:val="auto"/>
              </w:rPr>
              <w:t>Disclosure Regarding Foreign Jurisdictions That Prevent Inspections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auto"/>
                <w:w w:val="95"/>
              </w:rPr>
              <w:t>PART III</w:t>
            </w:r>
          </w:p>
        </w:tc>
        <w:tc>
          <w:tcPr>
            <w:tcW w:w="640" w:type="dxa"/>
            <w:vAlign w:val="bottom"/>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31"/>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11.</w:t>
            </w:r>
          </w:p>
        </w:tc>
        <w:tc>
          <w:tcPr>
            <w:tcW w:w="202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auto"/>
              </w:rPr>
              <w:t>Executive Compensation</w:t>
            </w:r>
          </w:p>
        </w:tc>
        <w:tc>
          <w:tcPr>
            <w:tcW w:w="2460" w:type="dxa"/>
            <w:vAlign w:val="bottom"/>
            <w:tcBorders>
              <w:top w:val="single" w:sz="8" w:color="0000EE"/>
            </w:tcBorders>
            <w:gridSpan w:val="7"/>
          </w:tcPr>
          <w:p>
            <w:pPr>
              <w:spacing w:after="0"/>
              <w:rPr>
                <w:sz w:val="15"/>
                <w:szCs w:val="15"/>
                <w:color w:val="auto"/>
              </w:rPr>
            </w:pPr>
          </w:p>
        </w:tc>
        <w:tc>
          <w:tcPr>
            <w:tcW w:w="158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120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12.</w:t>
            </w:r>
          </w:p>
        </w:tc>
        <w:tc>
          <w:tcPr>
            <w:tcW w:w="9200" w:type="dxa"/>
            <w:vAlign w:val="bottom"/>
            <w:gridSpan w:val="31"/>
          </w:tcPr>
          <w:p>
            <w:pPr>
              <w:spacing w:after="0" w:line="18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20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auto"/>
              </w:rPr>
              <w:t>Principal Accounting Fees and Services</w:t>
            </w:r>
          </w:p>
        </w:tc>
        <w:tc>
          <w:tcPr>
            <w:tcW w:w="3140" w:type="dxa"/>
            <w:vAlign w:val="bottom"/>
            <w:gridSpan w:val="5"/>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auto"/>
                <w:w w:val="95"/>
              </w:rPr>
              <w:t>PART IV</w:t>
            </w:r>
          </w:p>
        </w:tc>
        <w:tc>
          <w:tcPr>
            <w:tcW w:w="62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200" w:type="dxa"/>
            <w:vAlign w:val="bottom"/>
            <w:gridSpan w:val="31"/>
          </w:tcPr>
          <w:p>
            <w:pPr>
              <w:spacing w:after="0"/>
              <w:rPr>
                <w:sz w:val="20"/>
                <w:szCs w:val="20"/>
                <w:color w:val="auto"/>
              </w:rPr>
            </w:pPr>
            <w:r>
              <w:rPr>
                <w:rFonts w:ascii="Arial" w:cs="Arial" w:eastAsia="Arial" w:hAnsi="Arial"/>
                <w:sz w:val="18"/>
                <w:szCs w:val="18"/>
                <w:color w:val="auto"/>
              </w:rPr>
              <w:t>Exhibits and Financial Statement Schedules</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520" w:type="dxa"/>
            <w:vAlign w:val="bottom"/>
            <w:gridSpan w:val="37"/>
          </w:tcPr>
          <w:p>
            <w:pPr>
              <w:spacing w:after="0"/>
              <w:rPr>
                <w:sz w:val="20"/>
                <w:szCs w:val="20"/>
                <w:color w:val="auto"/>
              </w:rPr>
            </w:pPr>
            <w:r>
              <w:rPr>
                <w:rFonts w:ascii="Arial" w:cs="Arial" w:eastAsia="Arial" w:hAnsi="Arial"/>
                <w:sz w:val="18"/>
                <w:szCs w:val="18"/>
                <w:b w:val="1"/>
                <w:bCs w:val="1"/>
                <w:color w:val="auto"/>
              </w:rPr>
              <w:t>INDEX TO EXHIBITS</w:t>
            </w: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9200" w:type="dxa"/>
            <w:vAlign w:val="bottom"/>
            <w:gridSpan w:val="31"/>
          </w:tcPr>
          <w:p>
            <w:pPr>
              <w:spacing w:after="0"/>
              <w:rPr>
                <w:sz w:val="20"/>
                <w:szCs w:val="20"/>
                <w:color w:val="auto"/>
              </w:rPr>
            </w:pPr>
            <w:r>
              <w:rPr>
                <w:rFonts w:ascii="Arial" w:cs="Arial" w:eastAsia="Arial" w:hAnsi="Arial"/>
                <w:sz w:val="18"/>
                <w:szCs w:val="18"/>
                <w:color w:val="auto"/>
              </w:rPr>
              <w:t>Form 10-K Summary</w:t>
            </w: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SIGNATURES</w:t>
            </w: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t>PART I</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OVERVIEW</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Eagle Materials Inc., through its subsidiaries (the Company, which may be referred to as we, our, or us), is a leading manufacturer of heavy construction materials and light building materials in the United States. Our primary products, portland cement and gypsum wallboard, are commodities that are essential in commercial and residential construction; public construction projects to build, expand, and repair roads and highways; and repair and remodel activities. Demand for our products is generally cyclical and seasonal, depending on economic and geographic conditions. We distribute our products throughout most of the United States, except the Northeast, which provides us with regional economic diversification.</w:t>
      </w:r>
    </w:p>
    <w:p>
      <w:pPr>
        <w:spacing w:after="0" w:line="71"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The Company was founded in 1963 as a building materials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Competitive Strengths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benefit from several competitive strengths that have enabled us to deliver consistently strong operating results and profitable growth.</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004483"/>
        </w:rPr>
        <w:t>Strategically located plant network</w:t>
      </w:r>
    </w:p>
    <w:p>
      <w:pPr>
        <w:spacing w:after="0" w:line="94"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O</w:t>
      </w:r>
      <w:r>
        <w:rPr>
          <w:rFonts w:ascii="Arial" w:cs="Arial" w:eastAsia="Arial" w:hAnsi="Arial"/>
          <w:sz w:val="17"/>
          <w:szCs w:val="17"/>
          <w:color w:val="auto"/>
        </w:rPr>
        <w:t>ur plants are located near both our raw material reserves and customers in high-growth U.S. markets. The proximity to raw materials and</w:t>
      </w:r>
      <w:r>
        <w:rPr>
          <w:rFonts w:ascii="Arial" w:cs="Arial" w:eastAsia="Arial" w:hAnsi="Arial"/>
          <w:sz w:val="20"/>
          <w:szCs w:val="20"/>
          <w:color w:val="auto"/>
        </w:rPr>
        <w:t xml:space="preserve"> </w:t>
      </w:r>
      <w:r>
        <w:rPr>
          <w:rFonts w:ascii="Arial" w:cs="Arial" w:eastAsia="Arial" w:hAnsi="Arial"/>
          <w:sz w:val="17"/>
          <w:szCs w:val="17"/>
          <w:color w:val="auto"/>
        </w:rPr>
        <w:t>customers lowers our transportation costs and carbon footprint. The location of our plants across several high-growth regions within the United States provides geographic diversification, reducing our exposure to individual regional construction cycles, and enabling us to move product between different plants in our network as needed. The integrated nature of our plant network enables us to supply customers from more than one plant when desirable.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004483"/>
        </w:rPr>
        <w:t>Low-cost producer position</w:t>
      </w:r>
    </w:p>
    <w:p>
      <w:pPr>
        <w:spacing w:after="0" w:line="9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Our modern production lines, consistent maintenance programs, access to low-cost raw materials, and our focus on continuous efficiency improvement help us minimize production costs across the network.</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04483"/>
        </w:rPr>
        <w:t>Production flexibility</w:t>
      </w:r>
    </w:p>
    <w:p>
      <w:pPr>
        <w:spacing w:after="0" w:line="97"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We manage our production lines and work shifts to enable us to operate our plants at high utilization levels generally, while providing optimal production flexibility. Accordingly, we can quickly position for downturns, and quickly and efficiently ramp up when demand rebounds.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004483"/>
        </w:rPr>
        <w:t>Substantial owned raw material reserves and resources</w:t>
      </w:r>
    </w:p>
    <w:p>
      <w:pPr>
        <w:spacing w:after="0" w:line="97"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own at least 25 years of primary raw material reserves (and in many instances, more than 50 years) for each of our cement and wallboard facilities, providing certainty of supply and enhancing our ability to control the cost of our primary raw materials.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6" w:right="399" w:bottom="1440" w:gutter="0" w:footer="0" w:header="0"/>
        </w:sectPr>
      </w:pPr>
    </w:p>
    <w:bookmarkStart w:id="3" w:name="page4"/>
    <w:bookmarkEnd w:id="3"/>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004483"/>
        </w:rPr>
        <w:t>Proven management</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current management team has significant and valuable expertise, with an average industry experience of more than 20 years, spanning several business cycles. Management’s conservative balance sheet strategy focuses on maintaining prudent levels of leverage and liquidity through the business cycle to protect the balance sheet through downturns and enable us to take advantage of growth opportunities, whether organic or through 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Strategy</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rigorously pursue the following overarching strategic objectives that we believe consistently differentiate us from our competitors and contribute to our margin performance and growth: maintaining our position as a low-cost producer in all our markets, maintaining a decentralized operating structure, operating solely in the United States in regionally diverse and attractive markets, achieving profitable growth through both strategic acquisitions and the organic development of our asset network, and operating in a socially and environmentally responsible manner.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04483"/>
        </w:rPr>
        <w:t>Continuously innovate to advance our low-cost position</w:t>
      </w:r>
    </w:p>
    <w:p>
      <w:pPr>
        <w:spacing w:after="0" w:line="9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goal and the bedrock of our strategy is to be a low-cost producer in each of the markets in which we compete. We have right-sized capacity to service the markets we participate in, and we focus diligently on reducing costs and making our operations more efficient to manage free cash flow through the economic cycle.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not only key to our commercial success, it also aligns to a significant extent with our commitment to sustainable environmental practices. To maintain our low-cost producer position, we are always innovating our production processes with the aim of using fewer resources to make the same products. We regularly invest in technologies at our facilities to control emissions and to modify the fuels that we burn.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004483"/>
        </w:rPr>
        <w:t>Maintain a decentralized operating structure</w:t>
      </w:r>
    </w:p>
    <w:p>
      <w:pPr>
        <w:spacing w:after="0" w:line="9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Company operates through a decentralized structure: operations are managed separately, and products are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 We view our cement plant system and our wallboard plant system as integrated networks, allowing us to ship products, minimize freight costs, and serve customers from different plants when desirable. The impact of regional construction cycles on our businesses is mitigated to some degree by our geographic diversification and integrated network of plants.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04483"/>
        </w:rPr>
        <w:t>Operate in regionally diverse and attractive markets</w:t>
      </w:r>
    </w:p>
    <w:p>
      <w:pPr>
        <w:spacing w:after="0" w:line="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Demand for our products depends on construction activity, which tends to correlate with population growth. While the Company’s markets include most of the United States, except the Northeast, approximately 65% of our total revenue is generated in ten states: Colorado, Illinois, Kansas, Kentucky, Missouri, Nebraska, Nevada, Ohio, Oklahoma, and Texas. Population growth is a major driver of construction products and building materials demand. The population in these ten states is expected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increase approximately 11% between the 2020 census and 2050, compared with 7% for the United States as a whole, according to the latest update in February 2024 by Moody’s Analytics.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004483"/>
        </w:rPr>
        <w:t>Achieve profitable growth through acquisition and organic development</w:t>
      </w:r>
    </w:p>
    <w:p>
      <w:pPr>
        <w:spacing w:after="0" w:line="97"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We seek to grow the Company through acquisitions and the organic development of our asset network. Since 2012, we have invested approximately $2.4 billion to expand the Heavy Materials sector. These investments have more than doubled our U.S. cement capacity.</w:t>
      </w:r>
    </w:p>
    <w:p>
      <w:pPr>
        <w:spacing w:after="0" w:line="2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This growth has been achieved mainly through acquisitions, which have expanded our geographic footprint, resulting in a contiguous and integrated cement system from northern California to western Pennsylvania and south to Texas. We have completed additional bolt-on acquisitions, which also contribute to our expanded geographic footprint.</w:t>
      </w:r>
    </w:p>
    <w:p>
      <w:pPr>
        <w:spacing w:after="0" w:line="6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Company will continue to proactively pursue acquisition opportunities. Our free cash flow and balance sheet strength enable us to consider acquisitions and organic growth opportunities that align with our stringent return-on-investment objectives.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004483"/>
        </w:rPr>
        <w:t>Operate in a socially and environmentally responsible manner</w:t>
      </w:r>
    </w:p>
    <w:p>
      <w:pPr>
        <w:spacing w:after="0" w:line="9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We aim to conduct all our operations in a way that enhances the returns and the sustainability of our business, minimizes negative environmental effects, and maximizes positive social impact. We have defined our environmental and social responsibility priorities and developed a roadmap for pursuing them. Our initiatives encompass land use, water, emissions, the reduction of the carbon impacts of our products, human resources, and governance practices, which are all areas we view as essential to our success.</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Management is responsible for implementing these initiatives, and our Board of Directors, or Board, is committed to effective oversight of sustainability matters and ensuring progress across our sustainability initiatives. In particular, pursuant to its charter, the Board's Corporate Governance, Nominating and Sustainability Committee has formal responsibility for leading the Board's oversight of these matters in coordination with management and other Board committees as appropriate. Management submits quarterly progress reports to the Board, and environmental, social and governance (ESG) is a topic of discussion at every quarterly Board meeting. Compensation for key executives is linked, in part, to the achievement of specific ESG goals.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Allocation Priorities</w:t>
      </w:r>
    </w:p>
    <w:p>
      <w:pPr>
        <w:spacing w:after="0" w:line="9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capital allocation priorities are intended to enhance shareholder value and are as follows: 1. investing in growth opportunities that meet our strict financial return standards and are consistent with our strategic focus; 2. making operating capital investments to maintain and strengthen our low-cost producer position; and 3. returning excess cash to shareholders through our share repurchase program and dividends. In the past five years, we have invested $ 912.9 million in acquisitions, $485.9 million in organic capital expenditures, and approximately $1.8 billion in share repurchases and dividends. Since becoming a public company in 1994, our share count is down nearly 51%, and we have returned approximately $3.6 billion to our shareholders through a combination of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FISCAL 2024 EVENTS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Financial Highlights</w:t>
      </w:r>
    </w:p>
    <w:p>
      <w:pPr>
        <w:spacing w:after="0" w:line="9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Fiscal 2024 was a strong year for the Company, with increased earnings in both our Cement and Gypsum Wallboard segments. Financial highlights for fiscal 2024 compared with fiscal 2023 include:</w:t>
      </w:r>
    </w:p>
    <w:p>
      <w:pPr>
        <w:spacing w:after="0" w:line="46"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Achieved record Revenue of $2.3 billion, up 5%.</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Net Earnings by 3% to $477.6 million.</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Expanded gross profit margin by 50 basis points to 30.3%.</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diluted earnings per share by 9% to $13.61.</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Repurchased approximately 1.9 million shares of our stock for $343.3 million.</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b w:val="1"/>
          <w:bCs w:val="1"/>
          <w:u w:val="single" w:color="auto"/>
          <w:color w:val="004483"/>
        </w:rPr>
        <w:t>Strategic Highlights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2024, we executed several strategic actions that expanded our integrated plant network and strengthened our low-cost position.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Strategic highlights for fiscal 2024 include the following:</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004483"/>
        </w:rPr>
        <w:t>Start-up of Aggregates in Kentucky</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April 2023, we assumed operation of our quarry in Battletown, Kentucky (Battletown Materials). Our Battletown quarry was primarily used to supply our Kosmos Cement plant with limestone; however, beginning in April 2023, we started selling a portion of the mined materials as aggregates. Battletown Materials is included in our Heavy Materials sector, in the Concrete and Aggregates business segment, in fiscal 2024.</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004483"/>
        </w:rPr>
        <w:t>Cement Import Terminal Acquisition</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May 3, 2023, we acquired a cement import distribution terminal located in Stockton, California (the Stockton Terminal Acquisition), which expanded our presence in the northern California market and strategically supplements our Northern Nevada manufacturing facility. This terminal is included in our Heavy Materials sector in the Cement segment.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Footnote (B) to the Audited Consolidated Financial Statements for more information regarding the Stockton Terminal Acquisition.</w:t>
      </w:r>
    </w:p>
    <w:p>
      <w:pPr>
        <w:spacing w:after="0" w:line="1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addition to the integration of the Kentucky aggregates business and acquisition of the Stockton Cement import terminal, we initiated the following organic growth investments that will get underway in fiscal 2025.</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04483"/>
        </w:rPr>
        <w:t>Slag-Cement Facility</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recently announced the planned start-up of a slag-cement facility in the summer of 2024 in Houston, Texas which will expand our cementitious product manufacturing capacity by 500,000 tons to meet increasing demand in the fast-growing Texas market. The slag-cement facility will be operated through our Joint Venture, which is 50% owned by us, and 50% owned by HM Southeast Cement LLC, a subsidiary of Heidelberg Materials (the Joint Venture).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004483"/>
        </w:rPr>
        <w:t>Expansion and Modernization of our Cement Facility in Wyoming</w:t>
      </w:r>
    </w:p>
    <w:p>
      <w:pPr>
        <w:spacing w:after="0" w:line="97"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are investing approximately $430.0 million to modernize and expand our Mountain Cement plant in Wyoming and related distribution facilities, which is expected to add 400,000 tons of production, lower the plant's manufacturing costs by approximately 25%, and reduce the carbon intensity of this facility. This facility provides cement to several markets, including the growing Northern Colorado area, Nebraska, Utah, and Wyoming. Planning for the project has been completed, all primary regulatory approvals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been received, and construction is expected to begin immediately with startup scheduled for the second half of calendar 2026.</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SUSTAINABILITY HIGHLIGHTS</w:t>
      </w:r>
    </w:p>
    <w:p>
      <w:pPr>
        <w:spacing w:after="0" w:line="99"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131313"/>
        </w:rPr>
        <w:t>We have made meaningful progress on several of our environmental, social, and governance priorities, including reducing our carbon intensity, maintaining industry-leading safety records, and linking a significant portion of executive compensation to sustainability-related targets. Notable achievements for fiscal 2024 include the following</w:t>
      </w:r>
      <w:r>
        <w:rPr>
          <w:rFonts w:ascii="Arial" w:cs="Arial" w:eastAsia="Arial" w:hAnsi="Arial"/>
          <w:sz w:val="19"/>
          <w:szCs w:val="19"/>
          <w:color w:val="004483"/>
        </w:rPr>
        <w:t>:</w:t>
      </w:r>
    </w:p>
    <w:p>
      <w:pPr>
        <w:spacing w:after="0" w:line="52" w:lineRule="exact"/>
        <w:rPr>
          <w:sz w:val="20"/>
          <w:szCs w:val="20"/>
          <w:color w:val="auto"/>
        </w:rPr>
      </w:pPr>
    </w:p>
    <w:p>
      <w:pPr>
        <w:ind w:left="240" w:right="620" w:hanging="232"/>
        <w:spacing w:after="0" w:line="270" w:lineRule="auto"/>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production and sale of blended cement products, including portland limestone cement, to 75% of our total manufactured product sales in fiscal 2024, advancing our efforts to reduce the carbon intensity of our cement.</w:t>
      </w:r>
    </w:p>
    <w:p>
      <w:pPr>
        <w:spacing w:after="0" w:line="46" w:lineRule="exact"/>
        <w:rPr>
          <w:rFonts w:ascii="Times New Roman" w:cs="Times New Roman" w:eastAsia="Times New Roman" w:hAnsi="Times New Roman"/>
          <w:sz w:val="18"/>
          <w:szCs w:val="18"/>
          <w:color w:val="auto"/>
        </w:rPr>
      </w:pPr>
    </w:p>
    <w:p>
      <w:pPr>
        <w:ind w:left="240" w:right="160" w:hanging="232"/>
        <w:spacing w:after="0" w:line="243" w:lineRule="auto"/>
        <w:tabs>
          <w:tab w:leader="none" w:pos="240" w:val="left"/>
        </w:tabs>
        <w:numPr>
          <w:ilvl w:val="0"/>
          <w:numId w:val="3"/>
        </w:numPr>
        <w:rPr>
          <w:rFonts w:ascii="Times New Roman" w:cs="Times New Roman" w:eastAsia="Times New Roman" w:hAnsi="Times New Roman"/>
          <w:sz w:val="18"/>
          <w:szCs w:val="18"/>
          <w:color w:val="131313"/>
        </w:rPr>
      </w:pPr>
      <w:r>
        <w:rPr>
          <w:rFonts w:ascii="Arial" w:cs="Arial" w:eastAsia="Arial" w:hAnsi="Arial"/>
          <w:sz w:val="18"/>
          <w:szCs w:val="18"/>
          <w:color w:val="131313"/>
        </w:rPr>
        <w:t xml:space="preserve">Entered into </w:t>
      </w:r>
      <w:r>
        <w:rPr>
          <w:rFonts w:ascii="Arial" w:cs="Arial" w:eastAsia="Arial" w:hAnsi="Arial"/>
          <w:sz w:val="18"/>
          <w:szCs w:val="18"/>
          <w:color w:val="000000"/>
        </w:rPr>
        <w:t>exclusive agreements with Terra CO2, a producer of a scalable low-carbon supplementary cementitious material (SCM) for</w:t>
      </w:r>
      <w:r>
        <w:rPr>
          <w:rFonts w:ascii="Arial" w:cs="Arial" w:eastAsia="Arial" w:hAnsi="Arial"/>
          <w:sz w:val="18"/>
          <w:szCs w:val="18"/>
          <w:color w:val="131313"/>
        </w:rPr>
        <w:t xml:space="preserve"> </w:t>
      </w:r>
      <w:r>
        <w:rPr>
          <w:rFonts w:ascii="Arial" w:cs="Arial" w:eastAsia="Arial" w:hAnsi="Arial"/>
          <w:sz w:val="18"/>
          <w:szCs w:val="18"/>
          <w:color w:val="000000"/>
        </w:rPr>
        <w:t>the potential deployment of multiple eco-friendly, low-carbon cementitious commercial-scale plants that would service three different geographic areas, including the Greater Denver market. The agreements grant us the exclusive right to build and operate plants that produce SCM in each geographic area. When developed and fully scaled, each plant would have the potential to produce approximately 240,000 tons per year of SCM.</w:t>
      </w:r>
    </w:p>
    <w:p>
      <w:pPr>
        <w:spacing w:after="0" w:line="71" w:lineRule="exact"/>
        <w:rPr>
          <w:rFonts w:ascii="Times New Roman" w:cs="Times New Roman" w:eastAsia="Times New Roman" w:hAnsi="Times New Roman"/>
          <w:sz w:val="18"/>
          <w:szCs w:val="18"/>
          <w:color w:val="131313"/>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Committed to increase the use of alternative fuels for our combustion process at three of our cement facilities.</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Reduced water consumption by 23%.</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Maintained Total Recordable Incident Rate (TRIR) and Lost Time Incident Rate below industry averages for all of our businesses.</w:t>
      </w:r>
    </w:p>
    <w:p>
      <w:pPr>
        <w:spacing w:after="0" w:line="116" w:lineRule="exact"/>
        <w:rPr>
          <w:rFonts w:ascii="Times New Roman" w:cs="Times New Roman" w:eastAsia="Times New Roman" w:hAnsi="Times New Roman"/>
          <w:sz w:val="18"/>
          <w:szCs w:val="18"/>
          <w:color w:val="auto"/>
        </w:rPr>
      </w:pPr>
    </w:p>
    <w:p>
      <w:pPr>
        <w:ind w:left="240" w:right="460" w:hanging="232"/>
        <w:spacing w:after="0" w:line="252" w:lineRule="auto"/>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Incorporated new disclosures in our Sustainability Report, including detailed data around Scope 1 and Scope 2 emissions, began alignment with Sustainability Accounting Standards Board (SASB) and Task Force on Climate-Related Financial Disclosures (TCFD) reporting frameworks, and explanations of our enhanced governance policies.</w:t>
      </w:r>
    </w:p>
    <w:p>
      <w:pPr>
        <w:spacing w:after="0" w:line="6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Linked over 50% of our Chief Executive Officer's fiscal 2024 compensation directly to the advancement of the Company's ESG priorities.</w:t>
      </w:r>
    </w:p>
    <w:p>
      <w:pPr>
        <w:spacing w:after="0" w:line="11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latest Sustainability Report provides more information related to our roadmap, targets, and progress in improving our efficiency and long-term sustainability of our resources, ensuring the safety of our employees (see also Human Capital below), protecting human rights, and delivering value to our shareholders and society. The above reference to our Sustainability Report does not mean that such report is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HUMAN CAPITAL</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March 31, 2024, the Company had approximately 2,500 employees, of which approximately 700 are salaried and approximately 1,800 are hourly. Approximately 700 of the hourly employees are employed under collective bargaining agreements and various supplemental agreements with local unions.</w:t>
      </w:r>
    </w:p>
    <w:p>
      <w:pPr>
        <w:spacing w:after="0" w:line="61"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Recruiting, developing, and retaining qualified employees is essential to implement our strategy and maintain our low-cost position. The health and safety of our employees is the highest priority of management. We have comprehensive safety and wellness processes and policies, and all of our employees are provided with the training necessary to safely and effectively perform their responsibilities.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all our businesses we have implemented initiatives to improve safety in the workplace. We hold an annual safety conference during which we review our safety performance, assess the effectiveness of our programs, and determine improvement actions. Specific areas of review include training programs; best practices; and leading indicators, such as near-miss reporting and root cause analysis of all lost-time injuries. We also seek the assistance of outside parties in identifying potential safety trends and ways to mitigate identified risks.</w:t>
      </w:r>
    </w:p>
    <w:p>
      <w:pPr>
        <w:spacing w:after="0" w:line="6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Management reviews a variety of safety metrics, including leading and lagging indicators, and monthly updates are provided to corporate management by the business units throughout the year. During fiscal 2024, all of our business segments recorded lower TRIR averages than the applicable industry average. We believe that these results can be attributed to the diligent focus on the proactive safety initiatives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INDUSTRY SEGMENT INFORMATION</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The primary end market for our Cement and Concrete and Aggregates segments is infrastructure. The primary end market for our Gypsum Wallboard and Recycled Paperboard segments is residential construction.</w:t>
      </w:r>
    </w:p>
    <w:p>
      <w:pPr>
        <w:spacing w:after="0" w:line="6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Heavy Materials sector provides cement and concrete and aggregates for use in infrastructure, commercial, and residential construction. This sector comprises the Cement and Concrete and Aggregates segments. Demand has been strong for these construction products over the last several years. In calendar 2023, cement consumption in the United States, as estimated by the United States Geological Survey (USGS), was approximately 121.2 million short tons, which was slightly lower than calendar 2022 consumption levels. Imported cement consumption represented 22% of total sales in calendar 2023, compared with 21% in calendar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Cement is the basic binding agent for concrete, a primary construction material. The principal sources of demand for cement are public infrastructure, commercial construction, and residential construction, with public infrastructure accounting for nearly 50% of cement demand. Because of its low value-to-weight ratio, the relative cost of transporting cement on land is high and limits the geographic area in which each producer can market its products profitably. Management believes shipments of cement by truck are generally limited to a 150-mile radius from each plant, with the shipping radius increasing to up to 300 miles by rail, and further by barge. Therefore, the U.S. cement industry comprises numerous regional markets rather than a single national market. Cement consumption is affected by the time of year and prevalent weather conditions. Cement sales are generally greatest from spring through the middle of autumn.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manufacturing process for portland cement primarily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8890</wp:posOffset>
            </wp:positionV>
            <wp:extent cx="5349240" cy="1122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We also produce and market other cementitious products, including slag cement and fly ash. Slag granules are obtained from a steel company and ground in our grinding facility. Slag is used in concrete mix designs to improve the durability of concrete and reduce future maintenance costs. Fly ash is a by-product of coal-fired power plants and acts as an extender of cement in concrete.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Limestone Resources and Reserves</w:t>
      </w:r>
    </w:p>
    <w:p>
      <w:pPr>
        <w:spacing w:after="0" w:line="10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mine primarily limestone at our quarry operations serving each of our cement plants. Mining at all of our quarries is done by company personnel. The limestone mined at our quarries is then converted to cement, as outlined above. Each of our cement plants has its own dedicated limestone quarries, all of which have adequate access to highways and/or waterways. All of our mines, with the exception of one, are surface mines, which are mined using open pit techniques. We have one underground mine serving our plant in Sugar Creek, Missouri. All of our limestone reserves are located on properties that are in the production stage.</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Mineral resources are defined as a concentration or occurrence of material of economic interest in or on the earth's crust in such form, grade or quality, and quantity that there are reasonable prospects for its economic extraction. The amount of resources is a reasonable estimate, taking into account such factors as grade, location, and mining dimensions, while also considering the economic cost of extraction. Mineral resources are classified into three categories, discussed below in decreasing level of confidence. Measured mineral resources are based on conclusive geological evidence and sampling, meaning that evidence is sufficient to test and confirm geological and grade or quality continuity. After applying modifying factors (as noted below in the discussion of mineral reserves), measured resources may be converted to either proven or probable reserves. Indicated resources are based on adequate geological evidence and sampling, meaning that evidence is sufficient to establish geological and grade or quality continuity with reasonable certainty. After applying modifying factors, indicated resources may be converted to probable reserves. Inferred resources are based on limited geological evidence and sampling, meaning that evidence is sufficient only to establish that geological and grade or quality continuity is more likely than not. Inferred resources may not be converted to reserves.</w:t>
      </w:r>
    </w:p>
    <w:p>
      <w:pPr>
        <w:spacing w:after="0" w:line="7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Mineral reserves are defined as an estimate of tonnage and grade or quality of indicated and measured mineral resources that, in the opinion of a qualified person (QP), can be the basis of an economically viable project. More specifically, it is the economically mineable part of a measured or indicated mineral resource, which includes diluting materials and allowances for losses that may occur when the material is mined or extracted. Mineral reserves are classified into two categories, discussed below in decreasing level of confidence. Proven mineral reserves are the economically mineable part of a measured mineral resource and only result from conversion of a measured mineral resource. Probable mineral reserves are the economically mineable part of an indicated and, in some cases, a measured mineral resource.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March 31, 2024, we had 305.0 million tons of proven and probable limestone reserves, and 683.5 million tons of measured and indicated limestone resources, exclusive of limestone reserves. Approximately 85% of our total reserves are owned, and the remainder are leased. The point of reference for resources, other than the underground properties associated with the Sugar Creek location, is reported on an in situ basis. Sugar Creek underground resources are reported on a recoverable basis. The point of reference for reserves other than the Louisville and Buda locations are reported on a recoverable or "run-of-mine" basis. Louisville and Buda are reported on an in situ basis. We do not consider any of our individual quarries to be material for disclosure purposes. All of our individual locations have at least 25 years of reserves, with most of our locations having in excess of 50 years. We obtained technical reports from a third-party QP for each of our locations during fiscal 2022, except LaSalle, Illinois, and Tulsa, Oklahoma, which were as of January 31, 2023 and March 31, 2024, respectively. The other locations were not updated in fiscal years 2023 or 2024, because we did not add any new properties and did not do any additional exploration on sites during these fiscal years. Additionally, the selling price did not materially change, which further supports no material change on the estimated resource and reserve amounts calculated in fiscal 2022. The total reserves for fiscal 2024 for all locations were calculated by taking the amount of reserves from the latest technical reports for each location and adjusting them for tons mined since the date of the technical report. These technical reports obtained in fiscal 2022 (fiscal 2023 for LaSalle, Illinois, and fiscal 2024 for Tulsa, Oklahoma) were prepared in accordance with the requirements of the Modernization of Property Disclosures for Mining Registrants set forth in subpart 1300 of Regulation S-K.</w:t>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total measured and indicated limestone resources were 673.4 million tons at March 31, 2024, compared with 683.4 million tons at March 31, 2023. The decrease in measured and indicated limestone reserves was due to updating our mining plan at our Tulsa, Oklahoma quarry. Our total proven and probable reserves were 308.2 million tons at March 31, 2024, compared with 312.8 million tons at March 31, 2023. The decline was due to depletion during fiscal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limestone resources, exclusive of limestone reserves, serving each of our cement plants at March 31, 2024:</w:t>
      </w:r>
    </w:p>
    <w:p>
      <w:pPr>
        <w:spacing w:after="0" w:line="190"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 xml:space="preserve">Limestone Resources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1270</wp:posOffset>
            </wp:positionV>
            <wp:extent cx="4774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3"/>
          </w:tcPr>
          <w:p>
            <w:pPr>
              <w:jc w:val="right"/>
              <w:ind w:right="1223"/>
              <w:spacing w:after="0"/>
              <w:rPr>
                <w:sz w:val="20"/>
                <w:szCs w:val="20"/>
                <w:color w:val="auto"/>
              </w:rPr>
            </w:pPr>
            <w:r>
              <w:rPr>
                <w:rFonts w:ascii="Arial" w:cs="Arial" w:eastAsia="Arial" w:hAnsi="Arial"/>
                <w:sz w:val="13"/>
                <w:szCs w:val="13"/>
                <w:color w:val="auto"/>
              </w:rPr>
              <w:t>(tons in thousands)</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89"/>
        </w:trPr>
        <w:tc>
          <w:tcPr>
            <w:tcW w:w="3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Total Measured &amp;</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17"/>
        </w:trPr>
        <w:tc>
          <w:tcPr>
            <w:tcW w:w="3620" w:type="dxa"/>
            <w:vAlign w:val="bottom"/>
            <w:tcBorders>
              <w:bottom w:val="single" w:sz="8" w:color="3983C5"/>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178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Measured</w:t>
            </w:r>
          </w:p>
        </w:tc>
        <w:tc>
          <w:tcPr>
            <w:tcW w:w="120" w:type="dxa"/>
            <w:vAlign w:val="bottom"/>
          </w:tcPr>
          <w:p>
            <w:pPr>
              <w:spacing w:after="0"/>
              <w:rPr>
                <w:sz w:val="18"/>
                <w:szCs w:val="18"/>
                <w:color w:val="auto"/>
              </w:rPr>
            </w:pPr>
          </w:p>
        </w:tc>
        <w:tc>
          <w:tcPr>
            <w:tcW w:w="180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Indicated</w:t>
            </w:r>
          </w:p>
        </w:tc>
        <w:tc>
          <w:tcPr>
            <w:tcW w:w="120" w:type="dxa"/>
            <w:vAlign w:val="bottom"/>
          </w:tcPr>
          <w:p>
            <w:pPr>
              <w:spacing w:after="0"/>
              <w:rPr>
                <w:sz w:val="18"/>
                <w:szCs w:val="18"/>
                <w:color w:val="auto"/>
              </w:rPr>
            </w:pPr>
          </w:p>
        </w:tc>
        <w:tc>
          <w:tcPr>
            <w:tcW w:w="176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Indicated</w:t>
            </w:r>
          </w:p>
        </w:tc>
        <w:tc>
          <w:tcPr>
            <w:tcW w:w="100" w:type="dxa"/>
            <w:vAlign w:val="bottom"/>
          </w:tcPr>
          <w:p>
            <w:pPr>
              <w:spacing w:after="0"/>
              <w:rPr>
                <w:sz w:val="18"/>
                <w:szCs w:val="18"/>
                <w:color w:val="auto"/>
              </w:rPr>
            </w:pPr>
          </w:p>
        </w:tc>
        <w:tc>
          <w:tcPr>
            <w:tcW w:w="184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Inferred</w:t>
            </w:r>
          </w:p>
        </w:tc>
      </w:tr>
      <w:tr>
        <w:trPr>
          <w:trHeight w:val="183"/>
        </w:trPr>
        <w:tc>
          <w:tcPr>
            <w:tcW w:w="3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20"/>
                <w:szCs w:val="20"/>
                <w:b w:val="1"/>
                <w:bCs w:val="1"/>
                <w:color w:val="3983C5"/>
                <w:vertAlign w:val="superscript"/>
              </w:rPr>
              <w:t>(2)</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51,840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11,300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63,140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Illinois</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19,350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5,700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25,050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Missouri</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67,900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66,000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133,900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32,300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Laramie, Wyoming</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60,100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46,900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107,000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360,300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Tulsa, Oklahoma</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32,100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3,520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35,620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4,650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Fernley, Nevada</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78,400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29,800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108,200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17,200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Kentucky</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67,500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99,900</w:t>
            </w:r>
          </w:p>
        </w:tc>
        <w:tc>
          <w:tcPr>
            <w:tcW w:w="120" w:type="dxa"/>
            <w:vAlign w:val="bottom"/>
          </w:tcPr>
          <w:p>
            <w:pPr>
              <w:spacing w:after="0"/>
              <w:rPr>
                <w:sz w:val="15"/>
                <w:szCs w:val="15"/>
                <w:color w:val="auto"/>
              </w:rPr>
            </w:pP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167,400</w:t>
            </w:r>
          </w:p>
        </w:tc>
        <w:tc>
          <w:tcPr>
            <w:tcW w:w="100" w:type="dxa"/>
            <w:vAlign w:val="bottom"/>
          </w:tcPr>
          <w:p>
            <w:pPr>
              <w:spacing w:after="0"/>
              <w:rPr>
                <w:sz w:val="15"/>
                <w:szCs w:val="15"/>
                <w:color w:val="auto"/>
              </w:rPr>
            </w:pP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119,200</w:t>
            </w:r>
          </w:p>
        </w:tc>
      </w:tr>
      <w:tr>
        <w:trPr>
          <w:trHeight w:val="183"/>
        </w:trPr>
        <w:tc>
          <w:tcPr>
            <w:tcW w:w="362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Ohio</w:t>
            </w:r>
          </w:p>
        </w:tc>
        <w:tc>
          <w:tcPr>
            <w:tcW w:w="17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13,880</w:t>
            </w:r>
          </w:p>
        </w:tc>
        <w:tc>
          <w:tcPr>
            <w:tcW w:w="120" w:type="dxa"/>
            <w:vAlign w:val="bottom"/>
          </w:tcPr>
          <w:p>
            <w:pPr>
              <w:spacing w:after="0"/>
              <w:rPr>
                <w:sz w:val="15"/>
                <w:szCs w:val="15"/>
                <w:color w:val="auto"/>
              </w:rPr>
            </w:pPr>
          </w:p>
        </w:tc>
        <w:tc>
          <w:tcPr>
            <w:tcW w:w="180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19,200</w:t>
            </w:r>
          </w:p>
        </w:tc>
        <w:tc>
          <w:tcPr>
            <w:tcW w:w="120" w:type="dxa"/>
            <w:vAlign w:val="bottom"/>
          </w:tcPr>
          <w:p>
            <w:pPr>
              <w:spacing w:after="0"/>
              <w:rPr>
                <w:sz w:val="15"/>
                <w:szCs w:val="15"/>
                <w:color w:val="auto"/>
              </w:rPr>
            </w:pPr>
          </w:p>
        </w:tc>
        <w:tc>
          <w:tcPr>
            <w:tcW w:w="176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33,080</w:t>
            </w:r>
          </w:p>
        </w:tc>
        <w:tc>
          <w:tcPr>
            <w:tcW w:w="100" w:type="dxa"/>
            <w:vAlign w:val="bottom"/>
          </w:tcPr>
          <w:p>
            <w:pPr>
              <w:spacing w:after="0"/>
              <w:rPr>
                <w:sz w:val="15"/>
                <w:szCs w:val="15"/>
                <w:color w:val="auto"/>
              </w:rPr>
            </w:pPr>
          </w:p>
        </w:tc>
        <w:tc>
          <w:tcPr>
            <w:tcW w:w="184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1,700</w:t>
            </w:r>
          </w:p>
        </w:tc>
      </w:tr>
      <w:tr>
        <w:trPr>
          <w:trHeight w:val="196"/>
        </w:trPr>
        <w:tc>
          <w:tcPr>
            <w:tcW w:w="36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391,070</w:t>
            </w:r>
          </w:p>
        </w:tc>
        <w:tc>
          <w:tcPr>
            <w:tcW w:w="1920" w:type="dxa"/>
            <w:vAlign w:val="bottom"/>
            <w:gridSpan w:val="2"/>
          </w:tcPr>
          <w:p>
            <w:pPr>
              <w:jc w:val="right"/>
              <w:spacing w:after="0"/>
              <w:rPr>
                <w:sz w:val="20"/>
                <w:szCs w:val="20"/>
                <w:color w:val="auto"/>
              </w:rPr>
            </w:pPr>
            <w:r>
              <w:rPr>
                <w:rFonts w:ascii="Arial" w:cs="Arial" w:eastAsia="Arial" w:hAnsi="Arial"/>
                <w:sz w:val="15"/>
                <w:szCs w:val="15"/>
                <w:b w:val="1"/>
                <w:bCs w:val="1"/>
                <w:color w:val="auto"/>
              </w:rPr>
              <w:t>282,320</w:t>
            </w:r>
          </w:p>
        </w:tc>
        <w:tc>
          <w:tcPr>
            <w:tcW w:w="1880" w:type="dxa"/>
            <w:vAlign w:val="bottom"/>
            <w:gridSpan w:val="2"/>
          </w:tcPr>
          <w:p>
            <w:pPr>
              <w:jc w:val="right"/>
              <w:spacing w:after="0"/>
              <w:rPr>
                <w:sz w:val="20"/>
                <w:szCs w:val="20"/>
                <w:color w:val="auto"/>
              </w:rPr>
            </w:pPr>
            <w:r>
              <w:rPr>
                <w:rFonts w:ascii="Arial" w:cs="Arial" w:eastAsia="Arial" w:hAnsi="Arial"/>
                <w:sz w:val="15"/>
                <w:szCs w:val="15"/>
                <w:b w:val="1"/>
                <w:bCs w:val="1"/>
                <w:color w:val="auto"/>
              </w:rPr>
              <w:t>673,390</w:t>
            </w:r>
          </w:p>
        </w:tc>
        <w:tc>
          <w:tcPr>
            <w:tcW w:w="1940" w:type="dxa"/>
            <w:vAlign w:val="bottom"/>
            <w:gridSpan w:val="2"/>
          </w:tcPr>
          <w:p>
            <w:pPr>
              <w:jc w:val="right"/>
              <w:spacing w:after="0"/>
              <w:rPr>
                <w:sz w:val="20"/>
                <w:szCs w:val="20"/>
                <w:color w:val="auto"/>
              </w:rPr>
            </w:pPr>
            <w:r>
              <w:rPr>
                <w:rFonts w:ascii="Arial" w:cs="Arial" w:eastAsia="Arial" w:hAnsi="Arial"/>
                <w:sz w:val="15"/>
                <w:szCs w:val="15"/>
                <w:b w:val="1"/>
                <w:bCs w:val="1"/>
                <w:color w:val="auto"/>
              </w:rPr>
              <w:t>536,400</w:t>
            </w:r>
          </w:p>
        </w:tc>
      </w:tr>
      <w:tr>
        <w:trPr>
          <w:trHeight w:val="20"/>
        </w:trPr>
        <w:tc>
          <w:tcPr>
            <w:tcW w:w="3620" w:type="dxa"/>
            <w:vAlign w:val="bottom"/>
          </w:tcPr>
          <w:p>
            <w:pPr>
              <w:spacing w:after="0" w:line="20" w:lineRule="exact"/>
              <w:rPr>
                <w:sz w:val="1"/>
                <w:szCs w:val="1"/>
                <w:color w:val="auto"/>
              </w:rPr>
            </w:pPr>
          </w:p>
        </w:tc>
        <w:tc>
          <w:tcPr>
            <w:tcW w:w="178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3983C5"/>
              <w:bottom w:val="single" w:sz="8" w:color="3983C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3983C5"/>
              <w:bottom w:val="single" w:sz="8" w:color="3983C5"/>
            </w:tcBorders>
          </w:tcPr>
          <w:p>
            <w:pPr>
              <w:spacing w:after="0" w:line="20" w:lineRule="exact"/>
              <w:rPr>
                <w:sz w:val="1"/>
                <w:szCs w:val="1"/>
                <w:color w:val="auto"/>
              </w:rPr>
            </w:pPr>
          </w:p>
        </w:tc>
      </w:tr>
    </w:tbl>
    <w:p>
      <w:pPr>
        <w:spacing w:after="0" w:line="139" w:lineRule="exact"/>
        <w:rPr>
          <w:sz w:val="20"/>
          <w:szCs w:val="20"/>
          <w:color w:val="auto"/>
        </w:rPr>
      </w:pPr>
    </w:p>
    <w:p>
      <w:pPr>
        <w:ind w:right="200" w:firstLine="8"/>
        <w:spacing w:after="0" w:line="206" w:lineRule="auto"/>
        <w:tabs>
          <w:tab w:leader="none" w:pos="197"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$13.00 to $18.00 per ton depending on location and market.</w:t>
      </w:r>
    </w:p>
    <w:p>
      <w:pPr>
        <w:ind w:left="200" w:hanging="192"/>
        <w:spacing w:after="0" w:line="183"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Reflects the Company's 50% ownership interest.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limestone reserves serving each of our cement plants at March 31, 2024:</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Limestone Reserves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1270</wp:posOffset>
            </wp:positionV>
            <wp:extent cx="4303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right"/>
              <w:ind w:right="464"/>
              <w:spacing w:after="0"/>
              <w:rPr>
                <w:sz w:val="20"/>
                <w:szCs w:val="20"/>
                <w:color w:val="auto"/>
              </w:rPr>
            </w:pPr>
            <w:r>
              <w:rPr>
                <w:rFonts w:ascii="Arial" w:cs="Arial" w:eastAsia="Arial" w:hAnsi="Arial"/>
                <w:sz w:val="13"/>
                <w:szCs w:val="13"/>
                <w:color w:val="auto"/>
              </w:rPr>
              <w:t>(tons in thousands)</w:t>
            </w: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17"/>
        </w:trPr>
        <w:tc>
          <w:tcPr>
            <w:tcW w:w="4360" w:type="dxa"/>
            <w:vAlign w:val="bottom"/>
            <w:tcBorders>
              <w:bottom w:val="single" w:sz="8" w:color="3983C5"/>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Proven</w:t>
            </w:r>
          </w:p>
        </w:tc>
        <w:tc>
          <w:tcPr>
            <w:tcW w:w="120" w:type="dxa"/>
            <w:vAlign w:val="bottom"/>
          </w:tcPr>
          <w:p>
            <w:pPr>
              <w:spacing w:after="0"/>
              <w:rPr>
                <w:sz w:val="18"/>
                <w:szCs w:val="18"/>
                <w:color w:val="auto"/>
              </w:rPr>
            </w:pP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Probable</w:t>
            </w:r>
          </w:p>
        </w:tc>
        <w:tc>
          <w:tcPr>
            <w:tcW w:w="120" w:type="dxa"/>
            <w:vAlign w:val="bottom"/>
          </w:tcPr>
          <w:p>
            <w:pPr>
              <w:spacing w:after="0"/>
              <w:rPr>
                <w:sz w:val="18"/>
                <w:szCs w:val="18"/>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Total Proven &amp; Probable</w:t>
            </w:r>
          </w:p>
        </w:tc>
      </w:tr>
      <w:tr>
        <w:trPr>
          <w:trHeight w:val="183"/>
        </w:trPr>
        <w:tc>
          <w:tcPr>
            <w:tcW w:w="4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20"/>
                <w:szCs w:val="20"/>
                <w:b w:val="1"/>
                <w:bCs w:val="1"/>
                <w:color w:val="3983C5"/>
                <w:vertAlign w:val="superscript"/>
              </w:rPr>
              <w:t>(2)</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28,100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38,100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Illinois</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13,800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4,450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18,250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Missouri</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22,500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7,660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30,160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Laramie, Wyoming</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37,350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25,400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62,750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Tulsa, Oklahoma</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35,000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290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35,290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Fernley, Nevada</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17,380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6,500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23,880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Kentucky</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25,410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49,850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75,260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Ohio</w:t>
            </w: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24,545</w:t>
            </w:r>
          </w:p>
        </w:tc>
        <w:tc>
          <w:tcPr>
            <w:tcW w:w="120" w:type="dxa"/>
            <w:vAlign w:val="bottom"/>
          </w:tcPr>
          <w:p>
            <w:pPr>
              <w:spacing w:after="0"/>
              <w:rPr>
                <w:sz w:val="15"/>
                <w:szCs w:val="15"/>
                <w:color w:val="auto"/>
              </w:rPr>
            </w:pP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24,545</w:t>
            </w:r>
          </w:p>
        </w:tc>
      </w:tr>
      <w:tr>
        <w:trPr>
          <w:trHeight w:val="196"/>
        </w:trPr>
        <w:tc>
          <w:tcPr>
            <w:tcW w:w="43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b w:val="1"/>
                <w:bCs w:val="1"/>
                <w:color w:val="auto"/>
              </w:rPr>
              <w:t>204,085</w:t>
            </w:r>
          </w:p>
        </w:tc>
        <w:tc>
          <w:tcPr>
            <w:tcW w:w="2280" w:type="dxa"/>
            <w:vAlign w:val="bottom"/>
            <w:gridSpan w:val="2"/>
          </w:tcPr>
          <w:p>
            <w:pPr>
              <w:jc w:val="right"/>
              <w:spacing w:after="0"/>
              <w:rPr>
                <w:sz w:val="20"/>
                <w:szCs w:val="20"/>
                <w:color w:val="auto"/>
              </w:rPr>
            </w:pPr>
            <w:r>
              <w:rPr>
                <w:rFonts w:ascii="Arial" w:cs="Arial" w:eastAsia="Arial" w:hAnsi="Arial"/>
                <w:sz w:val="15"/>
                <w:szCs w:val="15"/>
                <w:b w:val="1"/>
                <w:bCs w:val="1"/>
                <w:color w:val="auto"/>
              </w:rPr>
              <w:t>104,150</w:t>
            </w:r>
          </w:p>
        </w:tc>
        <w:tc>
          <w:tcPr>
            <w:tcW w:w="2320" w:type="dxa"/>
            <w:vAlign w:val="bottom"/>
            <w:gridSpan w:val="2"/>
          </w:tcPr>
          <w:p>
            <w:pPr>
              <w:jc w:val="right"/>
              <w:spacing w:after="0"/>
              <w:rPr>
                <w:sz w:val="20"/>
                <w:szCs w:val="20"/>
                <w:color w:val="auto"/>
              </w:rPr>
            </w:pPr>
            <w:r>
              <w:rPr>
                <w:rFonts w:ascii="Arial" w:cs="Arial" w:eastAsia="Arial" w:hAnsi="Arial"/>
                <w:sz w:val="15"/>
                <w:szCs w:val="15"/>
                <w:b w:val="1"/>
                <w:bCs w:val="1"/>
                <w:color w:val="auto"/>
              </w:rPr>
              <w:t>308,235</w:t>
            </w:r>
          </w:p>
        </w:tc>
      </w:tr>
      <w:tr>
        <w:trPr>
          <w:trHeight w:val="20"/>
        </w:trPr>
        <w:tc>
          <w:tcPr>
            <w:tcW w:w="4360" w:type="dxa"/>
            <w:vAlign w:val="bottom"/>
          </w:tcPr>
          <w:p>
            <w:pPr>
              <w:spacing w:after="0" w:line="20" w:lineRule="exact"/>
              <w:rPr>
                <w:sz w:val="1"/>
                <w:szCs w:val="1"/>
                <w:color w:val="auto"/>
              </w:rPr>
            </w:pPr>
          </w:p>
        </w:tc>
        <w:tc>
          <w:tcPr>
            <w:tcW w:w="218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3983C5"/>
              <w:bottom w:val="single" w:sz="8" w:color="3983C5"/>
            </w:tcBorders>
          </w:tcPr>
          <w:p>
            <w:pPr>
              <w:spacing w:after="0" w:line="20" w:lineRule="exact"/>
              <w:rPr>
                <w:sz w:val="1"/>
                <w:szCs w:val="1"/>
                <w:color w:val="auto"/>
              </w:rPr>
            </w:pPr>
          </w:p>
        </w:tc>
      </w:tr>
    </w:tbl>
    <w:p>
      <w:pPr>
        <w:spacing w:after="0" w:line="6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economic viability of our reserves was determined using average limestone prices ranging from $13.00 to $18.00 per ton, depending on location and market.</w:t>
      </w:r>
    </w:p>
    <w:p>
      <w:pPr>
        <w:spacing w:after="0" w:line="39" w:lineRule="exact"/>
        <w:rPr>
          <w:rFonts w:ascii="Arial" w:cs="Arial" w:eastAsia="Arial" w:hAnsi="Arial"/>
          <w:sz w:val="23"/>
          <w:szCs w:val="23"/>
          <w:color w:val="auto"/>
          <w:vertAlign w:val="superscript"/>
        </w:rPr>
      </w:pPr>
    </w:p>
    <w:p>
      <w:pPr>
        <w:ind w:left="200" w:hanging="192"/>
        <w:spacing w:after="0" w:line="183" w:lineRule="auto"/>
        <w:tabs>
          <w:tab w:leader="none" w:pos="20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Reflects the Company's 50%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annual production volumes from our cement quarries for each of the following fiscal years:</w:t>
      </w:r>
    </w:p>
    <w:p>
      <w:pPr>
        <w:spacing w:after="0" w:line="216"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Tons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20955</wp:posOffset>
            </wp:positionV>
            <wp:extent cx="4303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right"/>
              <w:ind w:right="465"/>
              <w:spacing w:after="0"/>
              <w:rPr>
                <w:sz w:val="20"/>
                <w:szCs w:val="20"/>
                <w:color w:val="auto"/>
              </w:rPr>
            </w:pPr>
            <w:r>
              <w:rPr>
                <w:rFonts w:ascii="Arial" w:cs="Arial" w:eastAsia="Arial" w:hAnsi="Arial"/>
                <w:sz w:val="13"/>
                <w:szCs w:val="13"/>
                <w:color w:val="auto"/>
              </w:rPr>
              <w:t>(tons in thousands)</w:t>
            </w: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Location</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22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r>
      <w:tr>
        <w:trPr>
          <w:trHeight w:val="183"/>
        </w:trPr>
        <w:tc>
          <w:tcPr>
            <w:tcW w:w="4360" w:type="dxa"/>
            <w:vAlign w:val="bottom"/>
            <w:tcBorders>
              <w:top w:val="single" w:sz="8" w:color="3983C5"/>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20"/>
                <w:szCs w:val="20"/>
                <w:b w:val="1"/>
                <w:bCs w:val="1"/>
                <w:color w:val="3983C5"/>
                <w:vertAlign w:val="superscript"/>
              </w:rPr>
              <w:t>(1)</w:t>
            </w:r>
          </w:p>
        </w:tc>
        <w:tc>
          <w:tcPr>
            <w:tcW w:w="2180" w:type="dxa"/>
            <w:vAlign w:val="bottom"/>
            <w:tcBorders>
              <w:top w:val="single" w:sz="8" w:color="3983C5"/>
              <w:bottom w:val="single" w:sz="8" w:color="A6A6A6"/>
            </w:tcBorders>
          </w:tcPr>
          <w:p>
            <w:pPr>
              <w:jc w:val="right"/>
              <w:spacing w:after="0"/>
              <w:rPr>
                <w:sz w:val="20"/>
                <w:szCs w:val="20"/>
                <w:color w:val="auto"/>
              </w:rPr>
            </w:pPr>
            <w:r>
              <w:rPr>
                <w:rFonts w:ascii="Arial" w:cs="Arial" w:eastAsia="Arial" w:hAnsi="Arial"/>
                <w:sz w:val="15"/>
                <w:szCs w:val="15"/>
                <w:color w:val="auto"/>
              </w:rPr>
              <w:t>800</w:t>
            </w:r>
          </w:p>
        </w:tc>
        <w:tc>
          <w:tcPr>
            <w:tcW w:w="120" w:type="dxa"/>
            <w:vAlign w:val="bottom"/>
          </w:tcPr>
          <w:p>
            <w:pPr>
              <w:spacing w:after="0"/>
              <w:rPr>
                <w:sz w:val="15"/>
                <w:szCs w:val="15"/>
                <w:color w:val="auto"/>
              </w:rPr>
            </w:pPr>
          </w:p>
        </w:tc>
        <w:tc>
          <w:tcPr>
            <w:tcW w:w="2160" w:type="dxa"/>
            <w:vAlign w:val="bottom"/>
            <w:tcBorders>
              <w:top w:val="single" w:sz="8" w:color="3983C5"/>
              <w:bottom w:val="single" w:sz="8" w:color="A6A6A6"/>
            </w:tcBorders>
          </w:tcPr>
          <w:p>
            <w:pPr>
              <w:jc w:val="right"/>
              <w:spacing w:after="0"/>
              <w:rPr>
                <w:sz w:val="20"/>
                <w:szCs w:val="20"/>
                <w:color w:val="auto"/>
              </w:rPr>
            </w:pPr>
            <w:r>
              <w:rPr>
                <w:rFonts w:ascii="Arial" w:cs="Arial" w:eastAsia="Arial" w:hAnsi="Arial"/>
                <w:sz w:val="15"/>
                <w:szCs w:val="15"/>
                <w:color w:val="auto"/>
              </w:rPr>
              <w:t>730</w:t>
            </w:r>
          </w:p>
        </w:tc>
        <w:tc>
          <w:tcPr>
            <w:tcW w:w="120" w:type="dxa"/>
            <w:vAlign w:val="bottom"/>
          </w:tcPr>
          <w:p>
            <w:pPr>
              <w:spacing w:after="0"/>
              <w:rPr>
                <w:sz w:val="15"/>
                <w:szCs w:val="15"/>
                <w:color w:val="auto"/>
              </w:rPr>
            </w:pPr>
          </w:p>
        </w:tc>
        <w:tc>
          <w:tcPr>
            <w:tcW w:w="2200" w:type="dxa"/>
            <w:vAlign w:val="bottom"/>
            <w:tcBorders>
              <w:top w:val="single" w:sz="8" w:color="3983C5"/>
              <w:bottom w:val="single" w:sz="8" w:color="A6A6A6"/>
            </w:tcBorders>
          </w:tcPr>
          <w:p>
            <w:pPr>
              <w:jc w:val="right"/>
              <w:spacing w:after="0"/>
              <w:rPr>
                <w:sz w:val="20"/>
                <w:szCs w:val="20"/>
                <w:color w:val="auto"/>
              </w:rPr>
            </w:pPr>
            <w:r>
              <w:rPr>
                <w:rFonts w:ascii="Arial" w:cs="Arial" w:eastAsia="Arial" w:hAnsi="Arial"/>
                <w:sz w:val="15"/>
                <w:szCs w:val="15"/>
                <w:color w:val="auto"/>
              </w:rPr>
              <w:t>800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Illinois</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1,180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1,265</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980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Missouri</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820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1,050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1,130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Laramie, Wyoming</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915</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1,140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Tulsa, Oklahoma</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885</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880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890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Fernley, Nevada</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610</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570</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500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Kentucky</w:t>
            </w: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1,965</w:t>
            </w:r>
          </w:p>
        </w:tc>
        <w:tc>
          <w:tcPr>
            <w:tcW w:w="120" w:type="dxa"/>
            <w:vAlign w:val="bottom"/>
          </w:tcPr>
          <w:p>
            <w:pPr>
              <w:spacing w:after="0"/>
              <w:rPr>
                <w:sz w:val="15"/>
                <w:szCs w:val="15"/>
                <w:color w:val="auto"/>
              </w:rPr>
            </w:pP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2,185</w:t>
            </w:r>
          </w:p>
        </w:tc>
        <w:tc>
          <w:tcPr>
            <w:tcW w:w="12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2,100</w:t>
            </w:r>
          </w:p>
        </w:tc>
      </w:tr>
      <w:tr>
        <w:trPr>
          <w:trHeight w:val="183"/>
        </w:trPr>
        <w:tc>
          <w:tcPr>
            <w:tcW w:w="436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Ohio</w:t>
            </w: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870</w:t>
            </w:r>
          </w:p>
        </w:tc>
        <w:tc>
          <w:tcPr>
            <w:tcW w:w="120" w:type="dxa"/>
            <w:vAlign w:val="bottom"/>
          </w:tcPr>
          <w:p>
            <w:pPr>
              <w:spacing w:after="0"/>
              <w:rPr>
                <w:sz w:val="15"/>
                <w:szCs w:val="15"/>
                <w:color w:val="auto"/>
              </w:rPr>
            </w:pP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970</w:t>
            </w:r>
          </w:p>
        </w:tc>
        <w:tc>
          <w:tcPr>
            <w:tcW w:w="120" w:type="dxa"/>
            <w:vAlign w:val="bottom"/>
          </w:tcPr>
          <w:p>
            <w:pPr>
              <w:spacing w:after="0"/>
              <w:rPr>
                <w:sz w:val="15"/>
                <w:szCs w:val="15"/>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920</w:t>
            </w:r>
          </w:p>
        </w:tc>
      </w:tr>
      <w:tr>
        <w:trPr>
          <w:trHeight w:val="196"/>
        </w:trPr>
        <w:tc>
          <w:tcPr>
            <w:tcW w:w="43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b w:val="1"/>
                <w:bCs w:val="1"/>
                <w:color w:val="auto"/>
              </w:rPr>
              <w:t>8,045</w:t>
            </w:r>
          </w:p>
        </w:tc>
        <w:tc>
          <w:tcPr>
            <w:tcW w:w="2280" w:type="dxa"/>
            <w:vAlign w:val="bottom"/>
            <w:gridSpan w:val="2"/>
          </w:tcPr>
          <w:p>
            <w:pPr>
              <w:jc w:val="right"/>
              <w:spacing w:after="0"/>
              <w:rPr>
                <w:sz w:val="20"/>
                <w:szCs w:val="20"/>
                <w:color w:val="auto"/>
              </w:rPr>
            </w:pPr>
            <w:r>
              <w:rPr>
                <w:rFonts w:ascii="Arial" w:cs="Arial" w:eastAsia="Arial" w:hAnsi="Arial"/>
                <w:sz w:val="15"/>
                <w:szCs w:val="15"/>
                <w:b w:val="1"/>
                <w:bCs w:val="1"/>
                <w:color w:val="auto"/>
              </w:rPr>
              <w:t>8,650</w:t>
            </w:r>
          </w:p>
        </w:tc>
        <w:tc>
          <w:tcPr>
            <w:tcW w:w="2320" w:type="dxa"/>
            <w:vAlign w:val="bottom"/>
            <w:gridSpan w:val="2"/>
          </w:tcPr>
          <w:p>
            <w:pPr>
              <w:jc w:val="right"/>
              <w:spacing w:after="0"/>
              <w:rPr>
                <w:sz w:val="20"/>
                <w:szCs w:val="20"/>
                <w:color w:val="auto"/>
              </w:rPr>
            </w:pPr>
            <w:r>
              <w:rPr>
                <w:rFonts w:ascii="Arial" w:cs="Arial" w:eastAsia="Arial" w:hAnsi="Arial"/>
                <w:sz w:val="15"/>
                <w:szCs w:val="15"/>
                <w:b w:val="1"/>
                <w:bCs w:val="1"/>
                <w:color w:val="auto"/>
              </w:rPr>
              <w:t>8,460</w:t>
            </w:r>
          </w:p>
        </w:tc>
      </w:tr>
      <w:tr>
        <w:trPr>
          <w:trHeight w:val="20"/>
        </w:trPr>
        <w:tc>
          <w:tcPr>
            <w:tcW w:w="4360" w:type="dxa"/>
            <w:vAlign w:val="bottom"/>
          </w:tcPr>
          <w:p>
            <w:pPr>
              <w:spacing w:after="0" w:line="20" w:lineRule="exact"/>
              <w:rPr>
                <w:sz w:val="1"/>
                <w:szCs w:val="1"/>
                <w:color w:val="auto"/>
              </w:rPr>
            </w:pPr>
          </w:p>
        </w:tc>
        <w:tc>
          <w:tcPr>
            <w:tcW w:w="218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3983C5"/>
              <w:bottom w:val="single" w:sz="8" w:color="3983C5"/>
            </w:tcBorders>
          </w:tcPr>
          <w:p>
            <w:pPr>
              <w:spacing w:after="0" w:line="20" w:lineRule="exact"/>
              <w:rPr>
                <w:sz w:val="1"/>
                <w:szCs w:val="1"/>
                <w:color w:val="auto"/>
              </w:rPr>
            </w:pPr>
          </w:p>
        </w:tc>
      </w:tr>
    </w:tbl>
    <w:p>
      <w:pPr>
        <w:spacing w:after="0" w:line="9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Reflects the Company's 50% ownership interest</w:t>
      </w:r>
      <w:r>
        <w:rPr>
          <w:rFonts w:ascii="Arial" w:cs="Arial" w:eastAsia="Arial" w:hAnsi="Arial"/>
          <w:sz w:val="23"/>
          <w:szCs w:val="23"/>
          <w:color w:val="auto"/>
          <w:vertAlign w:val="superscript"/>
        </w:rPr>
        <w:t>.</w:t>
      </w:r>
    </w:p>
    <w:p>
      <w:pPr>
        <w:spacing w:after="0" w:line="16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All of our quarries are close to our operating facilities. See Item 2. Properties for the map showing the locations of all operating facilities for the Company.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Internal Controls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have compiled reserve and resource estimates with the assistance of a third-party QP. In general, the procedure for developing these estimates was a collaboration between site personnel and the QP for each individual site. Past exploration data was field verified and quality was verified by reviewing on-site lab certification or third-party testing. Third-party resource modeling was developed using verified past exploration data and field observations. Where applicable, site-specific ore density, recovery, and loss parameters were used to calculate reserves. Property ownership, permit status, and lease evaluations were performed by the third-party QP to evaluate the legal right to mine. When evaluating economic viability, past income statements and operating costs were reviewed, as well as future operating and capital cost estimates. Commodity pricing was either taken from published USGS reports or from reasonable expected pricing given site location and haulage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 w:name="page12"/>
    <w:bookmarkEnd w:id="11"/>
    <w:p>
      <w:pPr>
        <w:spacing w:after="0" w:line="85"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While the mineral reserve and resource classification categories (proven and probable) identify relative confidence of reserve estimates, there is inherent risk associated with such estimates. We base estimates on information known at the time of determination and regularly reevaluate reserves whenever new information indicates a material change in reserves at one of our sites.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 Plants</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operate eight modern cement plants (one of which is operated through a joint venture), and one slag grinding facility. Our clinker capacity is approximately 6.7 million tons, which is approximately 6% of total U.S. clinker capacity. Clinker is the intermediary product before it is ground into cement powder. All of our cement plants use dry-process technology, and approximately 80% of our clinker capacity is produced from preheater or preheater/pre-calciner kilns, which are generally more energy-efficient kiln types. In addition to production facilities, we also operate over 30 cement storage and distribution terminals, including the Stockton, California terminal purchased on May 3, 2023.</w:t>
      </w:r>
    </w:p>
    <w:p>
      <w:pPr>
        <w:spacing w:after="0" w:line="6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cement companies focus on the U.S. heartland and operate as an integrated network selling product mainly in Colorado, Illinois, Kansas, Kentucky, Indiana, Iowa, Missouri, Nebraska, Nevada, Ohio, Oklahoma, Tennessee, and Texas. Our Joint Venture (as defined below) includes a minority interest in an import terminal in Houston, Texas, from which we can purchase up to 495,000 short tons of cement annually. Our slag facility is located near Chicago, Illinois and has 500,000 tons annual grinding capacity.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cement plants at March 31, 2024 (tons are in thousands of short tons):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Rated Annual</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Annual</w:t>
            </w:r>
          </w:p>
        </w:tc>
        <w:tc>
          <w:tcPr>
            <w:tcW w:w="100" w:type="dxa"/>
            <w:vAlign w:val="bottom"/>
          </w:tcPr>
          <w:p>
            <w:pPr>
              <w:spacing w:after="0"/>
              <w:rPr>
                <w:sz w:val="13"/>
                <w:szCs w:val="13"/>
                <w:color w:val="auto"/>
              </w:rPr>
            </w:pPr>
          </w:p>
        </w:tc>
        <w:tc>
          <w:tcPr>
            <w:tcW w:w="3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Manufacturing</w:t>
            </w:r>
          </w:p>
        </w:tc>
        <w:tc>
          <w:tcPr>
            <w:tcW w:w="124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Number</w:t>
            </w:r>
          </w:p>
        </w:tc>
        <w:tc>
          <w:tcPr>
            <w:tcW w:w="1400" w:type="dxa"/>
            <w:vAlign w:val="bottom"/>
          </w:tcPr>
          <w:p>
            <w:pPr>
              <w:ind w:left="260"/>
              <w:spacing w:after="0"/>
              <w:rPr>
                <w:sz w:val="20"/>
                <w:szCs w:val="20"/>
                <w:color w:val="auto"/>
              </w:rPr>
            </w:pPr>
            <w:r>
              <w:rPr>
                <w:rFonts w:ascii="Arial" w:cs="Arial" w:eastAsia="Arial" w:hAnsi="Arial"/>
                <w:sz w:val="13"/>
                <w:szCs w:val="13"/>
                <w:b w:val="1"/>
                <w:bCs w:val="1"/>
                <w:color w:val="auto"/>
              </w:rPr>
              <w:t>Kiln</w:t>
            </w:r>
          </w:p>
        </w:tc>
        <w:tc>
          <w:tcPr>
            <w:tcW w:w="0" w:type="dxa"/>
            <w:vAlign w:val="bottom"/>
          </w:tcPr>
          <w:p>
            <w:pPr>
              <w:spacing w:after="0"/>
              <w:rPr>
                <w:sz w:val="1"/>
                <w:szCs w:val="1"/>
                <w:color w:val="auto"/>
              </w:rPr>
            </w:pPr>
          </w:p>
        </w:tc>
      </w:tr>
      <w:tr>
        <w:trPr>
          <w:trHeight w:val="126"/>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Plant Location</w:t>
            </w:r>
          </w:p>
        </w:tc>
        <w:tc>
          <w:tcPr>
            <w:tcW w:w="15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Clinker</w:t>
            </w:r>
          </w:p>
        </w:tc>
        <w:tc>
          <w:tcPr>
            <w:tcW w:w="120" w:type="dxa"/>
            <w:vAlign w:val="bottom"/>
          </w:tcPr>
          <w:p>
            <w:pPr>
              <w:spacing w:after="0"/>
              <w:rPr>
                <w:sz w:val="10"/>
                <w:szCs w:val="10"/>
                <w:color w:val="auto"/>
              </w:rPr>
            </w:pPr>
          </w:p>
        </w:tc>
        <w:tc>
          <w:tcPr>
            <w:tcW w:w="164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Grinding</w:t>
            </w:r>
          </w:p>
        </w:tc>
        <w:tc>
          <w:tcPr>
            <w:tcW w:w="1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00" w:type="dxa"/>
            <w:vAlign w:val="bottom"/>
          </w:tcPr>
          <w:p>
            <w:pPr>
              <w:ind w:left="260"/>
              <w:spacing w:after="0" w:line="126" w:lineRule="exact"/>
              <w:rPr>
                <w:sz w:val="20"/>
                <w:szCs w:val="20"/>
                <w:color w:val="auto"/>
              </w:rPr>
            </w:pPr>
            <w:r>
              <w:rPr>
                <w:rFonts w:ascii="Arial" w:cs="Arial" w:eastAsia="Arial" w:hAnsi="Arial"/>
                <w:sz w:val="13"/>
                <w:szCs w:val="13"/>
                <w:b w:val="1"/>
                <w:bCs w:val="1"/>
                <w:color w:val="auto"/>
              </w:rPr>
              <w:t>Dedication</w:t>
            </w:r>
          </w:p>
        </w:tc>
        <w:tc>
          <w:tcPr>
            <w:tcW w:w="0" w:type="dxa"/>
            <w:vAlign w:val="bottom"/>
          </w:tcPr>
          <w:p>
            <w:pPr>
              <w:spacing w:after="0"/>
              <w:rPr>
                <w:sz w:val="1"/>
                <w:szCs w:val="1"/>
                <w:color w:val="auto"/>
              </w:rPr>
            </w:pPr>
          </w:p>
        </w:tc>
      </w:tr>
      <w:tr>
        <w:trPr>
          <w:trHeight w:val="175"/>
        </w:trPr>
        <w:tc>
          <w:tcPr>
            <w:tcW w:w="2200" w:type="dxa"/>
            <w:vAlign w:val="bottom"/>
            <w:tcBorders>
              <w:bottom w:val="single" w:sz="8" w:color="3983C5"/>
            </w:tcBorders>
            <w:vMerge w:val="continue"/>
          </w:tcPr>
          <w:p>
            <w:pPr>
              <w:spacing w:after="0"/>
              <w:rPr>
                <w:sz w:val="15"/>
                <w:szCs w:val="15"/>
                <w:color w:val="auto"/>
              </w:rPr>
            </w:pPr>
          </w:p>
        </w:tc>
        <w:tc>
          <w:tcPr>
            <w:tcW w:w="1520" w:type="dxa"/>
            <w:vAlign w:val="bottom"/>
            <w:tcBorders>
              <w:bottom w:val="single" w:sz="8" w:color="3983C5"/>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1640" w:type="dxa"/>
            <w:vAlign w:val="bottom"/>
            <w:tcBorders>
              <w:bottom w:val="single" w:sz="8" w:color="3983C5"/>
            </w:tcBorders>
          </w:tcPr>
          <w:p>
            <w:pPr>
              <w:jc w:val="right"/>
              <w:spacing w:after="0"/>
              <w:rPr>
                <w:sz w:val="20"/>
                <w:szCs w:val="20"/>
                <w:color w:val="auto"/>
              </w:rPr>
            </w:pPr>
            <w:r>
              <w:rPr>
                <w:rFonts w:ascii="Arial" w:cs="Arial" w:eastAsia="Arial" w:hAnsi="Arial"/>
                <w:sz w:val="13"/>
                <w:szCs w:val="13"/>
                <w:b w:val="1"/>
                <w:bCs w:val="1"/>
                <w:color w:val="auto"/>
              </w:rPr>
              <w:t>Capacity</w:t>
            </w:r>
          </w:p>
        </w:tc>
        <w:tc>
          <w:tcPr>
            <w:tcW w:w="100" w:type="dxa"/>
            <w:vAlign w:val="bottom"/>
          </w:tcPr>
          <w:p>
            <w:pPr>
              <w:spacing w:after="0"/>
              <w:rPr>
                <w:sz w:val="15"/>
                <w:szCs w:val="15"/>
                <w:color w:val="auto"/>
              </w:rPr>
            </w:pPr>
          </w:p>
        </w:tc>
        <w:tc>
          <w:tcPr>
            <w:tcW w:w="3020" w:type="dxa"/>
            <w:vAlign w:val="bottom"/>
            <w:tcBorders>
              <w:bottom w:val="single" w:sz="8" w:color="3983C5"/>
            </w:tcBorders>
          </w:tcPr>
          <w:p>
            <w:pPr>
              <w:ind w:left="20"/>
              <w:spacing w:after="0"/>
              <w:rPr>
                <w:sz w:val="20"/>
                <w:szCs w:val="20"/>
                <w:color w:val="auto"/>
              </w:rPr>
            </w:pPr>
            <w:r>
              <w:rPr>
                <w:rFonts w:ascii="Arial" w:cs="Arial" w:eastAsia="Arial" w:hAnsi="Arial"/>
                <w:sz w:val="13"/>
                <w:szCs w:val="13"/>
                <w:b w:val="1"/>
                <w:bCs w:val="1"/>
                <w:color w:val="auto"/>
              </w:rPr>
              <w:t>Process</w:t>
            </w:r>
          </w:p>
        </w:tc>
        <w:tc>
          <w:tcPr>
            <w:tcW w:w="1240" w:type="dxa"/>
            <w:vAlign w:val="bottom"/>
            <w:tcBorders>
              <w:bottom w:val="single" w:sz="8" w:color="3983C5"/>
            </w:tcBorders>
          </w:tcPr>
          <w:p>
            <w:pPr>
              <w:ind w:left="500"/>
              <w:spacing w:after="0"/>
              <w:rPr>
                <w:sz w:val="20"/>
                <w:szCs w:val="20"/>
                <w:color w:val="auto"/>
              </w:rPr>
            </w:pPr>
            <w:r>
              <w:rPr>
                <w:rFonts w:ascii="Arial" w:cs="Arial" w:eastAsia="Arial" w:hAnsi="Arial"/>
                <w:sz w:val="13"/>
                <w:szCs w:val="13"/>
                <w:b w:val="1"/>
                <w:bCs w:val="1"/>
                <w:color w:val="auto"/>
              </w:rPr>
              <w:t>of Kilns</w:t>
            </w:r>
          </w:p>
        </w:tc>
        <w:tc>
          <w:tcPr>
            <w:tcW w:w="1400" w:type="dxa"/>
            <w:vAlign w:val="bottom"/>
            <w:tcBorders>
              <w:bottom w:val="single" w:sz="8" w:color="3983C5"/>
            </w:tcBorders>
          </w:tcPr>
          <w:p>
            <w:pPr>
              <w:ind w:left="26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TX </w:t>
            </w:r>
            <w:r>
              <w:rPr>
                <w:rFonts w:ascii="Arial" w:cs="Arial" w:eastAsia="Arial" w:hAnsi="Arial"/>
                <w:sz w:val="20"/>
                <w:szCs w:val="20"/>
                <w:b w:val="1"/>
                <w:bCs w:val="1"/>
                <w:color w:val="3983C5"/>
                <w:vertAlign w:val="superscript"/>
              </w:rPr>
              <w:t>(2)</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1,300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1,435</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4 Stage Preheater/Pre-calciner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1983</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1,100</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5 Stage Preheater/Pre-calciner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2006</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MO</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1,300</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5 Stage Preheater/Pre-calciner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2002</w:t>
            </w: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5"/>
                <w:szCs w:val="15"/>
                <w:b w:val="1"/>
                <w:bCs w:val="1"/>
                <w:color w:val="3983C5"/>
              </w:rPr>
              <w:t>Laramie, WY</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650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800</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2 Stage Preheater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A6A6A6"/>
            </w:tcBorders>
          </w:tcPr>
          <w:p>
            <w:pPr>
              <w:spacing w:after="0"/>
              <w:rPr>
                <w:sz w:val="15"/>
                <w:szCs w:val="15"/>
                <w:color w:val="auto"/>
              </w:rPr>
            </w:pPr>
          </w:p>
        </w:tc>
        <w:tc>
          <w:tcPr>
            <w:tcW w:w="15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1996</w:t>
            </w: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5"/>
                <w:szCs w:val="15"/>
                <w:b w:val="1"/>
                <w:bCs w:val="1"/>
                <w:color w:val="3983C5"/>
              </w:rPr>
              <w:t>Tulsa, OK</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600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900</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6A6A6"/>
            </w:tcBorders>
          </w:tcPr>
          <w:p>
            <w:pPr>
              <w:spacing w:after="0"/>
              <w:rPr>
                <w:sz w:val="20"/>
                <w:szCs w:val="20"/>
                <w:color w:val="auto"/>
              </w:rPr>
            </w:pPr>
          </w:p>
        </w:tc>
        <w:tc>
          <w:tcPr>
            <w:tcW w:w="152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82"/>
        </w:trPr>
        <w:tc>
          <w:tcPr>
            <w:tcW w:w="2200" w:type="dxa"/>
            <w:vAlign w:val="bottom"/>
          </w:tcPr>
          <w:p>
            <w:pPr>
              <w:ind w:left="20"/>
              <w:spacing w:after="0"/>
              <w:rPr>
                <w:sz w:val="20"/>
                <w:szCs w:val="20"/>
                <w:color w:val="auto"/>
              </w:rPr>
            </w:pPr>
            <w:r>
              <w:rPr>
                <w:rFonts w:ascii="Arial" w:cs="Arial" w:eastAsia="Arial" w:hAnsi="Arial"/>
                <w:sz w:val="15"/>
                <w:szCs w:val="15"/>
                <w:b w:val="1"/>
                <w:bCs w:val="1"/>
                <w:color w:val="3983C5"/>
              </w:rPr>
              <w:t>Fernley, NV</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500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550</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A6A6A6"/>
            </w:tcBorders>
          </w:tcPr>
          <w:p>
            <w:pPr>
              <w:spacing w:after="0"/>
              <w:rPr>
                <w:sz w:val="15"/>
                <w:szCs w:val="15"/>
                <w:color w:val="auto"/>
              </w:rPr>
            </w:pPr>
          </w:p>
        </w:tc>
        <w:tc>
          <w:tcPr>
            <w:tcW w:w="15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1 Stage Preheater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KY</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1,550</w:t>
            </w:r>
          </w:p>
        </w:tc>
        <w:tc>
          <w:tcPr>
            <w:tcW w:w="120" w:type="dxa"/>
            <w:vAlign w:val="bottom"/>
          </w:tcPr>
          <w:p>
            <w:pPr>
              <w:spacing w:after="0"/>
              <w:rPr>
                <w:sz w:val="15"/>
                <w:szCs w:val="15"/>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1,800</w:t>
            </w:r>
          </w:p>
        </w:tc>
        <w:tc>
          <w:tcPr>
            <w:tcW w:w="100" w:type="dxa"/>
            <w:vAlign w:val="bottom"/>
          </w:tcPr>
          <w:p>
            <w:pPr>
              <w:spacing w:after="0"/>
              <w:rPr>
                <w:sz w:val="15"/>
                <w:szCs w:val="15"/>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- 4 Stage Preheater/Pre-calciner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1999</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w:t>
            </w:r>
          </w:p>
        </w:tc>
        <w:tc>
          <w:tcPr>
            <w:tcW w:w="1520" w:type="dxa"/>
            <w:vAlign w:val="bottom"/>
            <w:tcBorders>
              <w:bottom w:val="single" w:sz="8" w:color="004483"/>
            </w:tcBorders>
          </w:tcPr>
          <w:p>
            <w:pPr>
              <w:jc w:val="right"/>
              <w:spacing w:after="0"/>
              <w:rPr>
                <w:sz w:val="20"/>
                <w:szCs w:val="20"/>
                <w:color w:val="auto"/>
              </w:rPr>
            </w:pPr>
            <w:r>
              <w:rPr>
                <w:rFonts w:ascii="Arial" w:cs="Arial" w:eastAsia="Arial" w:hAnsi="Arial"/>
                <w:sz w:val="15"/>
                <w:szCs w:val="15"/>
                <w:color w:val="auto"/>
              </w:rPr>
              <w:t>730</w:t>
            </w:r>
          </w:p>
        </w:tc>
        <w:tc>
          <w:tcPr>
            <w:tcW w:w="120" w:type="dxa"/>
            <w:vAlign w:val="bottom"/>
          </w:tcPr>
          <w:p>
            <w:pPr>
              <w:spacing w:after="0"/>
              <w:rPr>
                <w:sz w:val="18"/>
                <w:szCs w:val="18"/>
                <w:color w:val="auto"/>
              </w:rPr>
            </w:pPr>
          </w:p>
        </w:tc>
        <w:tc>
          <w:tcPr>
            <w:tcW w:w="1640" w:type="dxa"/>
            <w:vAlign w:val="bottom"/>
            <w:tcBorders>
              <w:bottom w:val="single" w:sz="8" w:color="004483"/>
            </w:tcBorders>
          </w:tcPr>
          <w:p>
            <w:pPr>
              <w:jc w:val="right"/>
              <w:spacing w:after="0"/>
              <w:rPr>
                <w:sz w:val="20"/>
                <w:szCs w:val="20"/>
                <w:color w:val="auto"/>
              </w:rPr>
            </w:pPr>
            <w:r>
              <w:rPr>
                <w:rFonts w:ascii="Arial" w:cs="Arial" w:eastAsia="Arial" w:hAnsi="Arial"/>
                <w:sz w:val="15"/>
                <w:szCs w:val="15"/>
                <w:color w:val="auto"/>
              </w:rPr>
              <w:t>980</w:t>
            </w:r>
          </w:p>
        </w:tc>
        <w:tc>
          <w:tcPr>
            <w:tcW w:w="100" w:type="dxa"/>
            <w:vAlign w:val="bottom"/>
          </w:tcPr>
          <w:p>
            <w:pPr>
              <w:spacing w:after="0"/>
              <w:rPr>
                <w:sz w:val="18"/>
                <w:szCs w:val="18"/>
                <w:color w:val="auto"/>
              </w:rPr>
            </w:pPr>
          </w:p>
        </w:tc>
        <w:tc>
          <w:tcPr>
            <w:tcW w:w="302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4 Stage Preheater</w:t>
            </w:r>
          </w:p>
        </w:tc>
        <w:tc>
          <w:tcPr>
            <w:tcW w:w="124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60"/>
              <w:spacing w:after="0"/>
              <w:rPr>
                <w:sz w:val="20"/>
                <w:szCs w:val="20"/>
                <w:color w:val="auto"/>
              </w:rPr>
            </w:pPr>
            <w:r>
              <w:rPr>
                <w:rFonts w:ascii="Arial" w:cs="Arial" w:eastAsia="Arial" w:hAnsi="Arial"/>
                <w:sz w:val="15"/>
                <w:szCs w:val="15"/>
                <w:color w:val="auto"/>
              </w:rPr>
              <w:t>1974</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Total-Gross</w:t>
            </w:r>
          </w:p>
        </w:tc>
        <w:tc>
          <w:tcPr>
            <w:tcW w:w="1520" w:type="dxa"/>
            <w:vAlign w:val="bottom"/>
            <w:tcBorders>
              <w:bottom w:val="single" w:sz="8" w:color="004483"/>
            </w:tcBorders>
          </w:tcPr>
          <w:p>
            <w:pPr>
              <w:jc w:val="right"/>
              <w:spacing w:after="0"/>
              <w:rPr>
                <w:sz w:val="20"/>
                <w:szCs w:val="20"/>
                <w:color w:val="auto"/>
              </w:rPr>
            </w:pPr>
            <w:r>
              <w:rPr>
                <w:rFonts w:ascii="Arial" w:cs="Arial" w:eastAsia="Arial" w:hAnsi="Arial"/>
                <w:sz w:val="15"/>
                <w:szCs w:val="15"/>
                <w:color w:val="auto"/>
              </w:rPr>
              <w:t>7,330</w:t>
            </w:r>
          </w:p>
        </w:tc>
        <w:tc>
          <w:tcPr>
            <w:tcW w:w="120" w:type="dxa"/>
            <w:vAlign w:val="bottom"/>
          </w:tcPr>
          <w:p>
            <w:pPr>
              <w:spacing w:after="0"/>
              <w:rPr>
                <w:sz w:val="18"/>
                <w:szCs w:val="18"/>
                <w:color w:val="auto"/>
              </w:rPr>
            </w:pPr>
          </w:p>
        </w:tc>
        <w:tc>
          <w:tcPr>
            <w:tcW w:w="1640" w:type="dxa"/>
            <w:vAlign w:val="bottom"/>
            <w:tcBorders>
              <w:bottom w:val="single" w:sz="8" w:color="004483"/>
            </w:tcBorders>
          </w:tcPr>
          <w:p>
            <w:pPr>
              <w:jc w:val="right"/>
              <w:spacing w:after="0"/>
              <w:rPr>
                <w:sz w:val="20"/>
                <w:szCs w:val="20"/>
                <w:color w:val="auto"/>
              </w:rPr>
            </w:pPr>
            <w:r>
              <w:rPr>
                <w:rFonts w:ascii="Arial" w:cs="Arial" w:eastAsia="Arial" w:hAnsi="Arial"/>
                <w:sz w:val="15"/>
                <w:szCs w:val="15"/>
                <w:color w:val="auto"/>
              </w:rPr>
              <w:t>8,865</w:t>
            </w:r>
          </w:p>
        </w:tc>
        <w:tc>
          <w:tcPr>
            <w:tcW w:w="100" w:type="dxa"/>
            <w:vAlign w:val="bottom"/>
          </w:tcPr>
          <w:p>
            <w:pPr>
              <w:spacing w:after="0"/>
              <w:rPr>
                <w:sz w:val="18"/>
                <w:szCs w:val="18"/>
                <w:color w:val="auto"/>
              </w:rPr>
            </w:pPr>
          </w:p>
        </w:tc>
        <w:tc>
          <w:tcPr>
            <w:tcW w:w="30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4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line="183" w:lineRule="exact"/>
              <w:rPr>
                <w:sz w:val="20"/>
                <w:szCs w:val="20"/>
                <w:color w:val="auto"/>
              </w:rPr>
            </w:pPr>
            <w:r>
              <w:rPr>
                <w:rFonts w:ascii="Arial" w:cs="Arial" w:eastAsia="Arial" w:hAnsi="Arial"/>
                <w:sz w:val="15"/>
                <w:szCs w:val="15"/>
                <w:b w:val="1"/>
                <w:bCs w:val="1"/>
                <w:color w:val="3983C5"/>
              </w:rPr>
              <w:t xml:space="preserve">Total-Net </w:t>
            </w:r>
            <w:r>
              <w:rPr>
                <w:rFonts w:ascii="Arial" w:cs="Arial" w:eastAsia="Arial" w:hAnsi="Arial"/>
                <w:sz w:val="20"/>
                <w:szCs w:val="20"/>
                <w:b w:val="1"/>
                <w:bCs w:val="1"/>
                <w:color w:val="3983C5"/>
                <w:vertAlign w:val="superscript"/>
              </w:rPr>
              <w:t>(3)</w:t>
            </w:r>
          </w:p>
        </w:tc>
        <w:tc>
          <w:tcPr>
            <w:tcW w:w="1520" w:type="dxa"/>
            <w:vAlign w:val="bottom"/>
            <w:tcBorders>
              <w:bottom w:val="single" w:sz="8" w:color="3983C5"/>
            </w:tcBorders>
          </w:tcPr>
          <w:p>
            <w:pPr>
              <w:jc w:val="right"/>
              <w:spacing w:after="0"/>
              <w:rPr>
                <w:sz w:val="20"/>
                <w:szCs w:val="20"/>
                <w:color w:val="auto"/>
              </w:rPr>
            </w:pPr>
            <w:r>
              <w:rPr>
                <w:rFonts w:ascii="Arial" w:cs="Arial" w:eastAsia="Arial" w:hAnsi="Arial"/>
                <w:sz w:val="15"/>
                <w:szCs w:val="15"/>
                <w:b w:val="1"/>
                <w:bCs w:val="1"/>
                <w:color w:val="auto"/>
              </w:rPr>
              <w:t>6,680</w:t>
            </w:r>
          </w:p>
        </w:tc>
        <w:tc>
          <w:tcPr>
            <w:tcW w:w="120" w:type="dxa"/>
            <w:vAlign w:val="bottom"/>
          </w:tcPr>
          <w:p>
            <w:pPr>
              <w:spacing w:after="0"/>
              <w:rPr>
                <w:sz w:val="15"/>
                <w:szCs w:val="15"/>
                <w:color w:val="auto"/>
              </w:rPr>
            </w:pPr>
          </w:p>
        </w:tc>
        <w:tc>
          <w:tcPr>
            <w:tcW w:w="1640" w:type="dxa"/>
            <w:vAlign w:val="bottom"/>
            <w:tcBorders>
              <w:bottom w:val="single" w:sz="8" w:color="3983C5"/>
            </w:tcBorders>
          </w:tcPr>
          <w:p>
            <w:pPr>
              <w:jc w:val="right"/>
              <w:spacing w:after="0"/>
              <w:rPr>
                <w:sz w:val="20"/>
                <w:szCs w:val="20"/>
                <w:color w:val="auto"/>
              </w:rPr>
            </w:pPr>
            <w:r>
              <w:rPr>
                <w:rFonts w:ascii="Arial" w:cs="Arial" w:eastAsia="Arial" w:hAnsi="Arial"/>
                <w:sz w:val="15"/>
                <w:szCs w:val="15"/>
                <w:b w:val="1"/>
                <w:bCs w:val="1"/>
                <w:color w:val="auto"/>
              </w:rPr>
              <w:t>8,150</w:t>
            </w: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20" w:type="dxa"/>
            <w:vAlign w:val="bottom"/>
            <w:tcBorders>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3983C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One short ton equals 2,000 pounds.</w:t>
      </w:r>
    </w:p>
    <w:p>
      <w:pPr>
        <w:ind w:left="220" w:hanging="212"/>
        <w:spacing w:after="0" w:line="192"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amount shown represents 100% of plant capacity. This plant is owned by the Joint Venture in which the Company has a 50% interest.</w:t>
      </w:r>
    </w:p>
    <w:p>
      <w:pPr>
        <w:ind w:left="220" w:hanging="212"/>
        <w:spacing w:after="0" w:line="193"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Net of partner’s 50% interest in the Buda, Texas plant.</w:t>
      </w:r>
    </w:p>
    <w:p>
      <w:pPr>
        <w:spacing w:after="0" w:line="7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All of our cement subsidiaries are wholly owned except the Buda, Texas plant, which is owned by Texas Lehigh Cement Company LP, a limited partnership joint venture owned 50% by us, and 50% by HM Southeast Cement LLC, a subsidiary of Heidelberg Materials (our Joint Venture Partner).</w:t>
      </w:r>
    </w:p>
    <w:p>
      <w:pPr>
        <w:spacing w:after="0" w:line="6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On May 1, 2024, the Company and our Joint Venture Partner entered into a put option agreement (Put Option Agreement) that provides for the grant of reciprocal put options by the parties with respect to their 50% partnership interests in the Joint Venture. If the Company or our Joint Venture Partner exercises its put option under the Put Option Agreement, the other party is required to purchase the 50% partnership interest held by the exercising party for approximately $550.0 million, subject to certain customary adjustments. The put option can only be exercised in the event of a triggering event, which is defined as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entry by the exercising party into a binding and effective outside purchase agreement. An outside purchase agreement is a definitive agreement for the purchase of assets or operations to be used in the production or sale of grey cement products or slag in the Joint Venture market area for total consideration equal to or greater than $1 billion. The Put Option Agreement is effective for 15 months, and expires on August 1, 2025.</w:t>
      </w:r>
    </w:p>
    <w:p>
      <w:pPr>
        <w:spacing w:after="0" w:line="66"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Our cement production, including our 50% share of the cement Joint Venture production, totaled 6.6 million short tons and 6.7 million short tons for fiscal 2024 and fiscal 2023, respectively. Total net Cement sales, including our 50% share of cement sales from the Joint Venture, were 7.3 million short tons and 7.1 million short tons in fiscal 2024 and fiscal 2023, respectively. Total net Cement sales exceed production primarily because of imports through the Houston and Stockton import terminals.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Demand, Sales, and Distribution</w:t>
      </w:r>
    </w:p>
    <w:p>
      <w:pPr>
        <w:spacing w:after="0" w:line="104" w:lineRule="exact"/>
        <w:rPr>
          <w:sz w:val="20"/>
          <w:szCs w:val="20"/>
          <w:color w:val="auto"/>
        </w:rPr>
      </w:pPr>
    </w:p>
    <w:p>
      <w:pPr>
        <w:ind w:right="340"/>
        <w:spacing w:after="0" w:line="242" w:lineRule="auto"/>
        <w:rPr>
          <w:sz w:val="20"/>
          <w:szCs w:val="20"/>
          <w:color w:val="auto"/>
        </w:rPr>
      </w:pPr>
      <w:r>
        <w:rPr>
          <w:rFonts w:ascii="Arial" w:cs="Arial" w:eastAsia="Arial" w:hAnsi="Arial"/>
          <w:sz w:val="18"/>
          <w:szCs w:val="18"/>
          <w:color w:val="auto"/>
        </w:rPr>
        <w:t>The principal sources of demand for cement and slag are public infrastructure, private nonresidential construction, and residential construction, with public infrastructure comprising nearly 50% of total demand. Cement consumption in the U.S. decreased slightly during calendar 2023, and the Portland Cement Association forecasts cement consumption will increase by approximately 1% in calendar 2024. Demand for cement is seasonal, particularly in northern states where inclement winter weather often affects construction activity. Cement sales are generally greatest from spring through the middle of autumn. Demand for slag has increased as the availability of fly ash has decreased due to the reduction in the use of coal to generate power.</w:t>
      </w:r>
    </w:p>
    <w:p>
      <w:pPr>
        <w:spacing w:after="0" w:line="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Because of cement’s low value-to-weight ratio, the relative cost of transporting cement on land is high and limits the geographic area in which each company can profitably market its products. The low value-to-weight ratio generally limits shipments by truck to a 150-mile radius from each plant, up to 300 miles by rail, and further by barge. Consequently, the U.S. cement industry is made up of regional markets rather than a single national selling market. No single cement company has a distribution of plants extensive enough to serve all geographic areas, so profitability is sensitive to shifts in the balance between regional supply and demand.</w:t>
      </w:r>
    </w:p>
    <w:p>
      <w:pPr>
        <w:spacing w:after="0" w:line="6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Environmental and zoning regulations have made it increasingly difficult for the U.S. cement industry to expand existing facilities and to build new cement facilities. Although we cannot predict which policies will be adopted in the future by federal, state, and local governmental bodies, we anticipate that future restrictions will likely continue to make zoning and permitting of new capacity additions difficult. This could potentially enhance the value of our existing facilities. Furthermore, cost-efficient alternatives to cement are currently limited, and the availability of some alternatives is diminishing. For example, the availability of fly ash, a cement replacement, has decreased because of the retirement of coal-fired power plants and the conversion of power plants from coal to natural gas and other forms of energy.</w:t>
      </w:r>
    </w:p>
    <w:p>
      <w:pPr>
        <w:spacing w:after="0" w:line="7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 or on the Great Lakes or transported on the Mississippi River system near major population centers. Our position in the U.S. heartland, away from most import terminals, provides a degree of insulation from coastal imports, given the expense of transporting cement from deep water ports into the heartland regions. This geographic position further enhances the value of our plant network.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5"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USGS estimates that imports represented approximately 22% of cement used in the U.S. during calendar 2023, compared with 21% in calendar 2022. Based on the historical distribution of cement into the market, we believe that no less than approximately 5% to 10% of the total U.S. consumption will consistently be served by imported cement.</w:t>
      </w:r>
    </w:p>
    <w:p>
      <w:pPr>
        <w:spacing w:after="0" w:line="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sets forth information regarding the geographic areas served by each of our cement and slag plants and the location of our distribution terminals in each area. We have over 30 cement storage and distribution terminals that are strategically located to extend the sales areas of our plants.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3983C5"/>
            </w:tcBorders>
          </w:tcPr>
          <w:p>
            <w:pPr>
              <w:ind w:left="20"/>
              <w:spacing w:after="0"/>
              <w:rPr>
                <w:sz w:val="20"/>
                <w:szCs w:val="20"/>
                <w:color w:val="auto"/>
              </w:rPr>
            </w:pPr>
            <w:r>
              <w:rPr>
                <w:rFonts w:ascii="Arial" w:cs="Arial" w:eastAsia="Arial" w:hAnsi="Arial"/>
                <w:sz w:val="13"/>
                <w:szCs w:val="13"/>
                <w:b w:val="1"/>
                <w:bCs w:val="1"/>
                <w:color w:val="auto"/>
              </w:rPr>
              <w:t>Plant Location</w:t>
            </w:r>
          </w:p>
        </w:tc>
        <w:tc>
          <w:tcPr>
            <w:tcW w:w="100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Type of Plant</w:t>
            </w:r>
          </w:p>
        </w:tc>
        <w:tc>
          <w:tcPr>
            <w:tcW w:w="2220" w:type="dxa"/>
            <w:vAlign w:val="bottom"/>
            <w:tcBorders>
              <w:bottom w:val="single" w:sz="8" w:color="3983C5"/>
            </w:tcBorders>
          </w:tcPr>
          <w:p>
            <w:pPr>
              <w:ind w:left="120"/>
              <w:spacing w:after="0"/>
              <w:rPr>
                <w:sz w:val="20"/>
                <w:szCs w:val="20"/>
                <w:color w:val="auto"/>
              </w:rPr>
            </w:pPr>
            <w:r>
              <w:rPr>
                <w:rFonts w:ascii="Arial" w:cs="Arial" w:eastAsia="Arial" w:hAnsi="Arial"/>
                <w:sz w:val="13"/>
                <w:szCs w:val="13"/>
                <w:b w:val="1"/>
                <w:bCs w:val="1"/>
                <w:color w:val="auto"/>
              </w:rPr>
              <w:t>Operating Company Name</w:t>
            </w:r>
          </w:p>
        </w:tc>
        <w:tc>
          <w:tcPr>
            <w:tcW w:w="236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Principal Geographic Areas</w:t>
            </w:r>
          </w:p>
        </w:tc>
        <w:tc>
          <w:tcPr>
            <w:tcW w:w="408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 xml:space="preserve">Distribution Terminals </w:t>
            </w:r>
            <w:r>
              <w:rPr>
                <w:rFonts w:ascii="Arial" w:cs="Arial" w:eastAsia="Arial" w:hAnsi="Arial"/>
                <w:sz w:val="16"/>
                <w:szCs w:val="16"/>
                <w:b w:val="1"/>
                <w:bCs w:val="1"/>
                <w:color w:val="auto"/>
                <w:vertAlign w:val="superscript"/>
              </w:rPr>
              <w:t>(1)</w:t>
            </w:r>
          </w:p>
        </w:tc>
      </w:tr>
      <w:tr>
        <w:trPr>
          <w:trHeight w:val="182"/>
        </w:trPr>
        <w:tc>
          <w:tcPr>
            <w:tcW w:w="158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Buda, Texas</w:t>
            </w:r>
          </w:p>
        </w:tc>
        <w:tc>
          <w:tcPr>
            <w:tcW w:w="1000" w:type="dxa"/>
            <w:vAlign w:val="bottom"/>
          </w:tcPr>
          <w:p>
            <w:pPr>
              <w:ind w:left="100"/>
              <w:spacing w:after="0" w:line="182"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82" w:lineRule="exact"/>
              <w:rPr>
                <w:sz w:val="20"/>
                <w:szCs w:val="20"/>
                <w:color w:val="auto"/>
              </w:rPr>
            </w:pPr>
            <w:r>
              <w:rPr>
                <w:rFonts w:ascii="Arial" w:cs="Arial" w:eastAsia="Arial" w:hAnsi="Arial"/>
                <w:sz w:val="16"/>
                <w:szCs w:val="16"/>
                <w:color w:val="auto"/>
              </w:rPr>
              <w:t>Texas Lehigh Cement</w:t>
            </w:r>
          </w:p>
        </w:tc>
        <w:tc>
          <w:tcPr>
            <w:tcW w:w="2360" w:type="dxa"/>
            <w:vAlign w:val="bottom"/>
          </w:tcPr>
          <w:p>
            <w:pPr>
              <w:ind w:left="100"/>
              <w:spacing w:after="0" w:line="182" w:lineRule="exact"/>
              <w:rPr>
                <w:sz w:val="20"/>
                <w:szCs w:val="20"/>
                <w:color w:val="auto"/>
              </w:rPr>
            </w:pPr>
            <w:r>
              <w:rPr>
                <w:rFonts w:ascii="Arial" w:cs="Arial" w:eastAsia="Arial" w:hAnsi="Arial"/>
                <w:sz w:val="16"/>
                <w:szCs w:val="16"/>
                <w:color w:val="auto"/>
              </w:rPr>
              <w:t>Texas and western</w:t>
            </w:r>
          </w:p>
        </w:tc>
        <w:tc>
          <w:tcPr>
            <w:tcW w:w="4080" w:type="dxa"/>
            <w:vAlign w:val="bottom"/>
          </w:tcPr>
          <w:p>
            <w:pPr>
              <w:ind w:left="100"/>
              <w:spacing w:after="0" w:line="182" w:lineRule="exact"/>
              <w:rPr>
                <w:sz w:val="20"/>
                <w:szCs w:val="20"/>
                <w:color w:val="auto"/>
              </w:rPr>
            </w:pPr>
            <w:r>
              <w:rPr>
                <w:rFonts w:ascii="Arial" w:cs="Arial" w:eastAsia="Arial" w:hAnsi="Arial"/>
                <w:sz w:val="16"/>
                <w:szCs w:val="16"/>
                <w:color w:val="auto"/>
              </w:rPr>
              <w:t>Corpus Christi, Texas; Houston, Texas;</w:t>
            </w:r>
          </w:p>
        </w:tc>
      </w:tr>
      <w:tr>
        <w:trPr>
          <w:trHeight w:val="189"/>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Company LP (the Joint</w:t>
            </w:r>
          </w:p>
        </w:tc>
        <w:tc>
          <w:tcPr>
            <w:tcW w:w="2360" w:type="dxa"/>
            <w:vAlign w:val="bottom"/>
          </w:tcPr>
          <w:p>
            <w:pPr>
              <w:ind w:left="100"/>
              <w:spacing w:after="0"/>
              <w:rPr>
                <w:sz w:val="20"/>
                <w:szCs w:val="20"/>
                <w:color w:val="auto"/>
              </w:rPr>
            </w:pPr>
            <w:r>
              <w:rPr>
                <w:rFonts w:ascii="Arial" w:cs="Arial" w:eastAsia="Arial" w:hAnsi="Arial"/>
                <w:sz w:val="16"/>
                <w:szCs w:val="16"/>
                <w:color w:val="auto"/>
              </w:rPr>
              <w:t>Louisiana</w:t>
            </w:r>
          </w:p>
        </w:tc>
        <w:tc>
          <w:tcPr>
            <w:tcW w:w="4080" w:type="dxa"/>
            <w:vAlign w:val="bottom"/>
          </w:tcPr>
          <w:p>
            <w:pPr>
              <w:ind w:left="100"/>
              <w:spacing w:after="0"/>
              <w:rPr>
                <w:sz w:val="20"/>
                <w:szCs w:val="20"/>
                <w:color w:val="auto"/>
              </w:rPr>
            </w:pPr>
            <w:r>
              <w:rPr>
                <w:rFonts w:ascii="Arial" w:cs="Arial" w:eastAsia="Arial" w:hAnsi="Arial"/>
                <w:sz w:val="16"/>
                <w:szCs w:val="16"/>
                <w:color w:val="auto"/>
              </w:rPr>
              <w:t>Roanoke (Fort Worth), Texas; Waco,</w:t>
            </w:r>
          </w:p>
        </w:tc>
      </w:tr>
      <w:tr>
        <w:trPr>
          <w:trHeight w:val="189"/>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Venture)</w:t>
            </w:r>
          </w:p>
        </w:tc>
        <w:tc>
          <w:tcPr>
            <w:tcW w:w="236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Arial" w:cs="Arial" w:eastAsia="Arial" w:hAnsi="Arial"/>
                <w:sz w:val="16"/>
                <w:szCs w:val="16"/>
                <w:color w:val="auto"/>
              </w:rPr>
              <w:t>Texas; Houston Cement Company</w:t>
            </w: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spacing w:after="0"/>
              <w:rPr>
                <w:sz w:val="18"/>
                <w:szCs w:val="18"/>
                <w:color w:val="auto"/>
              </w:rPr>
            </w:pP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(Joint Venture), Houston, Texas</w:t>
            </w:r>
          </w:p>
        </w:tc>
      </w:tr>
      <w:tr>
        <w:trPr>
          <w:trHeight w:val="183"/>
        </w:trPr>
        <w:tc>
          <w:tcPr>
            <w:tcW w:w="1580" w:type="dxa"/>
            <w:vAlign w:val="bottom"/>
          </w:tcPr>
          <w:p>
            <w:pPr>
              <w:ind w:left="20"/>
              <w:spacing w:after="0" w:line="183" w:lineRule="exact"/>
              <w:rPr>
                <w:sz w:val="20"/>
                <w:szCs w:val="20"/>
                <w:color w:val="auto"/>
              </w:rPr>
            </w:pPr>
            <w:r>
              <w:rPr>
                <w:rFonts w:ascii="Arial" w:cs="Arial" w:eastAsia="Arial" w:hAnsi="Arial"/>
                <w:sz w:val="16"/>
                <w:szCs w:val="16"/>
                <w:b w:val="1"/>
                <w:bCs w:val="1"/>
                <w:color w:val="3983C5"/>
              </w:rPr>
              <w:t>LaSalle, Illinois</w:t>
            </w:r>
          </w:p>
        </w:tc>
        <w:tc>
          <w:tcPr>
            <w:tcW w:w="1000" w:type="dxa"/>
            <w:vAlign w:val="bottom"/>
          </w:tcPr>
          <w:p>
            <w:pPr>
              <w:ind w:left="100"/>
              <w:spacing w:after="0" w:line="183"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83" w:lineRule="exact"/>
              <w:rPr>
                <w:sz w:val="20"/>
                <w:szCs w:val="20"/>
                <w:color w:val="auto"/>
              </w:rPr>
            </w:pPr>
            <w:r>
              <w:rPr>
                <w:rFonts w:ascii="Arial" w:cs="Arial" w:eastAsia="Arial" w:hAnsi="Arial"/>
                <w:sz w:val="16"/>
                <w:szCs w:val="16"/>
                <w:color w:val="auto"/>
              </w:rPr>
              <w:t>Illinois Cement Company</w:t>
            </w:r>
          </w:p>
        </w:tc>
        <w:tc>
          <w:tcPr>
            <w:tcW w:w="2360" w:type="dxa"/>
            <w:vAlign w:val="bottom"/>
          </w:tcPr>
          <w:p>
            <w:pPr>
              <w:ind w:left="100"/>
              <w:spacing w:after="0" w:line="183" w:lineRule="exact"/>
              <w:rPr>
                <w:sz w:val="20"/>
                <w:szCs w:val="20"/>
                <w:color w:val="auto"/>
              </w:rPr>
            </w:pPr>
            <w:r>
              <w:rPr>
                <w:rFonts w:ascii="Arial" w:cs="Arial" w:eastAsia="Arial" w:hAnsi="Arial"/>
                <w:sz w:val="16"/>
                <w:szCs w:val="16"/>
                <w:color w:val="auto"/>
              </w:rPr>
              <w:t>Illinois, Michigan, and</w:t>
            </w:r>
          </w:p>
        </w:tc>
        <w:tc>
          <w:tcPr>
            <w:tcW w:w="4080" w:type="dxa"/>
            <w:vAlign w:val="bottom"/>
          </w:tcPr>
          <w:p>
            <w:pPr>
              <w:ind w:left="100"/>
              <w:spacing w:after="0" w:line="183" w:lineRule="exact"/>
              <w:rPr>
                <w:sz w:val="20"/>
                <w:szCs w:val="20"/>
                <w:color w:val="auto"/>
              </w:rPr>
            </w:pPr>
            <w:r>
              <w:rPr>
                <w:rFonts w:ascii="Arial" w:cs="Arial" w:eastAsia="Arial" w:hAnsi="Arial"/>
                <w:sz w:val="16"/>
                <w:szCs w:val="16"/>
                <w:color w:val="auto"/>
              </w:rPr>
              <w:t>Hartland, Wisconsin; South Beloit, Illinois;</w:t>
            </w: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southern Wisconsin</w:t>
            </w: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Ottawa, Illinois</w:t>
            </w:r>
          </w:p>
        </w:tc>
      </w:tr>
      <w:tr>
        <w:trPr>
          <w:trHeight w:val="183"/>
        </w:trPr>
        <w:tc>
          <w:tcPr>
            <w:tcW w:w="1580" w:type="dxa"/>
            <w:vAlign w:val="bottom"/>
          </w:tcPr>
          <w:p>
            <w:pPr>
              <w:ind w:left="20"/>
              <w:spacing w:after="0" w:line="183" w:lineRule="exact"/>
              <w:rPr>
                <w:sz w:val="20"/>
                <w:szCs w:val="20"/>
                <w:color w:val="auto"/>
              </w:rPr>
            </w:pPr>
            <w:r>
              <w:rPr>
                <w:rFonts w:ascii="Arial" w:cs="Arial" w:eastAsia="Arial" w:hAnsi="Arial"/>
                <w:sz w:val="16"/>
                <w:szCs w:val="16"/>
                <w:b w:val="1"/>
                <w:bCs w:val="1"/>
                <w:color w:val="3983C5"/>
              </w:rPr>
              <w:t>Sugar Creek,</w:t>
            </w:r>
          </w:p>
        </w:tc>
        <w:tc>
          <w:tcPr>
            <w:tcW w:w="1000" w:type="dxa"/>
            <w:vAlign w:val="bottom"/>
          </w:tcPr>
          <w:p>
            <w:pPr>
              <w:ind w:left="100"/>
              <w:spacing w:after="0" w:line="183"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83" w:lineRule="exact"/>
              <w:rPr>
                <w:sz w:val="20"/>
                <w:szCs w:val="20"/>
                <w:color w:val="auto"/>
              </w:rPr>
            </w:pPr>
            <w:r>
              <w:rPr>
                <w:rFonts w:ascii="Arial" w:cs="Arial" w:eastAsia="Arial" w:hAnsi="Arial"/>
                <w:sz w:val="16"/>
                <w:szCs w:val="16"/>
                <w:color w:val="auto"/>
              </w:rPr>
              <w:t>Central Plains Cement</w:t>
            </w:r>
          </w:p>
        </w:tc>
        <w:tc>
          <w:tcPr>
            <w:tcW w:w="2360" w:type="dxa"/>
            <w:vAlign w:val="bottom"/>
          </w:tcPr>
          <w:p>
            <w:pPr>
              <w:ind w:left="100"/>
              <w:spacing w:after="0" w:line="183" w:lineRule="exact"/>
              <w:rPr>
                <w:sz w:val="20"/>
                <w:szCs w:val="20"/>
                <w:color w:val="auto"/>
              </w:rPr>
            </w:pPr>
            <w:r>
              <w:rPr>
                <w:rFonts w:ascii="Arial" w:cs="Arial" w:eastAsia="Arial" w:hAnsi="Arial"/>
                <w:sz w:val="16"/>
                <w:szCs w:val="16"/>
                <w:color w:val="auto"/>
              </w:rPr>
              <w:t>Western Missouri, eastern</w:t>
            </w:r>
          </w:p>
        </w:tc>
        <w:tc>
          <w:tcPr>
            <w:tcW w:w="4080" w:type="dxa"/>
            <w:vAlign w:val="bottom"/>
          </w:tcPr>
          <w:p>
            <w:pPr>
              <w:ind w:left="100"/>
              <w:spacing w:after="0" w:line="183" w:lineRule="exact"/>
              <w:rPr>
                <w:sz w:val="20"/>
                <w:szCs w:val="20"/>
                <w:color w:val="auto"/>
              </w:rPr>
            </w:pPr>
            <w:r>
              <w:rPr>
                <w:rFonts w:ascii="Arial" w:cs="Arial" w:eastAsia="Arial" w:hAnsi="Arial"/>
                <w:sz w:val="16"/>
                <w:szCs w:val="16"/>
                <w:color w:val="auto"/>
              </w:rPr>
              <w:t>Sugar Creek, Missouri; Wichita, Kansas;</w:t>
            </w:r>
          </w:p>
        </w:tc>
      </w:tr>
      <w:tr>
        <w:trPr>
          <w:trHeight w:val="189"/>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Missouri</w:t>
            </w:r>
          </w:p>
        </w:tc>
        <w:tc>
          <w:tcPr>
            <w:tcW w:w="100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Kansas, eastern Nebraska,</w:t>
            </w:r>
          </w:p>
        </w:tc>
        <w:tc>
          <w:tcPr>
            <w:tcW w:w="4080" w:type="dxa"/>
            <w:vAlign w:val="bottom"/>
          </w:tcPr>
          <w:p>
            <w:pPr>
              <w:ind w:left="100"/>
              <w:spacing w:after="0"/>
              <w:rPr>
                <w:sz w:val="20"/>
                <w:szCs w:val="20"/>
                <w:color w:val="auto"/>
              </w:rPr>
            </w:pPr>
            <w:r>
              <w:rPr>
                <w:rFonts w:ascii="Arial" w:cs="Arial" w:eastAsia="Arial" w:hAnsi="Arial"/>
                <w:sz w:val="16"/>
                <w:szCs w:val="16"/>
                <w:color w:val="auto"/>
              </w:rPr>
              <w:t>Omaha, Nebraska; Altoona, Iowa</w:t>
            </w: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and Iowa</w:t>
            </w:r>
          </w:p>
        </w:tc>
        <w:tc>
          <w:tcPr>
            <w:tcW w:w="4080" w:type="dxa"/>
            <w:vAlign w:val="bottom"/>
            <w:tcBorders>
              <w:bottom w:val="single" w:sz="8" w:color="A6A6A6"/>
            </w:tcBorders>
          </w:tcPr>
          <w:p>
            <w:pPr>
              <w:spacing w:after="0"/>
              <w:rPr>
                <w:sz w:val="18"/>
                <w:szCs w:val="18"/>
                <w:color w:val="auto"/>
              </w:rPr>
            </w:pPr>
          </w:p>
        </w:tc>
      </w:tr>
      <w:tr>
        <w:trPr>
          <w:trHeight w:val="183"/>
        </w:trPr>
        <w:tc>
          <w:tcPr>
            <w:tcW w:w="1580" w:type="dxa"/>
            <w:vAlign w:val="bottom"/>
          </w:tcPr>
          <w:p>
            <w:pPr>
              <w:ind w:left="20"/>
              <w:spacing w:after="0" w:line="183" w:lineRule="exact"/>
              <w:rPr>
                <w:sz w:val="20"/>
                <w:szCs w:val="20"/>
                <w:color w:val="auto"/>
              </w:rPr>
            </w:pPr>
            <w:r>
              <w:rPr>
                <w:rFonts w:ascii="Arial" w:cs="Arial" w:eastAsia="Arial" w:hAnsi="Arial"/>
                <w:sz w:val="16"/>
                <w:szCs w:val="16"/>
                <w:b w:val="1"/>
                <w:bCs w:val="1"/>
                <w:color w:val="3983C5"/>
              </w:rPr>
              <w:t>Tulsa, Oklahoma</w:t>
            </w:r>
          </w:p>
        </w:tc>
        <w:tc>
          <w:tcPr>
            <w:tcW w:w="1000" w:type="dxa"/>
            <w:vAlign w:val="bottom"/>
          </w:tcPr>
          <w:p>
            <w:pPr>
              <w:ind w:left="100"/>
              <w:spacing w:after="0" w:line="183"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83" w:lineRule="exact"/>
              <w:rPr>
                <w:sz w:val="20"/>
                <w:szCs w:val="20"/>
                <w:color w:val="auto"/>
              </w:rPr>
            </w:pPr>
            <w:r>
              <w:rPr>
                <w:rFonts w:ascii="Arial" w:cs="Arial" w:eastAsia="Arial" w:hAnsi="Arial"/>
                <w:sz w:val="16"/>
                <w:szCs w:val="16"/>
                <w:color w:val="auto"/>
              </w:rPr>
              <w:t>Central Plains Cement</w:t>
            </w:r>
          </w:p>
        </w:tc>
        <w:tc>
          <w:tcPr>
            <w:tcW w:w="2360" w:type="dxa"/>
            <w:vAlign w:val="bottom"/>
          </w:tcPr>
          <w:p>
            <w:pPr>
              <w:ind w:left="100"/>
              <w:spacing w:after="0" w:line="183" w:lineRule="exact"/>
              <w:rPr>
                <w:sz w:val="20"/>
                <w:szCs w:val="20"/>
                <w:color w:val="auto"/>
              </w:rPr>
            </w:pPr>
            <w:r>
              <w:rPr>
                <w:rFonts w:ascii="Arial" w:cs="Arial" w:eastAsia="Arial" w:hAnsi="Arial"/>
                <w:sz w:val="16"/>
                <w:szCs w:val="16"/>
                <w:color w:val="auto"/>
              </w:rPr>
              <w:t>Oklahoma, western</w:t>
            </w:r>
          </w:p>
        </w:tc>
        <w:tc>
          <w:tcPr>
            <w:tcW w:w="4080" w:type="dxa"/>
            <w:vAlign w:val="bottom"/>
          </w:tcPr>
          <w:p>
            <w:pPr>
              <w:ind w:left="100"/>
              <w:spacing w:after="0" w:line="183" w:lineRule="exact"/>
              <w:rPr>
                <w:sz w:val="20"/>
                <w:szCs w:val="20"/>
                <w:color w:val="auto"/>
              </w:rPr>
            </w:pPr>
            <w:r>
              <w:rPr>
                <w:rFonts w:ascii="Arial" w:cs="Arial" w:eastAsia="Arial" w:hAnsi="Arial"/>
                <w:sz w:val="16"/>
                <w:szCs w:val="16"/>
                <w:color w:val="auto"/>
              </w:rPr>
              <w:t>Oklahoma City, Oklahoma;</w:t>
            </w:r>
          </w:p>
        </w:tc>
      </w:tr>
      <w:tr>
        <w:trPr>
          <w:trHeight w:val="189"/>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Arkansas, and southern</w:t>
            </w:r>
          </w:p>
        </w:tc>
        <w:tc>
          <w:tcPr>
            <w:tcW w:w="4080" w:type="dxa"/>
            <w:vAlign w:val="bottom"/>
          </w:tcPr>
          <w:p>
            <w:pPr>
              <w:ind w:left="100"/>
              <w:spacing w:after="0"/>
              <w:rPr>
                <w:sz w:val="20"/>
                <w:szCs w:val="20"/>
                <w:color w:val="auto"/>
              </w:rPr>
            </w:pPr>
            <w:r>
              <w:rPr>
                <w:rFonts w:ascii="Arial" w:cs="Arial" w:eastAsia="Arial" w:hAnsi="Arial"/>
                <w:sz w:val="16"/>
                <w:szCs w:val="16"/>
                <w:color w:val="auto"/>
              </w:rPr>
              <w:t>Springfield, Missouri</w:t>
            </w: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Missouri</w:t>
            </w:r>
          </w:p>
        </w:tc>
        <w:tc>
          <w:tcPr>
            <w:tcW w:w="4080" w:type="dxa"/>
            <w:vAlign w:val="bottom"/>
            <w:tcBorders>
              <w:bottom w:val="single" w:sz="8" w:color="A6A6A6"/>
            </w:tcBorders>
          </w:tcPr>
          <w:p>
            <w:pPr>
              <w:spacing w:after="0"/>
              <w:rPr>
                <w:sz w:val="18"/>
                <w:szCs w:val="18"/>
                <w:color w:val="auto"/>
              </w:rPr>
            </w:pPr>
          </w:p>
        </w:tc>
      </w:tr>
      <w:tr>
        <w:trPr>
          <w:trHeight w:val="183"/>
        </w:trPr>
        <w:tc>
          <w:tcPr>
            <w:tcW w:w="1580" w:type="dxa"/>
            <w:vAlign w:val="bottom"/>
          </w:tcPr>
          <w:p>
            <w:pPr>
              <w:ind w:left="20"/>
              <w:spacing w:after="0" w:line="183" w:lineRule="exact"/>
              <w:rPr>
                <w:sz w:val="20"/>
                <w:szCs w:val="20"/>
                <w:color w:val="auto"/>
              </w:rPr>
            </w:pPr>
            <w:r>
              <w:rPr>
                <w:rFonts w:ascii="Arial" w:cs="Arial" w:eastAsia="Arial" w:hAnsi="Arial"/>
                <w:sz w:val="16"/>
                <w:szCs w:val="16"/>
                <w:b w:val="1"/>
                <w:bCs w:val="1"/>
                <w:color w:val="3983C5"/>
              </w:rPr>
              <w:t>Laramie, Wyoming</w:t>
            </w:r>
          </w:p>
        </w:tc>
        <w:tc>
          <w:tcPr>
            <w:tcW w:w="1000" w:type="dxa"/>
            <w:vAlign w:val="bottom"/>
          </w:tcPr>
          <w:p>
            <w:pPr>
              <w:ind w:left="100"/>
              <w:spacing w:after="0" w:line="183"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83" w:lineRule="exact"/>
              <w:rPr>
                <w:sz w:val="20"/>
                <w:szCs w:val="20"/>
                <w:color w:val="auto"/>
              </w:rPr>
            </w:pPr>
            <w:r>
              <w:rPr>
                <w:rFonts w:ascii="Arial" w:cs="Arial" w:eastAsia="Arial" w:hAnsi="Arial"/>
                <w:sz w:val="16"/>
                <w:szCs w:val="16"/>
                <w:color w:val="auto"/>
              </w:rPr>
              <w:t>Mountain Cement Company</w:t>
            </w:r>
          </w:p>
        </w:tc>
        <w:tc>
          <w:tcPr>
            <w:tcW w:w="2360" w:type="dxa"/>
            <w:vAlign w:val="bottom"/>
          </w:tcPr>
          <w:p>
            <w:pPr>
              <w:ind w:left="100"/>
              <w:spacing w:after="0" w:line="183" w:lineRule="exact"/>
              <w:rPr>
                <w:sz w:val="20"/>
                <w:szCs w:val="20"/>
                <w:color w:val="auto"/>
              </w:rPr>
            </w:pPr>
            <w:r>
              <w:rPr>
                <w:rFonts w:ascii="Arial" w:cs="Arial" w:eastAsia="Arial" w:hAnsi="Arial"/>
                <w:sz w:val="16"/>
                <w:szCs w:val="16"/>
                <w:color w:val="auto"/>
              </w:rPr>
              <w:t>Wyoming, Utah, Colorado,</w:t>
            </w:r>
          </w:p>
        </w:tc>
        <w:tc>
          <w:tcPr>
            <w:tcW w:w="4080" w:type="dxa"/>
            <w:vAlign w:val="bottom"/>
          </w:tcPr>
          <w:p>
            <w:pPr>
              <w:ind w:left="100"/>
              <w:spacing w:after="0" w:line="183" w:lineRule="exact"/>
              <w:rPr>
                <w:sz w:val="20"/>
                <w:szCs w:val="20"/>
                <w:color w:val="auto"/>
              </w:rPr>
            </w:pPr>
            <w:r>
              <w:rPr>
                <w:rFonts w:ascii="Arial" w:cs="Arial" w:eastAsia="Arial" w:hAnsi="Arial"/>
                <w:sz w:val="16"/>
                <w:szCs w:val="16"/>
                <w:color w:val="auto"/>
              </w:rPr>
              <w:t>Salt Lake City, Utah; Denver, Colorado;</w:t>
            </w: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and western Nebraska</w:t>
            </w: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 Platte, Nebraska</w:t>
            </w:r>
          </w:p>
        </w:tc>
      </w:tr>
      <w:tr>
        <w:trPr>
          <w:trHeight w:val="156"/>
        </w:trPr>
        <w:tc>
          <w:tcPr>
            <w:tcW w:w="1580" w:type="dxa"/>
            <w:vAlign w:val="bottom"/>
          </w:tcPr>
          <w:p>
            <w:pPr>
              <w:ind w:left="20"/>
              <w:spacing w:after="0" w:line="157" w:lineRule="exact"/>
              <w:rPr>
                <w:sz w:val="20"/>
                <w:szCs w:val="20"/>
                <w:color w:val="auto"/>
              </w:rPr>
            </w:pPr>
            <w:r>
              <w:rPr>
                <w:rFonts w:ascii="Arial" w:cs="Arial" w:eastAsia="Arial" w:hAnsi="Arial"/>
                <w:sz w:val="16"/>
                <w:szCs w:val="16"/>
                <w:b w:val="1"/>
                <w:bCs w:val="1"/>
                <w:color w:val="3983C5"/>
              </w:rPr>
              <w:t>Fernley, Nevada</w:t>
            </w:r>
          </w:p>
        </w:tc>
        <w:tc>
          <w:tcPr>
            <w:tcW w:w="1000" w:type="dxa"/>
            <w:vAlign w:val="bottom"/>
          </w:tcPr>
          <w:p>
            <w:pPr>
              <w:ind w:left="100"/>
              <w:spacing w:after="0" w:line="157"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57" w:lineRule="exact"/>
              <w:rPr>
                <w:sz w:val="20"/>
                <w:szCs w:val="20"/>
                <w:color w:val="auto"/>
              </w:rPr>
            </w:pPr>
            <w:r>
              <w:rPr>
                <w:rFonts w:ascii="Arial" w:cs="Arial" w:eastAsia="Arial" w:hAnsi="Arial"/>
                <w:sz w:val="16"/>
                <w:szCs w:val="16"/>
                <w:color w:val="auto"/>
              </w:rPr>
              <w:t>Nevada Cement Company</w:t>
            </w:r>
          </w:p>
        </w:tc>
        <w:tc>
          <w:tcPr>
            <w:tcW w:w="2360" w:type="dxa"/>
            <w:vAlign w:val="bottom"/>
          </w:tcPr>
          <w:p>
            <w:pPr>
              <w:ind w:left="100"/>
              <w:spacing w:after="0" w:line="157" w:lineRule="exact"/>
              <w:rPr>
                <w:sz w:val="20"/>
                <w:szCs w:val="20"/>
                <w:color w:val="auto"/>
              </w:rPr>
            </w:pPr>
            <w:r>
              <w:rPr>
                <w:rFonts w:ascii="Arial" w:cs="Arial" w:eastAsia="Arial" w:hAnsi="Arial"/>
                <w:sz w:val="16"/>
                <w:szCs w:val="16"/>
                <w:color w:val="auto"/>
              </w:rPr>
              <w:t>Northern Nevada and</w:t>
            </w:r>
          </w:p>
        </w:tc>
        <w:tc>
          <w:tcPr>
            <w:tcW w:w="4080" w:type="dxa"/>
            <w:vAlign w:val="bottom"/>
          </w:tcPr>
          <w:p>
            <w:pPr>
              <w:ind w:left="100"/>
              <w:spacing w:after="0" w:line="157" w:lineRule="exact"/>
              <w:rPr>
                <w:sz w:val="20"/>
                <w:szCs w:val="20"/>
                <w:color w:val="auto"/>
              </w:rPr>
            </w:pPr>
            <w:r>
              <w:rPr>
                <w:rFonts w:ascii="Arial" w:cs="Arial" w:eastAsia="Arial" w:hAnsi="Arial"/>
                <w:sz w:val="14"/>
                <w:szCs w:val="14"/>
                <w:color w:val="auto"/>
              </w:rPr>
              <w:t xml:space="preserve">Sacramento, California; Stockton, California </w:t>
            </w:r>
            <w:r>
              <w:rPr>
                <w:rFonts w:ascii="Arial" w:cs="Arial" w:eastAsia="Arial" w:hAnsi="Arial"/>
                <w:sz w:val="18"/>
                <w:szCs w:val="18"/>
                <w:color w:val="auto"/>
                <w:vertAlign w:val="superscript"/>
              </w:rPr>
              <w:t>(2)</w:t>
            </w:r>
          </w:p>
        </w:tc>
      </w:tr>
      <w:tr>
        <w:trPr>
          <w:trHeight w:val="243"/>
        </w:trPr>
        <w:tc>
          <w:tcPr>
            <w:tcW w:w="1580" w:type="dxa"/>
            <w:vAlign w:val="bottom"/>
            <w:tcBorders>
              <w:bottom w:val="single" w:sz="8" w:color="A6A6A6"/>
            </w:tcBorders>
          </w:tcPr>
          <w:p>
            <w:pPr>
              <w:spacing w:after="0"/>
              <w:rPr>
                <w:sz w:val="21"/>
                <w:szCs w:val="21"/>
                <w:color w:val="auto"/>
              </w:rPr>
            </w:pPr>
          </w:p>
        </w:tc>
        <w:tc>
          <w:tcPr>
            <w:tcW w:w="1000" w:type="dxa"/>
            <w:vAlign w:val="bottom"/>
            <w:tcBorders>
              <w:bottom w:val="single" w:sz="8" w:color="A6A6A6"/>
            </w:tcBorders>
          </w:tcPr>
          <w:p>
            <w:pPr>
              <w:spacing w:after="0"/>
              <w:rPr>
                <w:sz w:val="21"/>
                <w:szCs w:val="21"/>
                <w:color w:val="auto"/>
              </w:rPr>
            </w:pPr>
          </w:p>
        </w:tc>
        <w:tc>
          <w:tcPr>
            <w:tcW w:w="2220" w:type="dxa"/>
            <w:vAlign w:val="bottom"/>
            <w:tcBorders>
              <w:bottom w:val="single" w:sz="8" w:color="A6A6A6"/>
            </w:tcBorders>
          </w:tcPr>
          <w:p>
            <w:pPr>
              <w:spacing w:after="0"/>
              <w:rPr>
                <w:sz w:val="21"/>
                <w:szCs w:val="21"/>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northern California</w:t>
            </w: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 xml:space="preserve">Redwood City, California </w:t>
            </w:r>
            <w:r>
              <w:rPr>
                <w:rFonts w:ascii="Arial" w:cs="Arial" w:eastAsia="Arial" w:hAnsi="Arial"/>
                <w:sz w:val="21"/>
                <w:szCs w:val="21"/>
                <w:color w:val="auto"/>
                <w:vertAlign w:val="superscript"/>
              </w:rPr>
              <w:t>(2)</w:t>
            </w:r>
          </w:p>
        </w:tc>
      </w:tr>
      <w:tr>
        <w:trPr>
          <w:trHeight w:val="155"/>
        </w:trPr>
        <w:tc>
          <w:tcPr>
            <w:tcW w:w="1580" w:type="dxa"/>
            <w:vAlign w:val="bottom"/>
          </w:tcPr>
          <w:p>
            <w:pPr>
              <w:ind w:left="20"/>
              <w:spacing w:after="0" w:line="155" w:lineRule="exact"/>
              <w:rPr>
                <w:sz w:val="20"/>
                <w:szCs w:val="20"/>
                <w:color w:val="auto"/>
              </w:rPr>
            </w:pPr>
            <w:r>
              <w:rPr>
                <w:rFonts w:ascii="Arial" w:cs="Arial" w:eastAsia="Arial" w:hAnsi="Arial"/>
                <w:sz w:val="16"/>
                <w:szCs w:val="16"/>
                <w:b w:val="1"/>
                <w:bCs w:val="1"/>
                <w:color w:val="3983C5"/>
              </w:rPr>
              <w:t>Louisville,</w:t>
            </w:r>
          </w:p>
        </w:tc>
        <w:tc>
          <w:tcPr>
            <w:tcW w:w="1000" w:type="dxa"/>
            <w:vAlign w:val="bottom"/>
          </w:tcPr>
          <w:p>
            <w:pPr>
              <w:ind w:left="100"/>
              <w:spacing w:after="0" w:line="155"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55" w:lineRule="exact"/>
              <w:rPr>
                <w:sz w:val="20"/>
                <w:szCs w:val="20"/>
                <w:color w:val="auto"/>
              </w:rPr>
            </w:pPr>
            <w:r>
              <w:rPr>
                <w:rFonts w:ascii="Arial" w:cs="Arial" w:eastAsia="Arial" w:hAnsi="Arial"/>
                <w:sz w:val="16"/>
                <w:szCs w:val="16"/>
                <w:color w:val="auto"/>
              </w:rPr>
              <w:t>Kosmos Cement Company</w:t>
            </w:r>
          </w:p>
        </w:tc>
        <w:tc>
          <w:tcPr>
            <w:tcW w:w="2360" w:type="dxa"/>
            <w:vAlign w:val="bottom"/>
          </w:tcPr>
          <w:p>
            <w:pPr>
              <w:ind w:left="100"/>
              <w:spacing w:after="0" w:line="155" w:lineRule="exact"/>
              <w:rPr>
                <w:sz w:val="20"/>
                <w:szCs w:val="20"/>
                <w:color w:val="auto"/>
              </w:rPr>
            </w:pPr>
            <w:r>
              <w:rPr>
                <w:rFonts w:ascii="Arial" w:cs="Arial" w:eastAsia="Arial" w:hAnsi="Arial"/>
                <w:sz w:val="16"/>
                <w:szCs w:val="16"/>
                <w:color w:val="auto"/>
              </w:rPr>
              <w:t>Kentucky, Ohio, Indiana, West</w:t>
            </w:r>
          </w:p>
        </w:tc>
        <w:tc>
          <w:tcPr>
            <w:tcW w:w="4080" w:type="dxa"/>
            <w:vAlign w:val="bottom"/>
          </w:tcPr>
          <w:p>
            <w:pPr>
              <w:ind w:left="100"/>
              <w:spacing w:after="0" w:line="155" w:lineRule="exact"/>
              <w:rPr>
                <w:sz w:val="20"/>
                <w:szCs w:val="20"/>
                <w:color w:val="auto"/>
              </w:rPr>
            </w:pPr>
            <w:r>
              <w:rPr>
                <w:rFonts w:ascii="Arial" w:cs="Arial" w:eastAsia="Arial" w:hAnsi="Arial"/>
                <w:sz w:val="16"/>
                <w:szCs w:val="16"/>
                <w:color w:val="auto"/>
              </w:rPr>
              <w:t>Indianapolis, Indiana; Ceredo, West Virginia;</w:t>
            </w:r>
          </w:p>
        </w:tc>
      </w:tr>
      <w:tr>
        <w:trPr>
          <w:trHeight w:val="215"/>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Kentucky</w:t>
            </w: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Virginia, eastern Illinois,</w:t>
            </w:r>
          </w:p>
        </w:tc>
        <w:tc>
          <w:tcPr>
            <w:tcW w:w="408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Lexington, Kentucky </w:t>
            </w:r>
            <w:r>
              <w:rPr>
                <w:rFonts w:ascii="Arial" w:cs="Arial" w:eastAsia="Arial" w:hAnsi="Arial"/>
                <w:sz w:val="21"/>
                <w:szCs w:val="21"/>
                <w:color w:val="auto"/>
                <w:vertAlign w:val="superscript"/>
              </w:rPr>
              <w:t>(2)</w:t>
            </w:r>
            <w:r>
              <w:rPr>
                <w:rFonts w:ascii="Arial" w:cs="Arial" w:eastAsia="Arial" w:hAnsi="Arial"/>
                <w:sz w:val="16"/>
                <w:szCs w:val="16"/>
                <w:color w:val="auto"/>
              </w:rPr>
              <w:t>; Cincinnati, Ohio;</w:t>
            </w:r>
          </w:p>
        </w:tc>
      </w:tr>
      <w:tr>
        <w:trPr>
          <w:trHeight w:val="189"/>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western Pennsylvania, and</w:t>
            </w:r>
          </w:p>
        </w:tc>
        <w:tc>
          <w:tcPr>
            <w:tcW w:w="4080" w:type="dxa"/>
            <w:vAlign w:val="bottom"/>
          </w:tcPr>
          <w:p>
            <w:pPr>
              <w:ind w:left="100"/>
              <w:spacing w:after="0"/>
              <w:rPr>
                <w:sz w:val="20"/>
                <w:szCs w:val="20"/>
                <w:color w:val="auto"/>
              </w:rPr>
            </w:pPr>
            <w:r>
              <w:rPr>
                <w:rFonts w:ascii="Arial" w:cs="Arial" w:eastAsia="Arial" w:hAnsi="Arial"/>
                <w:sz w:val="16"/>
                <w:szCs w:val="16"/>
                <w:color w:val="auto"/>
              </w:rPr>
              <w:t>Pittsburgh, Pennsylvania; Nashville, Tennessee;</w:t>
            </w:r>
          </w:p>
        </w:tc>
      </w:tr>
      <w:tr>
        <w:trPr>
          <w:trHeight w:val="163"/>
        </w:trPr>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60" w:type="dxa"/>
            <w:vAlign w:val="bottom"/>
          </w:tcPr>
          <w:p>
            <w:pPr>
              <w:ind w:left="100"/>
              <w:spacing w:after="0" w:line="163" w:lineRule="exact"/>
              <w:rPr>
                <w:sz w:val="20"/>
                <w:szCs w:val="20"/>
                <w:color w:val="auto"/>
              </w:rPr>
            </w:pPr>
            <w:r>
              <w:rPr>
                <w:rFonts w:ascii="Arial" w:cs="Arial" w:eastAsia="Arial" w:hAnsi="Arial"/>
                <w:sz w:val="16"/>
                <w:szCs w:val="16"/>
                <w:color w:val="auto"/>
              </w:rPr>
              <w:t>northern Tennessee</w:t>
            </w:r>
          </w:p>
        </w:tc>
        <w:tc>
          <w:tcPr>
            <w:tcW w:w="4080" w:type="dxa"/>
            <w:vAlign w:val="bottom"/>
          </w:tcPr>
          <w:p>
            <w:pPr>
              <w:ind w:left="100"/>
              <w:spacing w:after="0" w:line="163" w:lineRule="exact"/>
              <w:rPr>
                <w:sz w:val="20"/>
                <w:szCs w:val="20"/>
                <w:color w:val="auto"/>
              </w:rPr>
            </w:pPr>
            <w:r>
              <w:rPr>
                <w:rFonts w:ascii="Arial" w:cs="Arial" w:eastAsia="Arial" w:hAnsi="Arial"/>
                <w:sz w:val="16"/>
                <w:szCs w:val="16"/>
                <w:color w:val="auto"/>
              </w:rPr>
              <w:t>Charleston, West Virginia;</w:t>
            </w:r>
          </w:p>
        </w:tc>
      </w:tr>
      <w:tr>
        <w:trPr>
          <w:trHeight w:val="243"/>
        </w:trPr>
        <w:tc>
          <w:tcPr>
            <w:tcW w:w="1580" w:type="dxa"/>
            <w:vAlign w:val="bottom"/>
            <w:tcBorders>
              <w:bottom w:val="single" w:sz="8" w:color="A6A6A6"/>
            </w:tcBorders>
          </w:tcPr>
          <w:p>
            <w:pPr>
              <w:spacing w:after="0"/>
              <w:rPr>
                <w:sz w:val="21"/>
                <w:szCs w:val="21"/>
                <w:color w:val="auto"/>
              </w:rPr>
            </w:pPr>
          </w:p>
        </w:tc>
        <w:tc>
          <w:tcPr>
            <w:tcW w:w="1000" w:type="dxa"/>
            <w:vAlign w:val="bottom"/>
            <w:tcBorders>
              <w:bottom w:val="single" w:sz="8" w:color="A6A6A6"/>
            </w:tcBorders>
          </w:tcPr>
          <w:p>
            <w:pPr>
              <w:spacing w:after="0"/>
              <w:rPr>
                <w:sz w:val="21"/>
                <w:szCs w:val="21"/>
                <w:color w:val="auto"/>
              </w:rPr>
            </w:pPr>
          </w:p>
        </w:tc>
        <w:tc>
          <w:tcPr>
            <w:tcW w:w="2220" w:type="dxa"/>
            <w:vAlign w:val="bottom"/>
            <w:tcBorders>
              <w:bottom w:val="single" w:sz="8" w:color="A6A6A6"/>
            </w:tcBorders>
          </w:tcPr>
          <w:p>
            <w:pPr>
              <w:spacing w:after="0"/>
              <w:rPr>
                <w:sz w:val="21"/>
                <w:szCs w:val="21"/>
                <w:color w:val="auto"/>
              </w:rPr>
            </w:pPr>
          </w:p>
        </w:tc>
        <w:tc>
          <w:tcPr>
            <w:tcW w:w="2360" w:type="dxa"/>
            <w:vAlign w:val="bottom"/>
            <w:tcBorders>
              <w:bottom w:val="single" w:sz="8" w:color="A6A6A6"/>
            </w:tcBorders>
          </w:tcPr>
          <w:p>
            <w:pPr>
              <w:spacing w:after="0"/>
              <w:rPr>
                <w:sz w:val="21"/>
                <w:szCs w:val="21"/>
                <w:color w:val="auto"/>
              </w:rPr>
            </w:pP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 xml:space="preserve">Mount Vernon, Indiana </w:t>
            </w:r>
            <w:r>
              <w:rPr>
                <w:rFonts w:ascii="Arial" w:cs="Arial" w:eastAsia="Arial" w:hAnsi="Arial"/>
                <w:sz w:val="21"/>
                <w:szCs w:val="21"/>
                <w:color w:val="auto"/>
                <w:vertAlign w:val="superscript"/>
              </w:rPr>
              <w:t>(2)</w:t>
            </w:r>
          </w:p>
        </w:tc>
      </w:tr>
      <w:tr>
        <w:trPr>
          <w:trHeight w:val="182"/>
        </w:trPr>
        <w:tc>
          <w:tcPr>
            <w:tcW w:w="158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Fairborn, Ohio</w:t>
            </w:r>
          </w:p>
        </w:tc>
        <w:tc>
          <w:tcPr>
            <w:tcW w:w="1000" w:type="dxa"/>
            <w:vAlign w:val="bottom"/>
          </w:tcPr>
          <w:p>
            <w:pPr>
              <w:ind w:left="100"/>
              <w:spacing w:after="0" w:line="182" w:lineRule="exact"/>
              <w:rPr>
                <w:sz w:val="20"/>
                <w:szCs w:val="20"/>
                <w:color w:val="auto"/>
              </w:rPr>
            </w:pPr>
            <w:r>
              <w:rPr>
                <w:rFonts w:ascii="Arial" w:cs="Arial" w:eastAsia="Arial" w:hAnsi="Arial"/>
                <w:sz w:val="16"/>
                <w:szCs w:val="16"/>
                <w:color w:val="auto"/>
              </w:rPr>
              <w:t>Cement</w:t>
            </w:r>
          </w:p>
        </w:tc>
        <w:tc>
          <w:tcPr>
            <w:tcW w:w="2220" w:type="dxa"/>
            <w:vAlign w:val="bottom"/>
          </w:tcPr>
          <w:p>
            <w:pPr>
              <w:ind w:left="120"/>
              <w:spacing w:after="0" w:line="182" w:lineRule="exact"/>
              <w:rPr>
                <w:sz w:val="20"/>
                <w:szCs w:val="20"/>
                <w:color w:val="auto"/>
              </w:rPr>
            </w:pPr>
            <w:r>
              <w:rPr>
                <w:rFonts w:ascii="Arial" w:cs="Arial" w:eastAsia="Arial" w:hAnsi="Arial"/>
                <w:sz w:val="16"/>
                <w:szCs w:val="16"/>
                <w:color w:val="auto"/>
              </w:rPr>
              <w:t>Fairborn Cement Company</w:t>
            </w:r>
          </w:p>
        </w:tc>
        <w:tc>
          <w:tcPr>
            <w:tcW w:w="2360" w:type="dxa"/>
            <w:vAlign w:val="bottom"/>
          </w:tcPr>
          <w:p>
            <w:pPr>
              <w:ind w:left="100"/>
              <w:spacing w:after="0" w:line="182" w:lineRule="exact"/>
              <w:rPr>
                <w:sz w:val="20"/>
                <w:szCs w:val="20"/>
                <w:color w:val="auto"/>
              </w:rPr>
            </w:pPr>
            <w:r>
              <w:rPr>
                <w:rFonts w:ascii="Arial" w:cs="Arial" w:eastAsia="Arial" w:hAnsi="Arial"/>
                <w:sz w:val="16"/>
                <w:szCs w:val="16"/>
                <w:color w:val="auto"/>
              </w:rPr>
              <w:t>Ohio, eastern Indiana, and</w:t>
            </w:r>
          </w:p>
        </w:tc>
        <w:tc>
          <w:tcPr>
            <w:tcW w:w="4080" w:type="dxa"/>
            <w:vAlign w:val="bottom"/>
          </w:tcPr>
          <w:p>
            <w:pPr>
              <w:ind w:left="100"/>
              <w:spacing w:after="0" w:line="182" w:lineRule="exact"/>
              <w:rPr>
                <w:sz w:val="20"/>
                <w:szCs w:val="20"/>
                <w:color w:val="auto"/>
              </w:rPr>
            </w:pPr>
            <w:r>
              <w:rPr>
                <w:rFonts w:ascii="Arial" w:cs="Arial" w:eastAsia="Arial" w:hAnsi="Arial"/>
                <w:sz w:val="16"/>
                <w:szCs w:val="16"/>
                <w:color w:val="auto"/>
              </w:rPr>
              <w:t>Columbus, Ohio</w:t>
            </w: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northern Kentucky</w:t>
            </w:r>
          </w:p>
        </w:tc>
        <w:tc>
          <w:tcPr>
            <w:tcW w:w="4080" w:type="dxa"/>
            <w:vAlign w:val="bottom"/>
            <w:tcBorders>
              <w:bottom w:val="single" w:sz="8" w:color="A6A6A6"/>
            </w:tcBorders>
          </w:tcPr>
          <w:p>
            <w:pPr>
              <w:spacing w:after="0"/>
              <w:rPr>
                <w:sz w:val="18"/>
                <w:szCs w:val="18"/>
                <w:color w:val="auto"/>
              </w:rPr>
            </w:pPr>
          </w:p>
        </w:tc>
      </w:tr>
      <w:tr>
        <w:trPr>
          <w:trHeight w:val="183"/>
        </w:trPr>
        <w:tc>
          <w:tcPr>
            <w:tcW w:w="1580" w:type="dxa"/>
            <w:vAlign w:val="bottom"/>
          </w:tcPr>
          <w:p>
            <w:pPr>
              <w:ind w:left="20"/>
              <w:spacing w:after="0" w:line="183" w:lineRule="exact"/>
              <w:rPr>
                <w:sz w:val="20"/>
                <w:szCs w:val="20"/>
                <w:color w:val="auto"/>
              </w:rPr>
            </w:pPr>
            <w:r>
              <w:rPr>
                <w:rFonts w:ascii="Arial" w:cs="Arial" w:eastAsia="Arial" w:hAnsi="Arial"/>
                <w:sz w:val="16"/>
                <w:szCs w:val="16"/>
                <w:b w:val="1"/>
                <w:bCs w:val="1"/>
                <w:color w:val="3983C5"/>
              </w:rPr>
              <w:t>Chicago, Illinois</w:t>
            </w:r>
          </w:p>
        </w:tc>
        <w:tc>
          <w:tcPr>
            <w:tcW w:w="1000" w:type="dxa"/>
            <w:vAlign w:val="bottom"/>
          </w:tcPr>
          <w:p>
            <w:pPr>
              <w:ind w:left="100"/>
              <w:spacing w:after="0" w:line="183" w:lineRule="exact"/>
              <w:rPr>
                <w:sz w:val="20"/>
                <w:szCs w:val="20"/>
                <w:color w:val="auto"/>
              </w:rPr>
            </w:pPr>
            <w:r>
              <w:rPr>
                <w:rFonts w:ascii="Arial" w:cs="Arial" w:eastAsia="Arial" w:hAnsi="Arial"/>
                <w:sz w:val="16"/>
                <w:szCs w:val="16"/>
                <w:color w:val="auto"/>
              </w:rPr>
              <w:t>Slag</w:t>
            </w:r>
          </w:p>
        </w:tc>
        <w:tc>
          <w:tcPr>
            <w:tcW w:w="2220" w:type="dxa"/>
            <w:vAlign w:val="bottom"/>
          </w:tcPr>
          <w:p>
            <w:pPr>
              <w:ind w:left="120"/>
              <w:spacing w:after="0" w:line="183" w:lineRule="exact"/>
              <w:rPr>
                <w:sz w:val="20"/>
                <w:szCs w:val="20"/>
                <w:color w:val="auto"/>
              </w:rPr>
            </w:pPr>
            <w:r>
              <w:rPr>
                <w:rFonts w:ascii="Arial" w:cs="Arial" w:eastAsia="Arial" w:hAnsi="Arial"/>
                <w:sz w:val="16"/>
                <w:szCs w:val="16"/>
                <w:color w:val="auto"/>
              </w:rPr>
              <w:t>Skyway Cement Company</w:t>
            </w:r>
          </w:p>
        </w:tc>
        <w:tc>
          <w:tcPr>
            <w:tcW w:w="2360" w:type="dxa"/>
            <w:vAlign w:val="bottom"/>
          </w:tcPr>
          <w:p>
            <w:pPr>
              <w:ind w:left="100"/>
              <w:spacing w:after="0" w:line="183" w:lineRule="exact"/>
              <w:rPr>
                <w:sz w:val="20"/>
                <w:szCs w:val="20"/>
                <w:color w:val="auto"/>
              </w:rPr>
            </w:pPr>
            <w:r>
              <w:rPr>
                <w:rFonts w:ascii="Arial" w:cs="Arial" w:eastAsia="Arial" w:hAnsi="Arial"/>
                <w:sz w:val="16"/>
                <w:szCs w:val="16"/>
                <w:color w:val="auto"/>
              </w:rPr>
              <w:t>Illinois, Pennsylvania,</w:t>
            </w:r>
          </w:p>
        </w:tc>
        <w:tc>
          <w:tcPr>
            <w:tcW w:w="4080" w:type="dxa"/>
            <w:vAlign w:val="bottom"/>
          </w:tcPr>
          <w:p>
            <w:pPr>
              <w:ind w:left="100"/>
              <w:spacing w:after="0" w:line="183" w:lineRule="exact"/>
              <w:rPr>
                <w:sz w:val="20"/>
                <w:szCs w:val="20"/>
                <w:color w:val="auto"/>
              </w:rPr>
            </w:pPr>
            <w:r>
              <w:rPr>
                <w:rFonts w:ascii="Arial" w:cs="Arial" w:eastAsia="Arial" w:hAnsi="Arial"/>
                <w:sz w:val="16"/>
                <w:szCs w:val="16"/>
                <w:color w:val="auto"/>
              </w:rPr>
              <w:t>Kansas City, Missouri; Etna, Pennsylvania;</w:t>
            </w:r>
          </w:p>
        </w:tc>
      </w:tr>
      <w:tr>
        <w:trPr>
          <w:trHeight w:val="189"/>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Iowa, Ohio, Minnesota,</w:t>
            </w:r>
          </w:p>
        </w:tc>
        <w:tc>
          <w:tcPr>
            <w:tcW w:w="4080" w:type="dxa"/>
            <w:vAlign w:val="bottom"/>
          </w:tcPr>
          <w:p>
            <w:pPr>
              <w:spacing w:after="0"/>
              <w:rPr>
                <w:sz w:val="16"/>
                <w:szCs w:val="16"/>
                <w:color w:val="auto"/>
              </w:rPr>
            </w:pPr>
          </w:p>
        </w:tc>
      </w:tr>
      <w:tr>
        <w:trPr>
          <w:trHeight w:val="216"/>
        </w:trPr>
        <w:tc>
          <w:tcPr>
            <w:tcW w:w="15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22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Missouri, and Kansas</w:t>
            </w:r>
          </w:p>
        </w:tc>
        <w:tc>
          <w:tcPr>
            <w:tcW w:w="4080" w:type="dxa"/>
            <w:vAlign w:val="bottom"/>
            <w:tcBorders>
              <w:bottom w:val="single" w:sz="8" w:color="A6A6A6"/>
            </w:tcBorders>
          </w:tcPr>
          <w:p>
            <w:pPr>
              <w:spacing w:after="0"/>
              <w:rPr>
                <w:sz w:val="18"/>
                <w:szCs w:val="18"/>
                <w:color w:val="auto"/>
              </w:rPr>
            </w:pPr>
          </w:p>
        </w:tc>
      </w:tr>
    </w:tbl>
    <w:p>
      <w:pPr>
        <w:spacing w:after="0" w:line="83"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Each distribution terminal listed in this table is capable of handling cement and/or slag.</w:t>
      </w:r>
    </w:p>
    <w:p>
      <w:pPr>
        <w:ind w:left="220" w:hanging="212"/>
        <w:spacing w:after="0" w:line="193" w:lineRule="auto"/>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These facilities are being leased.</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terminal in Lexington, Kentucky was being leased under an initial term of five years, and we are currently operating the terminal on a year-to-year lease. The terminal in Mt. Vernon, Indiana is leased through fiscal 2031, and contains options that will allow the renewal of this lease for an additional twenty years. The terminal in Redwood City, California is being leased under a month-to-month lease, and the terminal in Stockton, California is leased through calendar 2035.</w:t>
      </w:r>
    </w:p>
    <w:p>
      <w:pPr>
        <w:spacing w:after="0" w:line="6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Cement and slag are distributed directly to our customers mostly through customer pickups, and also by common carriers from our plants or distribution terminals. We transport cement, slag, and fly ash by truck, barge, and rail to our storage and distribution terminals.</w:t>
      </w:r>
    </w:p>
    <w:p>
      <w:pPr>
        <w:spacing w:after="0" w:line="4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No single customer accounted for more than 10% of our Cement segment sales during fiscal 2024. We do not typically enter into long-term cement sales contracts or have a significant level of order backlog.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Raw Materials and Fuel Supplies</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principal raw material used in the production of portland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and resources we own or lease will permit each of our plants to operate at our present production capacity for at least 25 years. We are actively seeking to upgrade our extensive high-quality resource base at existing properties to reserves, or acquire additional limestone reserves close to our plants, and believe we will be able to acquire more reserves in the future. All properties have additional resources that have potential with further engineering and evaluation to be upgraded to reserves. Other raw materials used in significantly smaller quantities than limestone are sand, clay, iron ore, and gypsum. These materials are readily available and can be obtained from reserves owned or leased by the Company, or purchased from outside suppliers.</w:t>
      </w:r>
    </w:p>
    <w:p>
      <w:pPr>
        <w:spacing w:after="0" w:line="60"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We utilize coal, petroleum coke, natural gas, and alternative fuels to fuel our cement plants. The cost of fuel increased throughout fiscal 2024, compared with fiscal 2023, due primarily to higher costs for solid fuels, such as coal and petroleum coke. The increase included the cost of the solid fuels and delivery costs. We expect the cost of fuel to stabilize in fiscal 2025. In keeping with our commitment to sustainability and cost management, we continue to expand the use of alternative fuels at our cement facilities.</w:t>
      </w:r>
    </w:p>
    <w:p>
      <w:pPr>
        <w:spacing w:after="0" w:line="6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have an agreement with a steel manufacturer to supply granules necessary for grinding slag. This agreement requires us to purchase up to 550,000 tons of granules, which meet certain specifications, made available by the steel manufacturer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we have not had many production interruptions under these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Environmental Matters</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Our cement operations are subject to numerous federal, state, and local laws and regulations pertaining to health, safety, and the environment. Some of these laws, such as the federal Clean Air Act (CAA) and the federal Clean Water Act (CWA) (and analogous state laws) impose environmental-permitting requirements and govern the nature and amount of emissions that may be generated when conducting particular operations. Other laws, such as the federal Comprehensive Environmental Response, Compensation and Liability Act (CERCLA) (and analogous state laws) impose obligations to clean up or remediate spills of hazardous materials into the environment. Other laws require us to reclaim certain land upon completion of extraction and mining operations in our quarries. We believe that we have obtained all the material environmental permits that are necessary to conduct our operations. We further believe that we are conducting our operations in substantial compliance with these permits. In addition, none of our manufacturing sites are listed as a CERCLA Superfund site.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environmental issues involving the cement manufacturing industry deserve special mention.</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Cement Kiln Dust </w:t>
      </w:r>
      <w:r>
        <w:rPr>
          <w:rFonts w:ascii="Arial" w:cs="Arial" w:eastAsia="Arial" w:hAnsi="Arial"/>
          <w:sz w:val="18"/>
          <w:szCs w:val="18"/>
          <w:color w:val="auto"/>
        </w:rPr>
        <w:t>– Our cement operations generate Cement Kiln Dust (CKD) as a byproduct. Because much of this CKD is unreacted raw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it is often returned to the production process. Substantially all CKD produced in connection with our ongoing operations is recycled. However, CKD was historically collected and is currently stored on-site at our Nevada, Missouri, Oklahoma and Wyoming cement plants and at a former plant site in Corpus Christi, Texas, which is no longer producing cement. Currently, CKD waste is generally excluded from the definition of hazardous waste under the federal regulations. The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8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U.S. Environmental Protection Agency (EPA) has been evaluating the regulatory status of CKD under the Resource Conservation and Recovery Act (RCRA) since 2002, and thus far has not changed its approach. If either the EPA or the states decide to reclassify or impose new management standards on this CKD at some point in the future, we could incur additional costs to comply with those requirements with respect to our historically collected CKD. CKD that comes in contact with water might produce a leachate with an alkalinity high enough to be classified as hazardous and might also leach certain hazardous trace metals therein.</w:t>
      </w:r>
    </w:p>
    <w:p>
      <w:pPr>
        <w:spacing w:after="0" w:line="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Potential Greenhouse Gas Regulation </w:t>
      </w:r>
      <w:r>
        <w:rPr>
          <w:rFonts w:ascii="Arial" w:cs="Arial" w:eastAsia="Arial" w:hAnsi="Arial"/>
          <w:sz w:val="18"/>
          <w:szCs w:val="18"/>
          <w:color w:val="auto"/>
        </w:rPr>
        <w:t>– The potential regulation of our emission of greenhouse gases (GHGs), including carbon dioxide,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affect our cement operations because (1) the cement manufacturing process requires the combustion of large amounts of fuel to generate very high kiln temperatures; and (2) the production of carbon dioxide is a byproduct of the calcination process, whereby carbon dioxide is removed from calcium carbonate to produce calcium oxide. Curbing GHG emissions is a clear priority for the Biden administration, and as part of rejoining the Paris Agreement, President Biden announced that the United States would commit to a 50 to 52 percent reduction from 2005 levels of GHG emissions by 2030 and set the goal of reaching net-zero GHG emissions by 2050. Further, several states have individually implemented or are presently considering measures to reduce emissions of GHGs, primarily through the planned development of GHG inventories or registries, or regional GHG cap and trade programs. It is not possible at this time to predict how any future legislation that may be enacted or final EPA regulations that may be adopted to address GHG emissions would impact our business. However, any imposition of raw materials or production limitations, fuel-use or carbon taxes (such as the EPA’s proposed Waste Emissions Charge on certain methane emissions from certain petroleum and natural gas facilities), or emission limitations or reductions could have a significant impact on the cement manufacturing industry and a material adverse effect on us and our results of operations.</w:t>
      </w:r>
    </w:p>
    <w:p>
      <w:pPr>
        <w:spacing w:after="0" w:line="7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 xml:space="preserve">Solid Waste Incineration Regulations </w:t>
      </w:r>
      <w:r>
        <w:rPr>
          <w:rFonts w:ascii="Arial" w:cs="Arial" w:eastAsia="Arial" w:hAnsi="Arial"/>
          <w:sz w:val="18"/>
          <w:szCs w:val="18"/>
          <w:color w:val="auto"/>
        </w:rPr>
        <w:t>– The EPA has promulgated revised regulations for Commercial and Industrial Solid Waste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Incineration (CISWI) units, pursuant to Section 129 of the CAA. The EPA has approved several states’ implementation plans under this rule, and has proposed a federal plan that would apply in states that have not submitted and received approval for a state plan. Compared to the Portland Cement Manufacturing Industry National Emission Standards for Hazardous Air Pollutants (PC NESHAP), the CISWI regulations contain requirements across a broader range of pollutants, and the requirement that apply for dioxin/furans for existing and new sources are somewhat more stringent.</w:t>
      </w:r>
    </w:p>
    <w:p>
      <w:pPr>
        <w:spacing w:after="0" w:line="71"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b w:val="1"/>
          <w:bCs w:val="1"/>
          <w:i w:val="1"/>
          <w:iCs w:val="1"/>
          <w:color w:val="auto"/>
        </w:rPr>
        <w:t xml:space="preserve">Air Quality Standards </w:t>
      </w:r>
      <w:r>
        <w:rPr>
          <w:rFonts w:ascii="Arial" w:cs="Arial" w:eastAsia="Arial" w:hAnsi="Arial"/>
          <w:sz w:val="18"/>
          <w:szCs w:val="18"/>
          <w:color w:val="auto"/>
        </w:rPr>
        <w:t>– The EPA is engaged in an ongoing review and implementation of the national ambient air quality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(NAAQS) for ozone. The CAA requires the EPA to review, and if necessary, revise the NAAQS every five years. In December 2020, the Trump Administration announced its decision to retain the 2015 ozone NAAQS set by the Obama Administration without change. This December 2020 final action, however, is subject to legal challenge and is currently being reviewed by the EPA.</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in February 2023, the EPA published a final rule disapproving the State Implementation Plans (SIPs) for twenty-one states, which addressed each state’s obligations to eliminate significant contributions to nonattainment, or interference with maintenance, of the 2015 ozone NAAQS in other states (interstate transport requirements). States subject to a SIP Disapproval under this final action relevant to our cement operations include Illinois, Kentucky, Missouri, Nevada, Ohio, Oklahoma, and Texas.</w:t>
      </w:r>
    </w:p>
    <w:p>
      <w:pPr>
        <w:spacing w:after="0" w:line="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March 2023, the EPA finalized a proposed Federal Implementation Plan (FIP), also known as the "Good Neighbor Plan," which addresses interstate transport obligations for the twenty-one states with disapproved SIPs as well as two additional states that had not submitted any revisions for their SIPs. In January 2024, the EPA added five more states to the FIP. The FIP establishes nitrogen oxide (NOx)</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emissions limitations beginning in 2026 during the ozone season for kilns used in cement and cement product manufacturing in 20 states, including all the above-listed states. The FIP went into effect on August 4, 2023, but has not been implemented in 12 of the states with disapproved SIPs due to legal challenges.</w:t>
      </w:r>
    </w:p>
    <w:p>
      <w:pPr>
        <w:spacing w:after="0" w:line="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States subject to the FIP relevant to our cement operations include Illinois, Kentucky, Missouri, Nevada, Ohio, Oklahoma, and Texas. Our facilities most directly affected by the disapproval by the EPA of the SIPs and the FIP finalized in March 2023 are our cement plants located in Nevada, Oklahoma and Texas. Various legal challenges have been filed against the EPA’s disapproval of the SIPs for such states, including Nevada, Oklahoma and Texas, which stayed the implementation of the EPA’s FIP in those states. We also filed our own challenges to the disapproval of the SIPs in these three states. In each of these actions, the petitioners have challenged the failure on the part of the EPA to appropriately defer to the applicable state’s analysis and determinations regarding interstate transport obligations. An adverse outcome in these actions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 Multiple parties have filed lawsuits challenging the EPA’s disapproval of the states’ plans as well as the Good Neighbor Plan, but no court has issued a final ruling on the validity of the disapprovals or the FIP. We are unable to predict the likely outcome of the multiple legal challenges to both the state disapprovals and the Good Neighbor Plan at this time.</w:t>
      </w:r>
    </w:p>
    <w:p>
      <w:pPr>
        <w:spacing w:after="0" w:line="75"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Further, on February 7, 2024, the EPA announced its final rule to change the NAAQS for fine particle pollution, also known as fine particulate matter (PM</w:t>
      </w:r>
      <w:r>
        <w:rPr>
          <w:rFonts w:ascii="Arial" w:cs="Arial" w:eastAsia="Arial" w:hAnsi="Arial"/>
          <w:sz w:val="23"/>
          <w:szCs w:val="23"/>
          <w:color w:val="auto"/>
          <w:vertAlign w:val="subscript"/>
        </w:rPr>
        <w:t>2.5</w:t>
      </w:r>
      <w:r>
        <w:rPr>
          <w:rFonts w:ascii="Arial" w:cs="Arial" w:eastAsia="Arial" w:hAnsi="Arial"/>
          <w:sz w:val="17"/>
          <w:szCs w:val="17"/>
          <w:color w:val="auto"/>
        </w:rPr>
        <w:t>) or soot, and related monitoring requirements, last revised in 2012. The final rule lowers the level of the primary (health-based)</w:t>
      </w:r>
    </w:p>
    <w:p>
      <w:pPr>
        <w:spacing w:after="0" w:line="209" w:lineRule="auto"/>
        <w:rPr>
          <w:sz w:val="20"/>
          <w:szCs w:val="20"/>
          <w:color w:val="auto"/>
        </w:rPr>
      </w:pPr>
      <w:r>
        <w:rPr>
          <w:rFonts w:ascii="Arial" w:cs="Arial" w:eastAsia="Arial" w:hAnsi="Arial"/>
          <w:sz w:val="17"/>
          <w:szCs w:val="17"/>
          <w:color w:val="auto"/>
        </w:rPr>
        <w:t>annual PM</w:t>
      </w:r>
      <w:r>
        <w:rPr>
          <w:rFonts w:ascii="Arial" w:cs="Arial" w:eastAsia="Arial" w:hAnsi="Arial"/>
          <w:sz w:val="23"/>
          <w:szCs w:val="23"/>
          <w:color w:val="auto"/>
          <w:vertAlign w:val="subscript"/>
        </w:rPr>
        <w:t>2.5</w:t>
      </w:r>
      <w:r>
        <w:rPr>
          <w:rFonts w:ascii="Arial" w:cs="Arial" w:eastAsia="Arial" w:hAnsi="Arial"/>
          <w:sz w:val="17"/>
          <w:szCs w:val="17"/>
          <w:color w:val="auto"/>
        </w:rPr>
        <w:t xml:space="preserve"> standard from 12 micrograms per cubic meter to 9 micrograms. The EPA retained all other existing PM standards. The final rule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has been challenged by various parties and the cases have been consolidated in the United States Court of Appeals for the D.C. Circuit. The outcome of these legal challenges is unknown at this time. The anticipated impacts of the new PM NAAQS are similar to those for the ozone NAAQS, discussed above, and include a potential increase in our capital expenditures and operating expenses and make permitting more difficult.</w:t>
      </w:r>
    </w:p>
    <w:p>
      <w:pPr>
        <w:spacing w:after="0" w:line="72" w:lineRule="exact"/>
        <w:rPr>
          <w:sz w:val="20"/>
          <w:szCs w:val="20"/>
          <w:color w:val="auto"/>
        </w:rPr>
      </w:pPr>
    </w:p>
    <w:p>
      <w:pPr>
        <w:ind w:right="1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 We believe that our current procedures and practices in our operations, including those for handling and managing hazardous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 stringent environmental laws, or stricter interpretation of existing environmental laws, could necessitate significant capital outlays.</w:t>
      </w:r>
    </w:p>
    <w:p>
      <w:pPr>
        <w:spacing w:after="0" w:line="7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In fiscal 2024, we had $4.9 million of capital expenditures related to compliance with environmental regulations applicable to our Cement operations. We anticipate spending $7.5 million during fiscal 2025.</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AND AGGREGATES</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aggregates business consists of mining, extracting, producing, and selling crushed stone, sand, and gravel. Construction aggregates of suitable characteristics are employed in virtually all types of construction, including the production of readymix concrete, flexible base, and asphaltic mixes used in highway construction and maintenance.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Aggregate Resources and Reserves</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generally conduct Aggregate operations near our concrete facilities. Aggregates are obtained principally by mining and extracting from quarries owned or leased by the Company. Mining at all of our quarries is done by company personnel.</w:t>
      </w:r>
    </w:p>
    <w:p>
      <w:pPr>
        <w:spacing w:after="0" w:line="4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Mineral resources and reserves for our aggregate plants consist of both sand and gravel, as well as limestone, and are defined similarly to how these reserves are defined for our Cement business. See the Limestone Resources and Reserves section in the Cement segment discussion for a more detailed description of how we define mineral resources and reserves.</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March 31, 2024, we had 102.0 million tons of proven and probable aggregate reserves. Approximately 35% of our reserves are owned, with the rest covered under leases expiring between 2040 and 2060. We do not consider any of our individual quarries to be material for disclosure purposes. All of our individual locations, with the exception of the Kansas City area, have at least 25 years of reserves.</w:t>
      </w:r>
    </w:p>
    <w:p>
      <w:pPr>
        <w:spacing w:after="0" w:line="169"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Our total measured and indicated aggregates resources were 139.6 million tons at March 31, 2024, compared with 145.3 million tons at March 31, 2023. Our total proven and probable reserves were 102.0 million tons at March 31, 2024, compared with 116.7 million tons at March 31, 2023. The decrease in reserves and resources was due to depletion during fiscal 2024, as well as the expiration of a lease in Northern Nevada that reduced reserves by approximately 15.1 tons.</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certain information regarding our aggregates facilities as well as aggregates resources, exclusive of aggregates reserves, at March 31, 2024:</w:t>
      </w:r>
    </w:p>
    <w:p>
      <w:pPr>
        <w:spacing w:after="0" w:line="132"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 xml:space="preserve">Aggregates Resources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1270</wp:posOffset>
            </wp:positionV>
            <wp:extent cx="3214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Estimated Annual</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jc w:val="right"/>
              <w:ind w:right="587"/>
              <w:spacing w:after="0"/>
              <w:rPr>
                <w:sz w:val="20"/>
                <w:szCs w:val="20"/>
                <w:color w:val="auto"/>
              </w:rPr>
            </w:pPr>
            <w:r>
              <w:rPr>
                <w:rFonts w:ascii="Arial" w:cs="Arial" w:eastAsia="Arial" w:hAnsi="Arial"/>
                <w:sz w:val="13"/>
                <w:szCs w:val="13"/>
                <w:color w:val="auto"/>
              </w:rPr>
              <w:t>(tons in thousands)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Types</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Measured &amp;</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18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Production Capacity</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Measured</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Indicated</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Inferred</w:t>
            </w:r>
          </w:p>
        </w:tc>
        <w:tc>
          <w:tcPr>
            <w:tcW w:w="0" w:type="dxa"/>
            <w:vAlign w:val="bottom"/>
          </w:tcPr>
          <w:p>
            <w:pPr>
              <w:spacing w:after="0"/>
              <w:rPr>
                <w:sz w:val="1"/>
                <w:szCs w:val="1"/>
                <w:color w:val="auto"/>
              </w:rPr>
            </w:pPr>
          </w:p>
        </w:tc>
      </w:tr>
      <w:tr>
        <w:trPr>
          <w:trHeight w:val="187"/>
        </w:trPr>
        <w:tc>
          <w:tcPr>
            <w:tcW w:w="1920" w:type="dxa"/>
            <w:vAlign w:val="bottom"/>
            <w:tcBorders>
              <w:bottom w:val="single" w:sz="8" w:color="00AAC6"/>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of Aggregates</w:t>
            </w:r>
          </w:p>
        </w:tc>
        <w:tc>
          <w:tcPr>
            <w:tcW w:w="178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(Thousand tons)</w:t>
            </w:r>
          </w:p>
        </w:tc>
        <w:tc>
          <w:tcPr>
            <w:tcW w:w="120" w:type="dxa"/>
            <w:vAlign w:val="bottom"/>
          </w:tcPr>
          <w:p>
            <w:pPr>
              <w:spacing w:after="0"/>
              <w:rPr>
                <w:sz w:val="16"/>
                <w:szCs w:val="16"/>
                <w:color w:val="auto"/>
              </w:rPr>
            </w:pPr>
          </w:p>
        </w:tc>
        <w:tc>
          <w:tcPr>
            <w:tcW w:w="1180" w:type="dxa"/>
            <w:vAlign w:val="bottom"/>
            <w:tcBorders>
              <w:bottom w:val="single" w:sz="8" w:color="00AAC6"/>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00AAC6"/>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Indicated</w:t>
            </w:r>
          </w:p>
        </w:tc>
        <w:tc>
          <w:tcPr>
            <w:tcW w:w="120" w:type="dxa"/>
            <w:vAlign w:val="bottom"/>
          </w:tcPr>
          <w:p>
            <w:pPr>
              <w:spacing w:after="0"/>
              <w:rPr>
                <w:sz w:val="16"/>
                <w:szCs w:val="16"/>
                <w:color w:val="auto"/>
              </w:rPr>
            </w:pPr>
          </w:p>
        </w:tc>
        <w:tc>
          <w:tcPr>
            <w:tcW w:w="1220" w:type="dxa"/>
            <w:vAlign w:val="bottom"/>
            <w:tcBorders>
              <w:bottom w:val="single" w:sz="8" w:color="00AAC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180" w:type="dxa"/>
            <w:vAlign w:val="bottom"/>
            <w:tcBorders>
              <w:bottom w:val="single" w:sz="8" w:color="A6A6A6"/>
            </w:tcBorders>
          </w:tcPr>
          <w:p>
            <w:pPr>
              <w:spacing w:after="0"/>
              <w:rPr>
                <w:sz w:val="18"/>
                <w:szCs w:val="18"/>
                <w:color w:val="auto"/>
              </w:rPr>
            </w:pPr>
          </w:p>
        </w:tc>
        <w:tc>
          <w:tcPr>
            <w:tcW w:w="206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 and Gravel</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2,500</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74,700</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180" w:type="dxa"/>
            <w:vAlign w:val="bottom"/>
            <w:tcBorders>
              <w:bottom w:val="single" w:sz="8" w:color="A6A6A6"/>
            </w:tcBorders>
          </w:tcPr>
          <w:p>
            <w:pPr>
              <w:spacing w:after="0"/>
              <w:rPr>
                <w:sz w:val="18"/>
                <w:szCs w:val="18"/>
                <w:color w:val="auto"/>
              </w:rPr>
            </w:pPr>
          </w:p>
        </w:tc>
        <w:tc>
          <w:tcPr>
            <w:tcW w:w="206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180" w:type="dxa"/>
            <w:vAlign w:val="bottom"/>
            <w:tcBorders>
              <w:bottom w:val="single" w:sz="8" w:color="A6A6A6"/>
            </w:tcBorders>
          </w:tcPr>
          <w:p>
            <w:pPr>
              <w:spacing w:after="0"/>
              <w:rPr>
                <w:sz w:val="18"/>
                <w:szCs w:val="18"/>
                <w:color w:val="auto"/>
              </w:rPr>
            </w:pPr>
          </w:p>
        </w:tc>
        <w:tc>
          <w:tcPr>
            <w:tcW w:w="206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Sand and Gravel</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1,700</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21,500</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7,135</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28,635</w:t>
            </w:r>
          </w:p>
        </w:tc>
        <w:tc>
          <w:tcPr>
            <w:tcW w:w="12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7,000</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Kentucky</w:t>
            </w:r>
          </w:p>
        </w:tc>
        <w:tc>
          <w:tcPr>
            <w:tcW w:w="180" w:type="dxa"/>
            <w:vAlign w:val="bottom"/>
            <w:tcBorders>
              <w:bottom w:val="single" w:sz="8" w:color="A6A6A6"/>
            </w:tcBorders>
          </w:tcPr>
          <w:p>
            <w:pPr>
              <w:spacing w:after="0"/>
              <w:rPr>
                <w:sz w:val="18"/>
                <w:szCs w:val="18"/>
                <w:color w:val="auto"/>
              </w:rPr>
            </w:pPr>
          </w:p>
        </w:tc>
        <w:tc>
          <w:tcPr>
            <w:tcW w:w="206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5,440</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58,410</w:t>
            </w:r>
          </w:p>
        </w:tc>
        <w:tc>
          <w:tcPr>
            <w:tcW w:w="12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63,850</w:t>
            </w:r>
          </w:p>
        </w:tc>
        <w:tc>
          <w:tcPr>
            <w:tcW w:w="12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140,820</w:t>
            </w: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18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5"/>
                <w:szCs w:val="15"/>
                <w:color w:val="auto"/>
              </w:rPr>
              <w:t>Sand and Gravel</w:t>
            </w:r>
          </w:p>
        </w:tc>
        <w:tc>
          <w:tcPr>
            <w:tcW w:w="1780" w:type="dxa"/>
            <w:vAlign w:val="bottom"/>
          </w:tcPr>
          <w:p>
            <w:pPr>
              <w:jc w:val="right"/>
              <w:spacing w:after="0"/>
              <w:rPr>
                <w:sz w:val="20"/>
                <w:szCs w:val="20"/>
                <w:color w:val="auto"/>
              </w:rPr>
            </w:pPr>
            <w:r>
              <w:rPr>
                <w:rFonts w:ascii="Arial" w:cs="Arial" w:eastAsia="Arial" w:hAnsi="Arial"/>
                <w:sz w:val="15"/>
                <w:szCs w:val="15"/>
                <w:color w:val="auto"/>
              </w:rPr>
              <w:t>850</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28,500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18,600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47,100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16,300</w:t>
            </w:r>
          </w:p>
        </w:tc>
        <w:tc>
          <w:tcPr>
            <w:tcW w:w="0" w:type="dxa"/>
            <w:vAlign w:val="bottom"/>
          </w:tcPr>
          <w:p>
            <w:pPr>
              <w:spacing w:after="0"/>
              <w:rPr>
                <w:sz w:val="1"/>
                <w:szCs w:val="1"/>
                <w:color w:val="auto"/>
              </w:rPr>
            </w:pPr>
          </w:p>
        </w:tc>
      </w:tr>
      <w:tr>
        <w:trPr>
          <w:trHeight w:val="183"/>
        </w:trPr>
        <w:tc>
          <w:tcPr>
            <w:tcW w:w="1920" w:type="dxa"/>
            <w:vAlign w:val="bottom"/>
            <w:tcBorders>
              <w:top w:val="single" w:sz="8" w:color="A6A6A6"/>
            </w:tcBorders>
          </w:tcPr>
          <w:p>
            <w:pPr>
              <w:spacing w:after="0"/>
              <w:rPr>
                <w:sz w:val="15"/>
                <w:szCs w:val="15"/>
                <w:color w:val="auto"/>
              </w:rPr>
            </w:pPr>
          </w:p>
        </w:tc>
        <w:tc>
          <w:tcPr>
            <w:tcW w:w="180" w:type="dxa"/>
            <w:vAlign w:val="bottom"/>
            <w:tcBorders>
              <w:top w:val="single" w:sz="8" w:color="A6A6A6"/>
            </w:tcBorders>
          </w:tcPr>
          <w:p>
            <w:pPr>
              <w:spacing w:after="0"/>
              <w:rPr>
                <w:sz w:val="15"/>
                <w:szCs w:val="15"/>
                <w:color w:val="auto"/>
              </w:rPr>
            </w:pPr>
          </w:p>
        </w:tc>
        <w:tc>
          <w:tcPr>
            <w:tcW w:w="2060" w:type="dxa"/>
            <w:vAlign w:val="bottom"/>
            <w:tcBorders>
              <w:top w:val="single" w:sz="8" w:color="A6A6A6"/>
            </w:tcBorders>
          </w:tcPr>
          <w:p>
            <w:pPr>
              <w:spacing w:after="0"/>
              <w:rPr>
                <w:sz w:val="15"/>
                <w:szCs w:val="15"/>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6,050</w:t>
            </w:r>
          </w:p>
        </w:tc>
        <w:tc>
          <w:tcPr>
            <w:tcW w:w="1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55,440</w:t>
            </w:r>
          </w:p>
        </w:tc>
        <w:tc>
          <w:tcPr>
            <w:tcW w:w="1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84,145</w:t>
            </w:r>
          </w:p>
        </w:tc>
        <w:tc>
          <w:tcPr>
            <w:tcW w:w="1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139,585</w:t>
            </w:r>
          </w:p>
        </w:tc>
        <w:tc>
          <w:tcPr>
            <w:tcW w:w="1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263,820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Aggregates resources are reported on an in situ basis.</w:t>
      </w:r>
    </w:p>
    <w:p>
      <w:pPr>
        <w:ind w:left="160" w:hanging="152"/>
        <w:spacing w:after="0" w:line="20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Company currently is not operating its aggregate facility in the Kansas City area.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aggregates reserves at March 31, 2024:</w:t>
      </w:r>
    </w:p>
    <w:p>
      <w:pPr>
        <w:spacing w:after="0" w:line="149"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 xml:space="preserve">Aggregates Reserves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1270</wp:posOffset>
            </wp:positionV>
            <wp:extent cx="459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jc w:val="right"/>
              <w:ind w:right="548"/>
              <w:spacing w:after="0"/>
              <w:rPr>
                <w:sz w:val="20"/>
                <w:szCs w:val="20"/>
                <w:color w:val="auto"/>
              </w:rPr>
            </w:pPr>
            <w:r>
              <w:rPr>
                <w:rFonts w:ascii="Arial" w:cs="Arial" w:eastAsia="Arial" w:hAnsi="Arial"/>
                <w:sz w:val="13"/>
                <w:szCs w:val="13"/>
                <w:color w:val="auto"/>
              </w:rPr>
              <w:t>(tons in thousands)</w:t>
            </w: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87"/>
        </w:trPr>
        <w:tc>
          <w:tcPr>
            <w:tcW w:w="358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320" w:type="dxa"/>
            <w:vAlign w:val="bottom"/>
          </w:tcPr>
          <w:p>
            <w:pPr>
              <w:spacing w:after="0"/>
              <w:rPr>
                <w:sz w:val="16"/>
                <w:szCs w:val="16"/>
                <w:color w:val="auto"/>
              </w:rPr>
            </w:pPr>
          </w:p>
        </w:tc>
        <w:tc>
          <w:tcPr>
            <w:tcW w:w="23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Proven</w:t>
            </w:r>
          </w:p>
        </w:tc>
        <w:tc>
          <w:tcPr>
            <w:tcW w:w="120" w:type="dxa"/>
            <w:vAlign w:val="bottom"/>
          </w:tcPr>
          <w:p>
            <w:pPr>
              <w:spacing w:after="0"/>
              <w:rPr>
                <w:sz w:val="16"/>
                <w:szCs w:val="16"/>
                <w:color w:val="auto"/>
              </w:rPr>
            </w:pPr>
          </w:p>
        </w:tc>
        <w:tc>
          <w:tcPr>
            <w:tcW w:w="230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Probable</w:t>
            </w:r>
          </w:p>
        </w:tc>
        <w:tc>
          <w:tcPr>
            <w:tcW w:w="100" w:type="dxa"/>
            <w:vAlign w:val="bottom"/>
          </w:tcPr>
          <w:p>
            <w:pPr>
              <w:spacing w:after="0"/>
              <w:rPr>
                <w:sz w:val="16"/>
                <w:szCs w:val="16"/>
                <w:color w:val="auto"/>
              </w:rPr>
            </w:pPr>
          </w:p>
        </w:tc>
        <w:tc>
          <w:tcPr>
            <w:tcW w:w="2380" w:type="dxa"/>
            <w:vAlign w:val="bottom"/>
            <w:tcBorders>
              <w:bottom w:val="single" w:sz="8" w:color="00AAC6"/>
            </w:tcBorders>
          </w:tcPr>
          <w:p>
            <w:pPr>
              <w:jc w:val="right"/>
              <w:ind w:right="387"/>
              <w:spacing w:after="0"/>
              <w:rPr>
                <w:sz w:val="20"/>
                <w:szCs w:val="20"/>
                <w:color w:val="auto"/>
              </w:rPr>
            </w:pPr>
            <w:r>
              <w:rPr>
                <w:rFonts w:ascii="Arial" w:cs="Arial" w:eastAsia="Arial" w:hAnsi="Arial"/>
                <w:sz w:val="13"/>
                <w:szCs w:val="13"/>
                <w:b w:val="1"/>
                <w:bCs w:val="1"/>
                <w:color w:val="auto"/>
              </w:rPr>
              <w:t>Total Proven &amp; Probable</w:t>
            </w:r>
          </w:p>
        </w:tc>
      </w:tr>
      <w:tr>
        <w:trPr>
          <w:trHeight w:val="216"/>
        </w:trPr>
        <w:tc>
          <w:tcPr>
            <w:tcW w:w="358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2660" w:type="dxa"/>
            <w:vAlign w:val="bottom"/>
            <w:gridSpan w:val="2"/>
          </w:tcPr>
          <w:p>
            <w:pPr>
              <w:jc w:val="right"/>
              <w:spacing w:after="0"/>
              <w:rPr>
                <w:sz w:val="20"/>
                <w:szCs w:val="20"/>
                <w:color w:val="auto"/>
              </w:rPr>
            </w:pPr>
            <w:r>
              <w:rPr>
                <w:rFonts w:ascii="Arial" w:cs="Arial" w:eastAsia="Arial" w:hAnsi="Arial"/>
                <w:sz w:val="15"/>
                <w:szCs w:val="15"/>
                <w:color w:val="auto"/>
              </w:rPr>
              <w:t>57,680</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57,680</w:t>
            </w:r>
          </w:p>
        </w:tc>
      </w:tr>
      <w:tr>
        <w:trPr>
          <w:trHeight w:val="209"/>
        </w:trPr>
        <w:tc>
          <w:tcPr>
            <w:tcW w:w="358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320" w:type="dxa"/>
            <w:vAlign w:val="bottom"/>
            <w:tcBorders>
              <w:top w:val="single" w:sz="8" w:color="A6A6A6"/>
              <w:bottom w:val="single" w:sz="8" w:color="A6A6A6"/>
            </w:tcBorders>
          </w:tcPr>
          <w:p>
            <w:pPr>
              <w:spacing w:after="0"/>
              <w:rPr>
                <w:sz w:val="18"/>
                <w:szCs w:val="18"/>
                <w:color w:val="auto"/>
              </w:rPr>
            </w:pPr>
          </w:p>
        </w:tc>
        <w:tc>
          <w:tcPr>
            <w:tcW w:w="2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5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660" w:type="dxa"/>
            <w:vAlign w:val="bottom"/>
            <w:tcBorders>
              <w:bottom w:val="single" w:sz="8" w:color="A6A6A6"/>
            </w:tcBorders>
            <w:gridSpan w:val="2"/>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18"/>
                <w:szCs w:val="18"/>
                <w:color w:val="auto"/>
              </w:rPr>
            </w:pPr>
          </w:p>
        </w:tc>
        <w:tc>
          <w:tcPr>
            <w:tcW w:w="23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11,635</w:t>
            </w:r>
          </w:p>
        </w:tc>
        <w:tc>
          <w:tcPr>
            <w:tcW w:w="100" w:type="dxa"/>
            <w:vAlign w:val="bottom"/>
          </w:tcPr>
          <w:p>
            <w:pPr>
              <w:spacing w:after="0"/>
              <w:rPr>
                <w:sz w:val="18"/>
                <w:szCs w:val="18"/>
                <w:color w:val="auto"/>
              </w:rPr>
            </w:pPr>
          </w:p>
        </w:tc>
        <w:tc>
          <w:tcPr>
            <w:tcW w:w="23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11,835</w:t>
            </w: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2660" w:type="dxa"/>
            <w:vAlign w:val="bottom"/>
            <w:gridSpan w:val="2"/>
          </w:tcPr>
          <w:p>
            <w:pPr>
              <w:jc w:val="right"/>
              <w:spacing w:after="0"/>
              <w:rPr>
                <w:sz w:val="20"/>
                <w:szCs w:val="20"/>
                <w:color w:val="auto"/>
              </w:rPr>
            </w:pPr>
            <w:r>
              <w:rPr>
                <w:rFonts w:ascii="Arial" w:cs="Arial" w:eastAsia="Arial" w:hAnsi="Arial"/>
                <w:sz w:val="15"/>
                <w:szCs w:val="15"/>
                <w:color w:val="auto"/>
              </w:rPr>
              <w:t>21,930</w:t>
            </w:r>
          </w:p>
        </w:tc>
        <w:tc>
          <w:tcPr>
            <w:tcW w:w="2420" w:type="dxa"/>
            <w:vAlign w:val="bottom"/>
            <w:gridSpan w:val="2"/>
          </w:tcPr>
          <w:p>
            <w:pPr>
              <w:jc w:val="right"/>
              <w:spacing w:after="0"/>
              <w:rPr>
                <w:sz w:val="20"/>
                <w:szCs w:val="20"/>
                <w:color w:val="auto"/>
              </w:rPr>
            </w:pPr>
            <w:r>
              <w:rPr>
                <w:rFonts w:ascii="Arial" w:cs="Arial" w:eastAsia="Arial" w:hAnsi="Arial"/>
                <w:sz w:val="15"/>
                <w:szCs w:val="15"/>
                <w:color w:val="auto"/>
              </w:rPr>
              <w:t>10,570</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32,500</w:t>
            </w:r>
          </w:p>
        </w:tc>
      </w:tr>
      <w:tr>
        <w:trPr>
          <w:trHeight w:val="183"/>
        </w:trPr>
        <w:tc>
          <w:tcPr>
            <w:tcW w:w="3580" w:type="dxa"/>
            <w:vAlign w:val="bottom"/>
            <w:tcBorders>
              <w:top w:val="single" w:sz="8" w:color="A6A6A6"/>
            </w:tcBorders>
          </w:tcPr>
          <w:p>
            <w:pPr>
              <w:spacing w:after="0"/>
              <w:rPr>
                <w:sz w:val="15"/>
                <w:szCs w:val="15"/>
                <w:color w:val="auto"/>
              </w:rPr>
            </w:pPr>
          </w:p>
        </w:tc>
        <w:tc>
          <w:tcPr>
            <w:tcW w:w="320" w:type="dxa"/>
            <w:vAlign w:val="bottom"/>
            <w:tcBorders>
              <w:top w:val="single" w:sz="8" w:color="A6A6A6"/>
            </w:tcBorders>
          </w:tcPr>
          <w:p>
            <w:pPr>
              <w:spacing w:after="0"/>
              <w:rPr>
                <w:sz w:val="15"/>
                <w:szCs w:val="15"/>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79,810</w:t>
            </w:r>
          </w:p>
        </w:tc>
        <w:tc>
          <w:tcPr>
            <w:tcW w:w="120" w:type="dxa"/>
            <w:vAlign w:val="bottom"/>
          </w:tcPr>
          <w:p>
            <w:pPr>
              <w:spacing w:after="0"/>
              <w:rPr>
                <w:sz w:val="15"/>
                <w:szCs w:val="15"/>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22,205</w:t>
            </w:r>
          </w:p>
        </w:tc>
        <w:tc>
          <w:tcPr>
            <w:tcW w:w="100" w:type="dxa"/>
            <w:vAlign w:val="bottom"/>
          </w:tcPr>
          <w:p>
            <w:pPr>
              <w:spacing w:after="0"/>
              <w:rPr>
                <w:sz w:val="15"/>
                <w:szCs w:val="15"/>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102,015</w:t>
            </w:r>
          </w:p>
        </w:tc>
      </w:tr>
      <w:tr>
        <w:trPr>
          <w:trHeight w:val="20"/>
        </w:trPr>
        <w:tc>
          <w:tcPr>
            <w:tcW w:w="3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Aggregates reserves are reported on saleable product basis.</w:t>
      </w:r>
    </w:p>
    <w:p>
      <w:pPr>
        <w:ind w:left="160" w:hanging="152"/>
        <w:spacing w:after="0" w:line="204"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Company is currently not operating its aggregate facility in the Kansas City area.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annual production volumes from our aggregates quarries:</w:t>
      </w:r>
    </w:p>
    <w:p>
      <w:pPr>
        <w:spacing w:after="0" w:line="176"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auto"/>
        </w:rPr>
        <w:t>Tons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20955</wp:posOffset>
            </wp:positionV>
            <wp:extent cx="459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jc w:val="right"/>
              <w:ind w:right="549"/>
              <w:spacing w:after="0"/>
              <w:rPr>
                <w:sz w:val="20"/>
                <w:szCs w:val="20"/>
                <w:color w:val="auto"/>
              </w:rPr>
            </w:pPr>
            <w:r>
              <w:rPr>
                <w:rFonts w:ascii="Arial" w:cs="Arial" w:eastAsia="Arial" w:hAnsi="Arial"/>
                <w:sz w:val="13"/>
                <w:szCs w:val="13"/>
                <w:color w:val="auto"/>
              </w:rPr>
              <w:t>(tons in thousands)</w:t>
            </w: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87"/>
        </w:trPr>
        <w:tc>
          <w:tcPr>
            <w:tcW w:w="358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320" w:type="dxa"/>
            <w:vAlign w:val="bottom"/>
          </w:tcPr>
          <w:p>
            <w:pPr>
              <w:spacing w:after="0"/>
              <w:rPr>
                <w:sz w:val="16"/>
                <w:szCs w:val="16"/>
                <w:color w:val="auto"/>
              </w:rPr>
            </w:pPr>
          </w:p>
        </w:tc>
        <w:tc>
          <w:tcPr>
            <w:tcW w:w="23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6"/>
                <w:szCs w:val="16"/>
                <w:color w:val="auto"/>
              </w:rPr>
            </w:pPr>
          </w:p>
        </w:tc>
        <w:tc>
          <w:tcPr>
            <w:tcW w:w="230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238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2022</w:t>
            </w:r>
          </w:p>
        </w:tc>
      </w:tr>
      <w:tr>
        <w:trPr>
          <w:trHeight w:val="216"/>
        </w:trPr>
        <w:tc>
          <w:tcPr>
            <w:tcW w:w="358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2660" w:type="dxa"/>
            <w:vAlign w:val="bottom"/>
            <w:gridSpan w:val="2"/>
          </w:tcPr>
          <w:p>
            <w:pPr>
              <w:jc w:val="right"/>
              <w:spacing w:after="0"/>
              <w:rPr>
                <w:sz w:val="20"/>
                <w:szCs w:val="20"/>
                <w:color w:val="auto"/>
              </w:rPr>
            </w:pPr>
            <w:r>
              <w:rPr>
                <w:rFonts w:ascii="Arial" w:cs="Arial" w:eastAsia="Arial" w:hAnsi="Arial"/>
                <w:sz w:val="15"/>
                <w:szCs w:val="15"/>
                <w:color w:val="auto"/>
              </w:rPr>
              <w:t>1,885</w:t>
            </w:r>
          </w:p>
        </w:tc>
        <w:tc>
          <w:tcPr>
            <w:tcW w:w="2420" w:type="dxa"/>
            <w:vAlign w:val="bottom"/>
            <w:gridSpan w:val="2"/>
          </w:tcPr>
          <w:p>
            <w:pPr>
              <w:jc w:val="right"/>
              <w:spacing w:after="0"/>
              <w:rPr>
                <w:sz w:val="20"/>
                <w:szCs w:val="20"/>
                <w:color w:val="auto"/>
              </w:rPr>
            </w:pPr>
            <w:r>
              <w:rPr>
                <w:rFonts w:ascii="Arial" w:cs="Arial" w:eastAsia="Arial" w:hAnsi="Arial"/>
                <w:sz w:val="15"/>
                <w:szCs w:val="15"/>
                <w:color w:val="auto"/>
              </w:rPr>
              <w:t>1,935</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1,815</w:t>
            </w:r>
          </w:p>
        </w:tc>
      </w:tr>
      <w:tr>
        <w:trPr>
          <w:trHeight w:val="209"/>
        </w:trPr>
        <w:tc>
          <w:tcPr>
            <w:tcW w:w="358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(1)</w:t>
            </w:r>
          </w:p>
        </w:tc>
        <w:tc>
          <w:tcPr>
            <w:tcW w:w="320" w:type="dxa"/>
            <w:vAlign w:val="bottom"/>
            <w:tcBorders>
              <w:top w:val="single" w:sz="8" w:color="A6A6A6"/>
              <w:bottom w:val="single" w:sz="8" w:color="A6A6A6"/>
            </w:tcBorders>
          </w:tcPr>
          <w:p>
            <w:pPr>
              <w:spacing w:after="0"/>
              <w:rPr>
                <w:sz w:val="18"/>
                <w:szCs w:val="18"/>
                <w:color w:val="auto"/>
              </w:rPr>
            </w:pPr>
          </w:p>
        </w:tc>
        <w:tc>
          <w:tcPr>
            <w:tcW w:w="2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660" w:type="dxa"/>
            <w:vAlign w:val="bottom"/>
            <w:gridSpan w:val="2"/>
          </w:tcPr>
          <w:p>
            <w:pPr>
              <w:jc w:val="right"/>
              <w:spacing w:after="0"/>
              <w:rPr>
                <w:sz w:val="20"/>
                <w:szCs w:val="20"/>
                <w:color w:val="auto"/>
              </w:rPr>
            </w:pPr>
            <w:r>
              <w:rPr>
                <w:rFonts w:ascii="Arial" w:cs="Arial" w:eastAsia="Arial" w:hAnsi="Arial"/>
                <w:sz w:val="15"/>
                <w:szCs w:val="15"/>
                <w:color w:val="auto"/>
              </w:rPr>
              <w:t>1,685</w:t>
            </w:r>
          </w:p>
        </w:tc>
        <w:tc>
          <w:tcPr>
            <w:tcW w:w="2420" w:type="dxa"/>
            <w:vAlign w:val="bottom"/>
            <w:gridSpan w:val="2"/>
          </w:tcPr>
          <w:p>
            <w:pPr>
              <w:jc w:val="right"/>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5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Kentucky</w:t>
            </w:r>
          </w:p>
        </w:tc>
        <w:tc>
          <w:tcPr>
            <w:tcW w:w="266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5"/>
                <w:szCs w:val="15"/>
                <w:color w:val="auto"/>
              </w:rPr>
              <w:t>900</w:t>
            </w:r>
          </w:p>
        </w:tc>
        <w:tc>
          <w:tcPr>
            <w:tcW w:w="120" w:type="dxa"/>
            <w:vAlign w:val="bottom"/>
          </w:tcPr>
          <w:p>
            <w:pPr>
              <w:spacing w:after="0"/>
              <w:rPr>
                <w:sz w:val="18"/>
                <w:szCs w:val="18"/>
                <w:color w:val="auto"/>
              </w:rPr>
            </w:pPr>
          </w:p>
        </w:tc>
        <w:tc>
          <w:tcPr>
            <w:tcW w:w="2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2660" w:type="dxa"/>
            <w:vAlign w:val="bottom"/>
            <w:gridSpan w:val="2"/>
          </w:tcPr>
          <w:p>
            <w:pPr>
              <w:jc w:val="right"/>
              <w:spacing w:after="0"/>
              <w:rPr>
                <w:sz w:val="20"/>
                <w:szCs w:val="20"/>
                <w:color w:val="auto"/>
              </w:rPr>
            </w:pPr>
            <w:r>
              <w:rPr>
                <w:rFonts w:ascii="Arial" w:cs="Arial" w:eastAsia="Arial" w:hAnsi="Arial"/>
                <w:sz w:val="15"/>
                <w:szCs w:val="15"/>
                <w:color w:val="auto"/>
              </w:rPr>
              <w:t>800</w:t>
            </w:r>
          </w:p>
        </w:tc>
        <w:tc>
          <w:tcPr>
            <w:tcW w:w="2420" w:type="dxa"/>
            <w:vAlign w:val="bottom"/>
            <w:gridSpan w:val="2"/>
          </w:tcPr>
          <w:p>
            <w:pPr>
              <w:jc w:val="right"/>
              <w:spacing w:after="0"/>
              <w:rPr>
                <w:sz w:val="20"/>
                <w:szCs w:val="20"/>
                <w:color w:val="auto"/>
              </w:rPr>
            </w:pPr>
            <w:r>
              <w:rPr>
                <w:rFonts w:ascii="Arial" w:cs="Arial" w:eastAsia="Arial" w:hAnsi="Arial"/>
                <w:sz w:val="15"/>
                <w:szCs w:val="15"/>
                <w:color w:val="auto"/>
              </w:rPr>
              <w:t>760</w:t>
            </w: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700</w:t>
            </w:r>
          </w:p>
        </w:tc>
      </w:tr>
      <w:tr>
        <w:trPr>
          <w:trHeight w:val="183"/>
        </w:trPr>
        <w:tc>
          <w:tcPr>
            <w:tcW w:w="3580" w:type="dxa"/>
            <w:vAlign w:val="bottom"/>
            <w:tcBorders>
              <w:top w:val="single" w:sz="8" w:color="A6A6A6"/>
            </w:tcBorders>
          </w:tcPr>
          <w:p>
            <w:pPr>
              <w:spacing w:after="0"/>
              <w:rPr>
                <w:sz w:val="15"/>
                <w:szCs w:val="15"/>
                <w:color w:val="auto"/>
              </w:rPr>
            </w:pPr>
          </w:p>
        </w:tc>
        <w:tc>
          <w:tcPr>
            <w:tcW w:w="320" w:type="dxa"/>
            <w:vAlign w:val="bottom"/>
            <w:tcBorders>
              <w:top w:val="single" w:sz="8" w:color="A6A6A6"/>
            </w:tcBorders>
          </w:tcPr>
          <w:p>
            <w:pPr>
              <w:spacing w:after="0"/>
              <w:rPr>
                <w:sz w:val="15"/>
                <w:szCs w:val="15"/>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5,270</w:t>
            </w:r>
          </w:p>
        </w:tc>
        <w:tc>
          <w:tcPr>
            <w:tcW w:w="120" w:type="dxa"/>
            <w:vAlign w:val="bottom"/>
          </w:tcPr>
          <w:p>
            <w:pPr>
              <w:spacing w:after="0"/>
              <w:rPr>
                <w:sz w:val="15"/>
                <w:szCs w:val="15"/>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3,155</w:t>
            </w:r>
          </w:p>
        </w:tc>
        <w:tc>
          <w:tcPr>
            <w:tcW w:w="100" w:type="dxa"/>
            <w:vAlign w:val="bottom"/>
          </w:tcPr>
          <w:p>
            <w:pPr>
              <w:spacing w:after="0"/>
              <w:rPr>
                <w:sz w:val="15"/>
                <w:szCs w:val="15"/>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2,515</w:t>
            </w:r>
          </w:p>
        </w:tc>
      </w:tr>
      <w:tr>
        <w:trPr>
          <w:trHeight w:val="20"/>
        </w:trPr>
        <w:tc>
          <w:tcPr>
            <w:tcW w:w="3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Company currently is not operating its aggregate facility in the Kansas City area.</w:t>
      </w:r>
    </w:p>
    <w:p>
      <w:pPr>
        <w:spacing w:after="0" w:line="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internal controls over our resource and reserve estimates have been compiled in a manner similar to those in our Cement business. See the Internal Controls section in the Cement segment discussion for a more detailed description of our internal controls over resource and reserve estimation.</w:t>
      </w:r>
    </w:p>
    <w:p>
      <w:pPr>
        <w:spacing w:after="0" w:line="6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total net Aggregates sales (excluding intercompany tons sold) were 4.1 million tons in fiscal 2024 and 2.9 million tons in fiscal 2023. Total Aggregates production was 5.3 million tons in fiscal 2024 and 4.0 million tons in fiscal 2023. The increase in Aggregates sales and production in fiscal 2024, compared with fiscal 2023, was due to the addition of the Northern Kentucky mine in fiscal 2024. A portion of our total Aggregates production is used internally by our readymix Concrete operations in Texas, northern Colorado, and northern Nevada and by our Cement operations in Northern Kentucky.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Plants</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produce and distribute readymix concrete from company-owned sites in Central Texas; the greater Kansas City area; northern Colorado; and northern Nevada. The following table sets forth information regarding these operations as of March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0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22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Number of Plants</w:t>
            </w:r>
          </w:p>
        </w:tc>
      </w:tr>
      <w:tr>
        <w:trPr>
          <w:trHeight w:val="216"/>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2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Kansas City Area</w:t>
            </w:r>
          </w:p>
        </w:tc>
        <w:tc>
          <w:tcPr>
            <w:tcW w:w="2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Nevada</w:t>
            </w:r>
          </w:p>
        </w:tc>
        <w:tc>
          <w:tcPr>
            <w:tcW w:w="2240" w:type="dxa"/>
            <w:vAlign w:val="bottom"/>
            <w:tcBorders>
              <w:bottom w:val="single" w:sz="8" w:color="00AAC6"/>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890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2240" w:type="dxa"/>
            <w:vAlign w:val="bottom"/>
            <w:tcBorders>
              <w:bottom w:val="single" w:sz="8" w:color="00AAC6"/>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0"/>
        </w:trPr>
        <w:tc>
          <w:tcPr>
            <w:tcW w:w="8900" w:type="dxa"/>
            <w:vAlign w:val="bottom"/>
            <w:tcBorders>
              <w:bottom w:val="single" w:sz="8" w:color="A6A6A6"/>
            </w:tcBorders>
          </w:tcPr>
          <w:p>
            <w:pPr>
              <w:spacing w:after="0" w:line="20" w:lineRule="exact"/>
              <w:rPr>
                <w:sz w:val="1"/>
                <w:szCs w:val="1"/>
                <w:color w:val="auto"/>
              </w:rPr>
            </w:pPr>
          </w:p>
        </w:tc>
        <w:tc>
          <w:tcPr>
            <w:tcW w:w="2240" w:type="dxa"/>
            <w:vAlign w:val="bottom"/>
            <w:tcBorders>
              <w:bottom w:val="single" w:sz="8" w:color="00AAC6"/>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Demand, Sales, and Distribution</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Demand for readymix concrete and aggregates largely depends on local levels of construction activity. Construction activity is also subject to weather conditions, the availability of financing at reasonable rates,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and overall fluctuations in local economies, and therefore tends to be cyclical. We sell readymix concrete to numerous contractors and other customers in each plant’s marketing area. Our batch plants in Central Texas, the greater Kansas City area, northern Colorado, and northern Nevada are strategically located to serve each marketing area. Concrete is delivered from the batch plants primarily by company-owned trucks. We sell aggregates to building contractors and other customers engaged in a wide variety of construction activities. Aggregates are delivered from our plants by common carriers and customer pickup. No single customer accounted for more than 10% of fiscal 2024 segment revenue.</w:t>
      </w:r>
    </w:p>
    <w:p>
      <w:pPr>
        <w:spacing w:after="0" w:line="7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Barriers to entry in each industry are low, except with respect to environmental permitting requirements for new aggregates production facilities and zoning of land to permit mining and extraction of aggregates.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Raw Materials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obtain cement and aggregates for our Concrete businesses from primarily related companies, as outlined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5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Percentage of Internally Supplied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2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426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Cement</w:t>
            </w:r>
          </w:p>
        </w:tc>
        <w:tc>
          <w:tcPr>
            <w:tcW w:w="100" w:type="dxa"/>
            <w:vAlign w:val="bottom"/>
          </w:tcPr>
          <w:p>
            <w:pPr>
              <w:spacing w:after="0"/>
              <w:rPr>
                <w:sz w:val="16"/>
                <w:szCs w:val="16"/>
                <w:color w:val="auto"/>
              </w:rPr>
            </w:pPr>
          </w:p>
        </w:tc>
        <w:tc>
          <w:tcPr>
            <w:tcW w:w="1120" w:type="dxa"/>
            <w:vAlign w:val="bottom"/>
            <w:tcBorders>
              <w:bottom w:val="single" w:sz="8" w:color="00AAC6"/>
            </w:tcBorders>
          </w:tcPr>
          <w:p>
            <w:pPr>
              <w:spacing w:after="0"/>
              <w:rPr>
                <w:sz w:val="16"/>
                <w:szCs w:val="16"/>
                <w:color w:val="auto"/>
              </w:rPr>
            </w:pPr>
          </w:p>
        </w:tc>
        <w:tc>
          <w:tcPr>
            <w:tcW w:w="8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Aggregates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4260" w:type="dxa"/>
            <w:vAlign w:val="bottom"/>
          </w:tcPr>
          <w:p>
            <w:pPr>
              <w:jc w:val="right"/>
              <w:spacing w:after="0"/>
              <w:rPr>
                <w:sz w:val="20"/>
                <w:szCs w:val="20"/>
                <w:color w:val="auto"/>
              </w:rPr>
            </w:pPr>
            <w:r>
              <w:rPr>
                <w:rFonts w:ascii="Arial" w:cs="Arial" w:eastAsia="Arial" w:hAnsi="Arial"/>
                <w:sz w:val="16"/>
                <w:szCs w:val="16"/>
                <w:color w:val="auto"/>
              </w:rPr>
              <w:t>40</w:t>
            </w:r>
          </w:p>
        </w:tc>
        <w:tc>
          <w:tcPr>
            <w:tcW w:w="1220" w:type="dxa"/>
            <w:vAlign w:val="bottom"/>
            <w:gridSpan w:val="2"/>
          </w:tcPr>
          <w:p>
            <w:pPr>
              <w:jc w:val="right"/>
              <w:ind w:right="1060"/>
              <w:spacing w:after="0"/>
              <w:rPr>
                <w:sz w:val="20"/>
                <w:szCs w:val="20"/>
                <w:color w:val="auto"/>
              </w:rPr>
            </w:pPr>
            <w:r>
              <w:rPr>
                <w:rFonts w:ascii="Arial" w:cs="Arial" w:eastAsia="Arial" w:hAnsi="Arial"/>
                <w:sz w:val="16"/>
                <w:szCs w:val="16"/>
                <w:color w:val="auto"/>
                <w:w w:val="98"/>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4820" w:type="dxa"/>
            <w:vAlign w:val="bottom"/>
            <w:shd w:val="clear" w:color="auto" w:fill="A6A6A6"/>
          </w:tcPr>
          <w:p>
            <w:pPr>
              <w:spacing w:after="0" w:line="20" w:lineRule="exact"/>
              <w:rPr>
                <w:sz w:val="1"/>
                <w:szCs w:val="1"/>
                <w:color w:val="auto"/>
              </w:rPr>
            </w:pPr>
          </w:p>
        </w:tc>
        <w:tc>
          <w:tcPr>
            <w:tcW w:w="4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b w:val="1"/>
                <w:bCs w:val="1"/>
                <w:color w:val="00AAC6"/>
              </w:rPr>
              <w:t>Kansas City Area</w:t>
            </w:r>
          </w:p>
        </w:tc>
        <w:tc>
          <w:tcPr>
            <w:tcW w:w="4260" w:type="dxa"/>
            <w:vAlign w:val="bottom"/>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ind w:right="1060"/>
              <w:spacing w:after="0"/>
              <w:rPr>
                <w:sz w:val="20"/>
                <w:szCs w:val="20"/>
                <w:color w:val="auto"/>
              </w:rPr>
            </w:pPr>
            <w:r>
              <w:rPr>
                <w:rFonts w:ascii="Arial" w:cs="Arial" w:eastAsia="Arial" w:hAnsi="Arial"/>
                <w:sz w:val="16"/>
                <w:szCs w:val="16"/>
                <w:color w:val="auto"/>
                <w:w w:val="98"/>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A6A6A6"/>
          </w:tcPr>
          <w:p>
            <w:pPr>
              <w:spacing w:after="0" w:line="20" w:lineRule="exact"/>
              <w:rPr>
                <w:sz w:val="1"/>
                <w:szCs w:val="1"/>
                <w:color w:val="auto"/>
              </w:rPr>
            </w:pPr>
          </w:p>
        </w:tc>
        <w:tc>
          <w:tcPr>
            <w:tcW w:w="4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4260" w:type="dxa"/>
            <w:vAlign w:val="bottom"/>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ind w:right="1060"/>
              <w:spacing w:after="0"/>
              <w:rPr>
                <w:sz w:val="20"/>
                <w:szCs w:val="20"/>
                <w:color w:val="auto"/>
              </w:rPr>
            </w:pPr>
            <w:r>
              <w:rPr>
                <w:rFonts w:ascii="Arial" w:cs="Arial" w:eastAsia="Arial" w:hAnsi="Arial"/>
                <w:sz w:val="16"/>
                <w:szCs w:val="16"/>
                <w:color w:val="auto"/>
                <w:w w:val="98"/>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A6A6A6"/>
          </w:tcPr>
          <w:p>
            <w:pPr>
              <w:spacing w:after="0" w:line="20" w:lineRule="exact"/>
              <w:rPr>
                <w:sz w:val="1"/>
                <w:szCs w:val="1"/>
                <w:color w:val="auto"/>
              </w:rPr>
            </w:pPr>
          </w:p>
        </w:tc>
        <w:tc>
          <w:tcPr>
            <w:tcW w:w="4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4260" w:type="dxa"/>
            <w:vAlign w:val="bottom"/>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ind w:right="1060"/>
              <w:spacing w:after="0"/>
              <w:rPr>
                <w:sz w:val="20"/>
                <w:szCs w:val="20"/>
                <w:color w:val="auto"/>
              </w:rPr>
            </w:pPr>
            <w:r>
              <w:rPr>
                <w:rFonts w:ascii="Arial" w:cs="Arial" w:eastAsia="Arial" w:hAnsi="Arial"/>
                <w:sz w:val="16"/>
                <w:szCs w:val="16"/>
                <w:color w:val="auto"/>
                <w:w w:val="98"/>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A6A6A6"/>
          </w:tcPr>
          <w:p>
            <w:pPr>
              <w:spacing w:after="0" w:line="20" w:lineRule="exact"/>
              <w:rPr>
                <w:sz w:val="1"/>
                <w:szCs w:val="1"/>
                <w:color w:val="auto"/>
              </w:rPr>
            </w:pPr>
          </w:p>
        </w:tc>
        <w:tc>
          <w:tcPr>
            <w:tcW w:w="4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obtain the balance of our cement and aggregates requirements from multiple outside sources in each of these areas.</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mine and extract limestone, sand, and gravel, the principal raw materials used in the production of aggregates, from quarries owned or leased by us and located near our plants. On average, our aggregate reserves exceed 25 years based on normalized production levels, excluding northern Kentucky. We just began mining aggregates from this site and we anticipate, after doing more drilling and analysis, that we will likely reclassify most of the measured and indicated resources to reserves in the next year or two, at which time we will have over 25 years of reserves for this location.</w:t>
      </w:r>
    </w:p>
    <w:p>
      <w:pPr>
        <w:spacing w:after="0" w:line="6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Cost of materials and diesel fuel are the two biggest expense items for readymix concrete, and they increased by 19% and 11%, respectively, in fiscal 2024 compared with fiscal 2023. We anticipate these costs will continue to increase in fiscal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Environmental Matters</w:t>
      </w:r>
    </w:p>
    <w:p>
      <w:pPr>
        <w:spacing w:after="0" w:line="1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concrete and aggregates industry is subject to environmental regulations similar to those governing our Cement operations, which are included in the Environmental Matters section in the Cement segment discussion.</w:t>
      </w:r>
    </w:p>
    <w:p>
      <w:pPr>
        <w:spacing w:after="0" w:line="4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We did not have any capital expenditures related to compliance with environmental regulations applicable to our Concrete and Aggregates operations in fiscal 2024, and we do not anticipate any material spending related to compliance with environmental regulations during fiscal 2025.</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20" w:name="page21"/>
    <w:bookmarkEnd w:id="20"/>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Light Materials sector comprises the Gypsum Wallboard segment, which produces gypsum wallboard used in residential and commercial construction and repair and remodel activities, and the Recycled Paperboard segment, which produces paper primarily used in the manufacture of gypsum wallboard. Operations in this sector are concentrated in the Sun Belt of the United States, which we define as the lower half of the United States, but not California. Population in the Sun Belt is projected to grow approximately 17% between 2020 and 2050, according to the latest update in February 2024 by Moody’s Analytics. Population growth is a key long-term driver of demand for gypsum wallboard and recycled paperboard.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Gypsum wallboard is used to finish the interior walls and ceilings in residential, commercial, and industrial structures. Our gypsum wallboard products are marketed under the name American Gypsum.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137795</wp:posOffset>
            </wp:positionV>
            <wp:extent cx="5349240" cy="154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 Plants, Resources, and Reserves</w:t>
      </w:r>
    </w:p>
    <w:p>
      <w:pPr>
        <w:spacing w:after="0" w:line="10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own and operate five gypsum wallboard plants, outlined in the table below. We anticipate running all our facilities at the level required to meet customer demand, up to maximum capacity. Our gypsum wallboard is distributed in the geographic markets nearest to our production facilities.</w:t>
      </w:r>
    </w:p>
    <w:p>
      <w:pPr>
        <w:spacing w:after="0" w:line="61"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Four of our five gypsum wallboard plants are supplied with gypsum from our nearby gypsum quarries, while our wallboard plant in South Carolina is supplied with synthetic gypsum under a long-term supply contract with a third party. We have adequate access to all of our quarries. Mining at all of our quarries is done by company personnel.</w:t>
      </w:r>
    </w:p>
    <w:p>
      <w:pPr>
        <w:spacing w:after="0" w:line="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Mineral resources and mineral reserves for our Gypsum Wallboard business are defined similarly to how they are defined for our Cement business. See the Limestone Resources and Reserves section in the Cement segment discussion for a more detailed description of how we define mineral resources and reserves.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March 31, 2024, we had 66.6 million tons of proven and probable gypsum reserves, and 151.9 million tons of measured and indicated gypsum resources, exclusive of gypsum reserves. Approximately 45% of our reserves are owned, with the rest leased. We do not consider any of our individual quarries to be material for disclosure purposes. We obtained technical reports from a third-party QP for each of our locations during fiscal 2022 except Gypsum, Colorado, which was as of March 31, 2023. The other locations were not updated during fiscal years 2023 and 2024, because we did not add any new properties, or do any additional exploration on sites during those fiscal years. Additionally, the change in selling price did not materially increase, which further supports no material change on the estimated resource and reserve amounts calculated in fiscal 2022. The total reserves for fiscal 2024 for all locations were calculated by taking the amount of reserves from the latest technical report for each location, and adjusting them for tons mined since the date of the technical report. The technical reports obtained in fiscal 2022 (fiscal 2023 for Gypsum, Colorado) were prepared in accordance with the requirements of the Modernization of Property Disclosures for Mining Registrants set forth in subpart 1300 of Regulation S-K.</w:t>
      </w:r>
    </w:p>
    <w:p>
      <w:pPr>
        <w:spacing w:after="0" w:line="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total measured and indicated gypsum resources were 151.9 million tons at both March 31, 2024, and March 31, 2023. Our total proven and probable reserves were 66.6 million tons at March 31, 2024, compared with 68.5 million tons at March 31, 2023. The 3% decrease in proven and probable reserves was due to gypsum mined during fiscal 2024.</w:t>
      </w:r>
    </w:p>
    <w:p>
      <w:pPr>
        <w:spacing w:after="0" w:line="6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following table sets forth certain information regarding our gypsum wallboard plants and gypsum resources, exclusive of gypsum reserves, at March 31, 2024:</w:t>
      </w:r>
    </w:p>
    <w:p>
      <w:pPr>
        <w:spacing w:after="0" w:line="132"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 xml:space="preserve">Gypsum Resources </w:t>
      </w:r>
      <w:r>
        <w:rPr>
          <w:rFonts w:ascii="Arial" w:cs="Arial" w:eastAsia="Arial" w:hAnsi="Arial"/>
          <w:sz w:val="21"/>
          <w:szCs w:val="21"/>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1270</wp:posOffset>
            </wp:positionV>
            <wp:extent cx="3505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20" w:type="dxa"/>
            <w:vAlign w:val="bottom"/>
          </w:tcPr>
          <w:p>
            <w:pPr>
              <w:spacing w:after="0"/>
              <w:rPr>
                <w:sz w:val="14"/>
                <w:szCs w:val="14"/>
                <w:color w:val="auto"/>
              </w:rPr>
            </w:pPr>
          </w:p>
        </w:tc>
        <w:tc>
          <w:tcPr>
            <w:tcW w:w="2380" w:type="dxa"/>
            <w:vAlign w:val="bottom"/>
            <w:vMerge w:val="restart"/>
          </w:tcPr>
          <w:p>
            <w:pPr>
              <w:jc w:val="right"/>
              <w:ind w:right="328"/>
              <w:spacing w:after="0"/>
              <w:rPr>
                <w:sz w:val="20"/>
                <w:szCs w:val="20"/>
                <w:color w:val="auto"/>
              </w:rPr>
            </w:pPr>
            <w:r>
              <w:rPr>
                <w:rFonts w:ascii="Arial" w:cs="Arial" w:eastAsia="Arial" w:hAnsi="Arial"/>
                <w:sz w:val="13"/>
                <w:szCs w:val="13"/>
                <w:b w:val="1"/>
                <w:bCs w:val="1"/>
                <w:color w:val="auto"/>
              </w:rPr>
              <w:t>Approximate Annual</w:t>
            </w:r>
          </w:p>
        </w:tc>
        <w:tc>
          <w:tcPr>
            <w:tcW w:w="1400" w:type="dxa"/>
            <w:vAlign w:val="bottom"/>
          </w:tcPr>
          <w:p>
            <w:pPr>
              <w:spacing w:after="0"/>
              <w:rPr>
                <w:sz w:val="14"/>
                <w:szCs w:val="14"/>
                <w:color w:val="auto"/>
              </w:rPr>
            </w:pPr>
          </w:p>
        </w:tc>
        <w:tc>
          <w:tcPr>
            <w:tcW w:w="2800" w:type="dxa"/>
            <w:vAlign w:val="bottom"/>
            <w:gridSpan w:val="2"/>
          </w:tcPr>
          <w:p>
            <w:pPr>
              <w:jc w:val="right"/>
              <w:ind w:right="1207"/>
              <w:spacing w:after="0"/>
              <w:rPr>
                <w:sz w:val="20"/>
                <w:szCs w:val="20"/>
                <w:color w:val="auto"/>
              </w:rPr>
            </w:pPr>
            <w:r>
              <w:rPr>
                <w:rFonts w:ascii="Arial" w:cs="Arial" w:eastAsia="Arial" w:hAnsi="Arial"/>
                <w:sz w:val="13"/>
                <w:szCs w:val="13"/>
                <w:color w:val="auto"/>
              </w:rPr>
              <w:t>(tons in thousands)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vMerge w:val="restart"/>
          </w:tcPr>
          <w:p>
            <w:pPr>
              <w:jc w:val="right"/>
              <w:ind w:right="407"/>
              <w:spacing w:after="0"/>
              <w:rPr>
                <w:sz w:val="20"/>
                <w:szCs w:val="20"/>
                <w:color w:val="auto"/>
              </w:rPr>
            </w:pPr>
            <w:r>
              <w:rPr>
                <w:rFonts w:ascii="Arial" w:cs="Arial" w:eastAsia="Arial" w:hAnsi="Arial"/>
                <w:sz w:val="13"/>
                <w:szCs w:val="13"/>
                <w:b w:val="1"/>
                <w:bCs w:val="1"/>
                <w:color w:val="auto"/>
              </w:rPr>
              <w:t>Total Measured &amp;</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2380" w:type="dxa"/>
            <w:vAlign w:val="bottom"/>
          </w:tcPr>
          <w:p>
            <w:pPr>
              <w:jc w:val="right"/>
              <w:ind w:right="328"/>
              <w:spacing w:after="0" w:line="126" w:lineRule="exact"/>
              <w:rPr>
                <w:sz w:val="20"/>
                <w:szCs w:val="20"/>
                <w:color w:val="auto"/>
              </w:rPr>
            </w:pPr>
            <w:r>
              <w:rPr>
                <w:rFonts w:ascii="Arial" w:cs="Arial" w:eastAsia="Arial" w:hAnsi="Arial"/>
                <w:sz w:val="13"/>
                <w:szCs w:val="13"/>
                <w:b w:val="1"/>
                <w:bCs w:val="1"/>
                <w:color w:val="auto"/>
              </w:rPr>
              <w:t>Gypsum Wallboard</w:t>
            </w:r>
          </w:p>
        </w:tc>
        <w:tc>
          <w:tcPr>
            <w:tcW w:w="1400" w:type="dxa"/>
            <w:vAlign w:val="bottom"/>
            <w:vMerge w:val="restart"/>
          </w:tcPr>
          <w:p>
            <w:pPr>
              <w:jc w:val="right"/>
              <w:ind w:right="325"/>
              <w:spacing w:after="0"/>
              <w:rPr>
                <w:sz w:val="20"/>
                <w:szCs w:val="20"/>
                <w:color w:val="auto"/>
              </w:rPr>
            </w:pPr>
            <w:r>
              <w:rPr>
                <w:rFonts w:ascii="Arial" w:cs="Arial" w:eastAsia="Arial" w:hAnsi="Arial"/>
                <w:sz w:val="13"/>
                <w:szCs w:val="13"/>
                <w:b w:val="1"/>
                <w:bCs w:val="1"/>
                <w:color w:val="auto"/>
              </w:rPr>
              <w:t>Measured</w:t>
            </w:r>
          </w:p>
        </w:tc>
        <w:tc>
          <w:tcPr>
            <w:tcW w:w="1100" w:type="dxa"/>
            <w:vAlign w:val="bottom"/>
            <w:vMerge w:val="restart"/>
          </w:tcPr>
          <w:p>
            <w:pPr>
              <w:jc w:val="right"/>
              <w:ind w:right="47"/>
              <w:spacing w:after="0"/>
              <w:rPr>
                <w:sz w:val="20"/>
                <w:szCs w:val="20"/>
                <w:color w:val="auto"/>
              </w:rPr>
            </w:pPr>
            <w:r>
              <w:rPr>
                <w:rFonts w:ascii="Arial" w:cs="Arial" w:eastAsia="Arial" w:hAnsi="Arial"/>
                <w:sz w:val="13"/>
                <w:szCs w:val="13"/>
                <w:b w:val="1"/>
                <w:bCs w:val="1"/>
                <w:color w:val="auto"/>
              </w:rPr>
              <w:t>Indicated</w:t>
            </w:r>
          </w:p>
        </w:tc>
        <w:tc>
          <w:tcPr>
            <w:tcW w:w="170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Inferred</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77943C"/>
            </w:tcBorders>
            <w:vMerge w:val="continue"/>
          </w:tcPr>
          <w:p>
            <w:pPr>
              <w:spacing w:after="0"/>
              <w:rPr>
                <w:sz w:val="17"/>
                <w:szCs w:val="17"/>
                <w:color w:val="auto"/>
              </w:rPr>
            </w:pPr>
          </w:p>
        </w:tc>
        <w:tc>
          <w:tcPr>
            <w:tcW w:w="2380" w:type="dxa"/>
            <w:vAlign w:val="bottom"/>
            <w:tcBorders>
              <w:bottom w:val="single" w:sz="8" w:color="77943C"/>
            </w:tcBorders>
          </w:tcPr>
          <w:p>
            <w:pPr>
              <w:jc w:val="right"/>
              <w:ind w:right="328"/>
              <w:spacing w:after="0" w:line="175"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3"/>
                <w:szCs w:val="13"/>
                <w:color w:val="auto"/>
              </w:rPr>
              <w:t>(MMSF)</w:t>
            </w: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(3)</w:t>
            </w:r>
          </w:p>
        </w:tc>
        <w:tc>
          <w:tcPr>
            <w:tcW w:w="1400" w:type="dxa"/>
            <w:vAlign w:val="bottom"/>
            <w:tcBorders>
              <w:bottom w:val="single" w:sz="8" w:color="77943C"/>
            </w:tcBorders>
            <w:vMerge w:val="continue"/>
          </w:tcPr>
          <w:p>
            <w:pPr>
              <w:spacing w:after="0"/>
              <w:rPr>
                <w:sz w:val="17"/>
                <w:szCs w:val="17"/>
                <w:color w:val="auto"/>
              </w:rPr>
            </w:pPr>
          </w:p>
        </w:tc>
        <w:tc>
          <w:tcPr>
            <w:tcW w:w="1100" w:type="dxa"/>
            <w:vAlign w:val="bottom"/>
            <w:tcBorders>
              <w:bottom w:val="single" w:sz="8" w:color="77943C"/>
            </w:tcBorders>
            <w:vMerge w:val="continue"/>
          </w:tcPr>
          <w:p>
            <w:pPr>
              <w:spacing w:after="0"/>
              <w:rPr>
                <w:sz w:val="17"/>
                <w:szCs w:val="17"/>
                <w:color w:val="auto"/>
              </w:rPr>
            </w:pPr>
          </w:p>
        </w:tc>
        <w:tc>
          <w:tcPr>
            <w:tcW w:w="1700" w:type="dxa"/>
            <w:vAlign w:val="bottom"/>
            <w:tcBorders>
              <w:bottom w:val="single" w:sz="8" w:color="77943C"/>
            </w:tcBorders>
          </w:tcPr>
          <w:p>
            <w:pPr>
              <w:jc w:val="right"/>
              <w:ind w:right="387"/>
              <w:spacing w:after="0"/>
              <w:rPr>
                <w:sz w:val="20"/>
                <w:szCs w:val="20"/>
                <w:color w:val="auto"/>
              </w:rPr>
            </w:pPr>
            <w:r>
              <w:rPr>
                <w:rFonts w:ascii="Arial" w:cs="Arial" w:eastAsia="Arial" w:hAnsi="Arial"/>
                <w:sz w:val="13"/>
                <w:szCs w:val="13"/>
                <w:b w:val="1"/>
                <w:bCs w:val="1"/>
                <w:color w:val="auto"/>
              </w:rPr>
              <w:t>Indicated</w:t>
            </w:r>
          </w:p>
        </w:tc>
        <w:tc>
          <w:tcPr>
            <w:tcW w:w="940" w:type="dxa"/>
            <w:vAlign w:val="bottom"/>
            <w:tcBorders>
              <w:bottom w:val="single" w:sz="8" w:color="77943C"/>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2380" w:type="dxa"/>
            <w:vAlign w:val="bottom"/>
            <w:tcBorders>
              <w:bottom w:val="single" w:sz="8" w:color="A6A6A6"/>
            </w:tcBorders>
          </w:tcPr>
          <w:p>
            <w:pPr>
              <w:jc w:val="right"/>
              <w:ind w:right="328"/>
              <w:spacing w:after="0"/>
              <w:rPr>
                <w:sz w:val="20"/>
                <w:szCs w:val="20"/>
                <w:color w:val="auto"/>
              </w:rPr>
            </w:pPr>
            <w:r>
              <w:rPr>
                <w:rFonts w:ascii="Arial" w:cs="Arial" w:eastAsia="Arial" w:hAnsi="Arial"/>
                <w:sz w:val="15"/>
                <w:szCs w:val="15"/>
                <w:color w:val="auto"/>
              </w:rPr>
              <w:t>425</w:t>
            </w:r>
          </w:p>
        </w:tc>
        <w:tc>
          <w:tcPr>
            <w:tcW w:w="1400" w:type="dxa"/>
            <w:vAlign w:val="bottom"/>
            <w:tcBorders>
              <w:bottom w:val="single" w:sz="8" w:color="A6A6A6"/>
            </w:tcBorders>
          </w:tcPr>
          <w:p>
            <w:pPr>
              <w:jc w:val="right"/>
              <w:ind w:right="325"/>
              <w:spacing w:after="0"/>
              <w:rPr>
                <w:sz w:val="20"/>
                <w:szCs w:val="20"/>
                <w:color w:val="auto"/>
              </w:rPr>
            </w:pPr>
            <w:r>
              <w:rPr>
                <w:rFonts w:ascii="Arial" w:cs="Arial" w:eastAsia="Arial" w:hAnsi="Arial"/>
                <w:sz w:val="15"/>
                <w:szCs w:val="15"/>
                <w:color w:val="auto"/>
              </w:rPr>
              <w:t>41,800</w:t>
            </w:r>
          </w:p>
        </w:tc>
        <w:tc>
          <w:tcPr>
            <w:tcW w:w="1100" w:type="dxa"/>
            <w:vAlign w:val="bottom"/>
            <w:tcBorders>
              <w:bottom w:val="single" w:sz="8" w:color="A6A6A6"/>
            </w:tcBorders>
          </w:tcPr>
          <w:p>
            <w:pPr>
              <w:jc w:val="right"/>
              <w:ind w:right="47"/>
              <w:spacing w:after="0"/>
              <w:rPr>
                <w:sz w:val="20"/>
                <w:szCs w:val="20"/>
                <w:color w:val="auto"/>
              </w:rPr>
            </w:pPr>
            <w:r>
              <w:rPr>
                <w:rFonts w:ascii="Arial" w:cs="Arial" w:eastAsia="Arial" w:hAnsi="Arial"/>
                <w:sz w:val="15"/>
                <w:szCs w:val="15"/>
                <w:color w:val="auto"/>
              </w:rPr>
              <w:t>16,000</w:t>
            </w:r>
          </w:p>
        </w:tc>
        <w:tc>
          <w:tcPr>
            <w:tcW w:w="170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57,800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6,300</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(4)</w:t>
            </w:r>
          </w:p>
        </w:tc>
        <w:tc>
          <w:tcPr>
            <w:tcW w:w="2380" w:type="dxa"/>
            <w:vAlign w:val="bottom"/>
            <w:tcBorders>
              <w:bottom w:val="single" w:sz="8" w:color="A6A6A6"/>
            </w:tcBorders>
          </w:tcPr>
          <w:p>
            <w:pPr>
              <w:jc w:val="right"/>
              <w:ind w:right="328"/>
              <w:spacing w:after="0"/>
              <w:rPr>
                <w:sz w:val="20"/>
                <w:szCs w:val="20"/>
                <w:color w:val="auto"/>
              </w:rPr>
            </w:pPr>
            <w:r>
              <w:rPr>
                <w:rFonts w:ascii="Arial" w:cs="Arial" w:eastAsia="Arial" w:hAnsi="Arial"/>
                <w:sz w:val="15"/>
                <w:szCs w:val="15"/>
                <w:color w:val="auto"/>
              </w:rPr>
              <w:t>550</w:t>
            </w:r>
          </w:p>
        </w:tc>
        <w:tc>
          <w:tcPr>
            <w:tcW w:w="1400" w:type="dxa"/>
            <w:vAlign w:val="bottom"/>
            <w:tcBorders>
              <w:bottom w:val="single" w:sz="8" w:color="A6A6A6"/>
            </w:tcBorders>
          </w:tcPr>
          <w:p>
            <w:pPr>
              <w:jc w:val="right"/>
              <w:ind w:right="325"/>
              <w:spacing w:after="0"/>
              <w:rPr>
                <w:sz w:val="20"/>
                <w:szCs w:val="20"/>
                <w:color w:val="auto"/>
              </w:rPr>
            </w:pPr>
            <w:r>
              <w:rPr>
                <w:rFonts w:ascii="Arial" w:cs="Arial" w:eastAsia="Arial" w:hAnsi="Arial"/>
                <w:sz w:val="15"/>
                <w:szCs w:val="15"/>
                <w:color w:val="auto"/>
              </w:rPr>
              <w:t>n/a</w:t>
            </w:r>
          </w:p>
        </w:tc>
        <w:tc>
          <w:tcPr>
            <w:tcW w:w="1100" w:type="dxa"/>
            <w:vAlign w:val="bottom"/>
            <w:tcBorders>
              <w:bottom w:val="single" w:sz="8" w:color="A6A6A6"/>
            </w:tcBorders>
          </w:tcPr>
          <w:p>
            <w:pPr>
              <w:jc w:val="right"/>
              <w:ind w:right="47"/>
              <w:spacing w:after="0"/>
              <w:rPr>
                <w:sz w:val="20"/>
                <w:szCs w:val="20"/>
                <w:color w:val="auto"/>
              </w:rPr>
            </w:pPr>
            <w:r>
              <w:rPr>
                <w:rFonts w:ascii="Arial" w:cs="Arial" w:eastAsia="Arial" w:hAnsi="Arial"/>
                <w:sz w:val="15"/>
                <w:szCs w:val="15"/>
                <w:color w:val="auto"/>
              </w:rPr>
              <w:t>n/a</w:t>
            </w:r>
          </w:p>
        </w:tc>
        <w:tc>
          <w:tcPr>
            <w:tcW w:w="170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n/a</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Colorado</w:t>
            </w:r>
          </w:p>
        </w:tc>
        <w:tc>
          <w:tcPr>
            <w:tcW w:w="2380" w:type="dxa"/>
            <w:vAlign w:val="bottom"/>
            <w:tcBorders>
              <w:bottom w:val="single" w:sz="8" w:color="A6A6A6"/>
            </w:tcBorders>
          </w:tcPr>
          <w:p>
            <w:pPr>
              <w:jc w:val="right"/>
              <w:ind w:right="328"/>
              <w:spacing w:after="0"/>
              <w:rPr>
                <w:sz w:val="20"/>
                <w:szCs w:val="20"/>
                <w:color w:val="auto"/>
              </w:rPr>
            </w:pPr>
            <w:r>
              <w:rPr>
                <w:rFonts w:ascii="Arial" w:cs="Arial" w:eastAsia="Arial" w:hAnsi="Arial"/>
                <w:sz w:val="15"/>
                <w:szCs w:val="15"/>
                <w:color w:val="auto"/>
              </w:rPr>
              <w:t>700</w:t>
            </w:r>
          </w:p>
        </w:tc>
        <w:tc>
          <w:tcPr>
            <w:tcW w:w="1400" w:type="dxa"/>
            <w:vAlign w:val="bottom"/>
            <w:tcBorders>
              <w:bottom w:val="single" w:sz="8" w:color="A6A6A6"/>
            </w:tcBorders>
          </w:tcPr>
          <w:p>
            <w:pPr>
              <w:jc w:val="right"/>
              <w:ind w:right="325"/>
              <w:spacing w:after="0"/>
              <w:rPr>
                <w:sz w:val="20"/>
                <w:szCs w:val="20"/>
                <w:color w:val="auto"/>
              </w:rPr>
            </w:pPr>
            <w:r>
              <w:rPr>
                <w:rFonts w:ascii="Arial" w:cs="Arial" w:eastAsia="Arial" w:hAnsi="Arial"/>
                <w:sz w:val="15"/>
                <w:szCs w:val="15"/>
                <w:color w:val="auto"/>
              </w:rPr>
              <w:t>20,740</w:t>
            </w:r>
          </w:p>
        </w:tc>
        <w:tc>
          <w:tcPr>
            <w:tcW w:w="1100" w:type="dxa"/>
            <w:vAlign w:val="bottom"/>
            <w:tcBorders>
              <w:bottom w:val="single" w:sz="8" w:color="A6A6A6"/>
            </w:tcBorders>
          </w:tcPr>
          <w:p>
            <w:pPr>
              <w:jc w:val="right"/>
              <w:ind w:right="47"/>
              <w:spacing w:after="0"/>
              <w:rPr>
                <w:sz w:val="20"/>
                <w:szCs w:val="20"/>
                <w:color w:val="auto"/>
              </w:rPr>
            </w:pPr>
            <w:r>
              <w:rPr>
                <w:rFonts w:ascii="Arial" w:cs="Arial" w:eastAsia="Arial" w:hAnsi="Arial"/>
                <w:sz w:val="15"/>
                <w:szCs w:val="15"/>
                <w:color w:val="auto"/>
              </w:rPr>
              <w:t>2,780</w:t>
            </w:r>
          </w:p>
        </w:tc>
        <w:tc>
          <w:tcPr>
            <w:tcW w:w="170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23,520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Duke, Oklahoma</w:t>
            </w:r>
          </w:p>
        </w:tc>
        <w:tc>
          <w:tcPr>
            <w:tcW w:w="2380" w:type="dxa"/>
            <w:vAlign w:val="bottom"/>
            <w:tcBorders>
              <w:bottom w:val="single" w:sz="8" w:color="A6A6A6"/>
            </w:tcBorders>
          </w:tcPr>
          <w:p>
            <w:pPr>
              <w:jc w:val="right"/>
              <w:ind w:right="328"/>
              <w:spacing w:after="0"/>
              <w:rPr>
                <w:sz w:val="20"/>
                <w:szCs w:val="20"/>
                <w:color w:val="auto"/>
              </w:rPr>
            </w:pPr>
            <w:r>
              <w:rPr>
                <w:rFonts w:ascii="Arial" w:cs="Arial" w:eastAsia="Arial" w:hAnsi="Arial"/>
                <w:sz w:val="15"/>
                <w:szCs w:val="15"/>
                <w:color w:val="auto"/>
              </w:rPr>
              <w:t>1,300</w:t>
            </w:r>
          </w:p>
        </w:tc>
        <w:tc>
          <w:tcPr>
            <w:tcW w:w="1400" w:type="dxa"/>
            <w:vAlign w:val="bottom"/>
            <w:tcBorders>
              <w:bottom w:val="single" w:sz="8" w:color="A6A6A6"/>
            </w:tcBorders>
          </w:tcPr>
          <w:p>
            <w:pPr>
              <w:jc w:val="right"/>
              <w:ind w:right="325"/>
              <w:spacing w:after="0"/>
              <w:rPr>
                <w:sz w:val="20"/>
                <w:szCs w:val="20"/>
                <w:color w:val="auto"/>
              </w:rPr>
            </w:pPr>
            <w:r>
              <w:rPr>
                <w:rFonts w:ascii="Arial" w:cs="Arial" w:eastAsia="Arial" w:hAnsi="Arial"/>
                <w:sz w:val="15"/>
                <w:szCs w:val="15"/>
                <w:color w:val="auto"/>
              </w:rPr>
              <w:t>27,900</w:t>
            </w:r>
          </w:p>
        </w:tc>
        <w:tc>
          <w:tcPr>
            <w:tcW w:w="1100" w:type="dxa"/>
            <w:vAlign w:val="bottom"/>
            <w:tcBorders>
              <w:bottom w:val="single" w:sz="8" w:color="A6A6A6"/>
            </w:tcBorders>
          </w:tcPr>
          <w:p>
            <w:pPr>
              <w:jc w:val="right"/>
              <w:ind w:right="47"/>
              <w:spacing w:after="0"/>
              <w:rPr>
                <w:sz w:val="20"/>
                <w:szCs w:val="20"/>
                <w:color w:val="auto"/>
              </w:rPr>
            </w:pPr>
            <w:r>
              <w:rPr>
                <w:rFonts w:ascii="Arial" w:cs="Arial" w:eastAsia="Arial" w:hAnsi="Arial"/>
                <w:sz w:val="15"/>
                <w:szCs w:val="15"/>
                <w:color w:val="auto"/>
              </w:rPr>
              <w:t>42,700</w:t>
            </w:r>
          </w:p>
        </w:tc>
        <w:tc>
          <w:tcPr>
            <w:tcW w:w="170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70,600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59,000</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 xml:space="preserve">Georgetown, South Carolina </w:t>
            </w:r>
            <w:r>
              <w:rPr>
                <w:rFonts w:ascii="Arial" w:cs="Arial" w:eastAsia="Arial" w:hAnsi="Arial"/>
                <w:sz w:val="21"/>
                <w:szCs w:val="21"/>
                <w:b w:val="1"/>
                <w:bCs w:val="1"/>
                <w:color w:val="77943C"/>
                <w:vertAlign w:val="superscript"/>
              </w:rPr>
              <w:t>(5)</w:t>
            </w:r>
          </w:p>
        </w:tc>
        <w:tc>
          <w:tcPr>
            <w:tcW w:w="2380" w:type="dxa"/>
            <w:vAlign w:val="bottom"/>
            <w:tcBorders>
              <w:bottom w:val="single" w:sz="8" w:color="77943C"/>
            </w:tcBorders>
          </w:tcPr>
          <w:p>
            <w:pPr>
              <w:jc w:val="right"/>
              <w:ind w:right="328"/>
              <w:spacing w:after="0"/>
              <w:rPr>
                <w:sz w:val="20"/>
                <w:szCs w:val="20"/>
                <w:color w:val="auto"/>
              </w:rPr>
            </w:pPr>
            <w:r>
              <w:rPr>
                <w:rFonts w:ascii="Arial" w:cs="Arial" w:eastAsia="Arial" w:hAnsi="Arial"/>
                <w:sz w:val="15"/>
                <w:szCs w:val="15"/>
                <w:color w:val="auto"/>
              </w:rPr>
              <w:t>900</w:t>
            </w:r>
          </w:p>
        </w:tc>
        <w:tc>
          <w:tcPr>
            <w:tcW w:w="1400" w:type="dxa"/>
            <w:vAlign w:val="bottom"/>
            <w:tcBorders>
              <w:bottom w:val="single" w:sz="8" w:color="77943C"/>
            </w:tcBorders>
          </w:tcPr>
          <w:p>
            <w:pPr>
              <w:jc w:val="right"/>
              <w:ind w:right="325"/>
              <w:spacing w:after="0"/>
              <w:rPr>
                <w:sz w:val="20"/>
                <w:szCs w:val="20"/>
                <w:color w:val="auto"/>
              </w:rPr>
            </w:pPr>
            <w:r>
              <w:rPr>
                <w:rFonts w:ascii="Arial" w:cs="Arial" w:eastAsia="Arial" w:hAnsi="Arial"/>
                <w:sz w:val="15"/>
                <w:szCs w:val="15"/>
                <w:color w:val="auto"/>
              </w:rPr>
              <w:t>n/a</w:t>
            </w:r>
          </w:p>
        </w:tc>
        <w:tc>
          <w:tcPr>
            <w:tcW w:w="1100" w:type="dxa"/>
            <w:vAlign w:val="bottom"/>
            <w:tcBorders>
              <w:bottom w:val="single" w:sz="8" w:color="77943C"/>
            </w:tcBorders>
          </w:tcPr>
          <w:p>
            <w:pPr>
              <w:jc w:val="right"/>
              <w:ind w:right="47"/>
              <w:spacing w:after="0"/>
              <w:rPr>
                <w:sz w:val="20"/>
                <w:szCs w:val="20"/>
                <w:color w:val="auto"/>
              </w:rPr>
            </w:pPr>
            <w:r>
              <w:rPr>
                <w:rFonts w:ascii="Arial" w:cs="Arial" w:eastAsia="Arial" w:hAnsi="Arial"/>
                <w:sz w:val="15"/>
                <w:szCs w:val="15"/>
                <w:color w:val="auto"/>
              </w:rPr>
              <w:t>n/a</w:t>
            </w:r>
          </w:p>
        </w:tc>
        <w:tc>
          <w:tcPr>
            <w:tcW w:w="1700" w:type="dxa"/>
            <w:vAlign w:val="bottom"/>
            <w:tcBorders>
              <w:bottom w:val="single" w:sz="8" w:color="77943C"/>
            </w:tcBorders>
          </w:tcPr>
          <w:p>
            <w:pPr>
              <w:jc w:val="right"/>
              <w:ind w:right="387"/>
              <w:spacing w:after="0"/>
              <w:rPr>
                <w:sz w:val="20"/>
                <w:szCs w:val="20"/>
                <w:color w:val="auto"/>
              </w:rPr>
            </w:pPr>
            <w:r>
              <w:rPr>
                <w:rFonts w:ascii="Arial" w:cs="Arial" w:eastAsia="Arial" w:hAnsi="Arial"/>
                <w:sz w:val="15"/>
                <w:szCs w:val="15"/>
                <w:color w:val="auto"/>
              </w:rPr>
              <w:t>n/a</w:t>
            </w:r>
          </w:p>
        </w:tc>
        <w:tc>
          <w:tcPr>
            <w:tcW w:w="940" w:type="dxa"/>
            <w:vAlign w:val="bottom"/>
            <w:tcBorders>
              <w:bottom w:val="single" w:sz="8" w:color="77943C"/>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372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77943C"/>
            </w:tcBorders>
          </w:tcPr>
          <w:p>
            <w:pPr>
              <w:jc w:val="right"/>
              <w:ind w:right="328"/>
              <w:spacing w:after="0"/>
              <w:rPr>
                <w:sz w:val="20"/>
                <w:szCs w:val="20"/>
                <w:color w:val="auto"/>
              </w:rPr>
            </w:pPr>
            <w:r>
              <w:rPr>
                <w:rFonts w:ascii="Arial" w:cs="Arial" w:eastAsia="Arial" w:hAnsi="Arial"/>
                <w:sz w:val="15"/>
                <w:szCs w:val="15"/>
                <w:b w:val="1"/>
                <w:bCs w:val="1"/>
                <w:color w:val="auto"/>
              </w:rPr>
              <w:t>3,875</w:t>
            </w:r>
          </w:p>
        </w:tc>
        <w:tc>
          <w:tcPr>
            <w:tcW w:w="1400" w:type="dxa"/>
            <w:vAlign w:val="bottom"/>
            <w:tcBorders>
              <w:bottom w:val="single" w:sz="8" w:color="77943C"/>
            </w:tcBorders>
          </w:tcPr>
          <w:p>
            <w:pPr>
              <w:jc w:val="right"/>
              <w:ind w:right="325"/>
              <w:spacing w:after="0"/>
              <w:rPr>
                <w:sz w:val="20"/>
                <w:szCs w:val="20"/>
                <w:color w:val="auto"/>
              </w:rPr>
            </w:pPr>
            <w:r>
              <w:rPr>
                <w:rFonts w:ascii="Arial" w:cs="Arial" w:eastAsia="Arial" w:hAnsi="Arial"/>
                <w:sz w:val="15"/>
                <w:szCs w:val="15"/>
                <w:b w:val="1"/>
                <w:bCs w:val="1"/>
                <w:color w:val="auto"/>
              </w:rPr>
              <w:t>90,440</w:t>
            </w:r>
          </w:p>
        </w:tc>
        <w:tc>
          <w:tcPr>
            <w:tcW w:w="1100" w:type="dxa"/>
            <w:vAlign w:val="bottom"/>
            <w:tcBorders>
              <w:bottom w:val="single" w:sz="8" w:color="77943C"/>
            </w:tcBorders>
          </w:tcPr>
          <w:p>
            <w:pPr>
              <w:jc w:val="right"/>
              <w:ind w:right="47"/>
              <w:spacing w:after="0"/>
              <w:rPr>
                <w:sz w:val="20"/>
                <w:szCs w:val="20"/>
                <w:color w:val="auto"/>
              </w:rPr>
            </w:pPr>
            <w:r>
              <w:rPr>
                <w:rFonts w:ascii="Arial" w:cs="Arial" w:eastAsia="Arial" w:hAnsi="Arial"/>
                <w:sz w:val="15"/>
                <w:szCs w:val="15"/>
                <w:b w:val="1"/>
                <w:bCs w:val="1"/>
                <w:color w:val="auto"/>
              </w:rPr>
              <w:t>61,480</w:t>
            </w:r>
          </w:p>
        </w:tc>
        <w:tc>
          <w:tcPr>
            <w:tcW w:w="1700" w:type="dxa"/>
            <w:vAlign w:val="bottom"/>
            <w:tcBorders>
              <w:bottom w:val="single" w:sz="8" w:color="77943C"/>
            </w:tcBorders>
          </w:tcPr>
          <w:p>
            <w:pPr>
              <w:jc w:val="right"/>
              <w:ind w:right="387"/>
              <w:spacing w:after="0"/>
              <w:rPr>
                <w:sz w:val="20"/>
                <w:szCs w:val="20"/>
                <w:color w:val="auto"/>
              </w:rPr>
            </w:pPr>
            <w:r>
              <w:rPr>
                <w:rFonts w:ascii="Arial" w:cs="Arial" w:eastAsia="Arial" w:hAnsi="Arial"/>
                <w:sz w:val="15"/>
                <w:szCs w:val="15"/>
                <w:b w:val="1"/>
                <w:bCs w:val="1"/>
                <w:color w:val="auto"/>
              </w:rPr>
              <w:t>151,920</w:t>
            </w:r>
          </w:p>
        </w:tc>
        <w:tc>
          <w:tcPr>
            <w:tcW w:w="94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65,300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380" w:type="dxa"/>
            <w:vAlign w:val="bottom"/>
            <w:tcBorders>
              <w:bottom w:val="single" w:sz="8" w:color="77943C"/>
            </w:tcBorders>
          </w:tcPr>
          <w:p>
            <w:pPr>
              <w:spacing w:after="0" w:line="20" w:lineRule="exact"/>
              <w:rPr>
                <w:sz w:val="1"/>
                <w:szCs w:val="1"/>
                <w:color w:val="auto"/>
              </w:rPr>
            </w:pPr>
          </w:p>
        </w:tc>
        <w:tc>
          <w:tcPr>
            <w:tcW w:w="1400" w:type="dxa"/>
            <w:vAlign w:val="bottom"/>
            <w:tcBorders>
              <w:bottom w:val="single" w:sz="8" w:color="77943C"/>
            </w:tcBorders>
          </w:tcPr>
          <w:p>
            <w:pPr>
              <w:spacing w:after="0" w:line="20" w:lineRule="exact"/>
              <w:rPr>
                <w:sz w:val="1"/>
                <w:szCs w:val="1"/>
                <w:color w:val="auto"/>
              </w:rPr>
            </w:pPr>
          </w:p>
        </w:tc>
        <w:tc>
          <w:tcPr>
            <w:tcW w:w="1100" w:type="dxa"/>
            <w:vAlign w:val="bottom"/>
            <w:tcBorders>
              <w:bottom w:val="single" w:sz="8" w:color="77943C"/>
            </w:tcBorders>
          </w:tcPr>
          <w:p>
            <w:pPr>
              <w:spacing w:after="0" w:line="20" w:lineRule="exact"/>
              <w:rPr>
                <w:sz w:val="1"/>
                <w:szCs w:val="1"/>
                <w:color w:val="auto"/>
              </w:rPr>
            </w:pPr>
          </w:p>
        </w:tc>
        <w:tc>
          <w:tcPr>
            <w:tcW w:w="1700" w:type="dxa"/>
            <w:vAlign w:val="bottom"/>
            <w:tcBorders>
              <w:bottom w:val="single" w:sz="8" w:color="77943C"/>
            </w:tcBorders>
          </w:tcPr>
          <w:p>
            <w:pPr>
              <w:spacing w:after="0" w:line="20" w:lineRule="exact"/>
              <w:rPr>
                <w:sz w:val="1"/>
                <w:szCs w:val="1"/>
                <w:color w:val="auto"/>
              </w:rPr>
            </w:pPr>
          </w:p>
        </w:tc>
        <w:tc>
          <w:tcPr>
            <w:tcW w:w="940" w:type="dxa"/>
            <w:vAlign w:val="bottom"/>
            <w:tcBorders>
              <w:bottom w:val="single" w:sz="8" w:color="7794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Gypsum resources are shown on an in situ basis.</w:t>
      </w:r>
    </w:p>
    <w:p>
      <w:pPr>
        <w:ind w:left="240" w:right="180" w:hanging="232"/>
        <w:spacing w:after="0" w:line="213" w:lineRule="auto"/>
        <w:tabs>
          <w:tab w:leader="none" w:pos="229"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$13.50 to $16.50 per ton, depending on location and market.</w:t>
      </w:r>
    </w:p>
    <w:p>
      <w:pPr>
        <w:ind w:left="220" w:hanging="212"/>
        <w:spacing w:after="0" w:line="192" w:lineRule="auto"/>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Million Square Feet (MMSF) based on anticipated product mix.</w:t>
      </w:r>
    </w:p>
    <w:p>
      <w:pPr>
        <w:ind w:left="220" w:hanging="212"/>
        <w:spacing w:after="0" w:line="192" w:lineRule="auto"/>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same resources serve both New Mexico plants.</w:t>
      </w:r>
    </w:p>
    <w:p>
      <w:pPr>
        <w:ind w:left="220" w:hanging="212"/>
        <w:spacing w:after="0" w:line="193" w:lineRule="auto"/>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gypsum reserves at March 31, 2024:</w:t>
      </w:r>
    </w:p>
    <w:p>
      <w:pPr>
        <w:spacing w:after="0" w:line="190"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 xml:space="preserve">Gypsum Reserves </w:t>
      </w:r>
      <w:r>
        <w:rPr>
          <w:rFonts w:ascii="Arial" w:cs="Arial" w:eastAsia="Arial" w:hAnsi="Arial"/>
          <w:sz w:val="21"/>
          <w:szCs w:val="21"/>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1270</wp:posOffset>
            </wp:positionV>
            <wp:extent cx="3728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308"/>
              <w:spacing w:after="0"/>
              <w:rPr>
                <w:sz w:val="20"/>
                <w:szCs w:val="20"/>
                <w:color w:val="auto"/>
              </w:rPr>
            </w:pPr>
            <w:r>
              <w:rPr>
                <w:rFonts w:ascii="Arial" w:cs="Arial" w:eastAsia="Arial" w:hAnsi="Arial"/>
                <w:sz w:val="13"/>
                <w:szCs w:val="13"/>
                <w:color w:val="auto"/>
              </w:rPr>
              <w:t>(tons in thousands)</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7"/>
        </w:trPr>
        <w:tc>
          <w:tcPr>
            <w:tcW w:w="5260" w:type="dxa"/>
            <w:vAlign w:val="bottom"/>
            <w:tcBorders>
              <w:bottom w:val="single" w:sz="8" w:color="77943C"/>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Proven</w:t>
            </w:r>
          </w:p>
        </w:tc>
        <w:tc>
          <w:tcPr>
            <w:tcW w:w="120" w:type="dxa"/>
            <w:vAlign w:val="bottom"/>
          </w:tcPr>
          <w:p>
            <w:pPr>
              <w:spacing w:after="0"/>
              <w:rPr>
                <w:sz w:val="16"/>
                <w:szCs w:val="16"/>
                <w:color w:val="auto"/>
              </w:rPr>
            </w:pP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Probable</w:t>
            </w:r>
          </w:p>
        </w:tc>
        <w:tc>
          <w:tcPr>
            <w:tcW w:w="100" w:type="dxa"/>
            <w:vAlign w:val="bottom"/>
          </w:tcPr>
          <w:p>
            <w:pPr>
              <w:spacing w:after="0"/>
              <w:rPr>
                <w:sz w:val="16"/>
                <w:szCs w:val="16"/>
                <w:color w:val="auto"/>
              </w:rPr>
            </w:pPr>
          </w:p>
        </w:tc>
        <w:tc>
          <w:tcPr>
            <w:tcW w:w="1920" w:type="dxa"/>
            <w:vAlign w:val="bottom"/>
            <w:tcBorders>
              <w:bottom w:val="single" w:sz="8" w:color="77943C"/>
            </w:tcBorders>
          </w:tcPr>
          <w:p>
            <w:pPr>
              <w:jc w:val="right"/>
              <w:ind w:right="166"/>
              <w:spacing w:after="0"/>
              <w:rPr>
                <w:sz w:val="20"/>
                <w:szCs w:val="20"/>
                <w:color w:val="auto"/>
              </w:rPr>
            </w:pPr>
            <w:r>
              <w:rPr>
                <w:rFonts w:ascii="Arial" w:cs="Arial" w:eastAsia="Arial" w:hAnsi="Arial"/>
                <w:sz w:val="13"/>
                <w:szCs w:val="13"/>
                <w:b w:val="1"/>
                <w:bCs w:val="1"/>
                <w:color w:val="auto"/>
              </w:rPr>
              <w:t>Total Proven &amp; Probable</w:t>
            </w: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1880" w:type="dxa"/>
            <w:vAlign w:val="bottom"/>
          </w:tcPr>
          <w:p>
            <w:pPr>
              <w:jc w:val="right"/>
              <w:spacing w:after="0"/>
              <w:rPr>
                <w:sz w:val="20"/>
                <w:szCs w:val="20"/>
                <w:color w:val="auto"/>
              </w:rPr>
            </w:pPr>
            <w:r>
              <w:rPr>
                <w:rFonts w:ascii="Arial" w:cs="Arial" w:eastAsia="Arial" w:hAnsi="Arial"/>
                <w:sz w:val="15"/>
                <w:szCs w:val="15"/>
                <w:color w:val="auto"/>
              </w:rPr>
              <w:t>19,320</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3,650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22,970</w:t>
            </w:r>
          </w:p>
        </w:tc>
      </w:tr>
      <w:tr>
        <w:trPr>
          <w:trHeight w:val="210"/>
        </w:trPr>
        <w:tc>
          <w:tcPr>
            <w:tcW w:w="526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(3)</w:t>
            </w:r>
          </w:p>
        </w:tc>
        <w:tc>
          <w:tcPr>
            <w:tcW w:w="1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1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8"/>
                <w:szCs w:val="18"/>
                <w:color w:val="auto"/>
              </w:rPr>
            </w:pPr>
          </w:p>
        </w:tc>
        <w:tc>
          <w:tcPr>
            <w:tcW w:w="1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r>
      <w:tr>
        <w:trPr>
          <w:trHeight w:val="209"/>
        </w:trPr>
        <w:tc>
          <w:tcPr>
            <w:tcW w:w="5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Colorado</w:t>
            </w:r>
          </w:p>
        </w:tc>
        <w:tc>
          <w:tcPr>
            <w:tcW w:w="18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17,085</w:t>
            </w:r>
          </w:p>
        </w:tc>
        <w:tc>
          <w:tcPr>
            <w:tcW w:w="120" w:type="dxa"/>
            <w:vAlign w:val="bottom"/>
          </w:tcPr>
          <w:p>
            <w:pPr>
              <w:spacing w:after="0"/>
              <w:rPr>
                <w:sz w:val="18"/>
                <w:szCs w:val="18"/>
                <w:color w:val="auto"/>
              </w:rPr>
            </w:pP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2,300</w:t>
            </w:r>
          </w:p>
        </w:tc>
        <w:tc>
          <w:tcPr>
            <w:tcW w:w="100" w:type="dxa"/>
            <w:vAlign w:val="bottom"/>
          </w:tcPr>
          <w:p>
            <w:pPr>
              <w:spacing w:after="0"/>
              <w:rPr>
                <w:sz w:val="18"/>
                <w:szCs w:val="18"/>
                <w:color w:val="auto"/>
              </w:rPr>
            </w:pPr>
          </w:p>
        </w:tc>
        <w:tc>
          <w:tcPr>
            <w:tcW w:w="19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19,385</w:t>
            </w: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b w:val="1"/>
                <w:bCs w:val="1"/>
                <w:color w:val="77943C"/>
              </w:rPr>
              <w:t>Duke, Oklahoma</w:t>
            </w:r>
          </w:p>
        </w:tc>
        <w:tc>
          <w:tcPr>
            <w:tcW w:w="1880" w:type="dxa"/>
            <w:vAlign w:val="bottom"/>
          </w:tcPr>
          <w:p>
            <w:pPr>
              <w:jc w:val="right"/>
              <w:spacing w:after="0"/>
              <w:rPr>
                <w:sz w:val="20"/>
                <w:szCs w:val="20"/>
                <w:color w:val="auto"/>
              </w:rPr>
            </w:pPr>
            <w:r>
              <w:rPr>
                <w:rFonts w:ascii="Arial" w:cs="Arial" w:eastAsia="Arial" w:hAnsi="Arial"/>
                <w:sz w:val="15"/>
                <w:szCs w:val="15"/>
                <w:color w:val="auto"/>
              </w:rPr>
              <w:t>5,890</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18,350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24,240</w:t>
            </w:r>
          </w:p>
        </w:tc>
      </w:tr>
      <w:tr>
        <w:trPr>
          <w:trHeight w:val="210"/>
        </w:trPr>
        <w:tc>
          <w:tcPr>
            <w:tcW w:w="52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 xml:space="preserve">Georgetown, South Carolina </w:t>
            </w:r>
            <w:r>
              <w:rPr>
                <w:rFonts w:ascii="Arial" w:cs="Arial" w:eastAsia="Arial" w:hAnsi="Arial"/>
                <w:sz w:val="21"/>
                <w:szCs w:val="21"/>
                <w:b w:val="1"/>
                <w:bCs w:val="1"/>
                <w:color w:val="77943C"/>
                <w:vertAlign w:val="superscript"/>
              </w:rPr>
              <w:t>(4)</w:t>
            </w:r>
          </w:p>
        </w:tc>
        <w:tc>
          <w:tcPr>
            <w:tcW w:w="188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186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8"/>
                <w:szCs w:val="18"/>
                <w:color w:val="auto"/>
              </w:rPr>
            </w:pPr>
          </w:p>
        </w:tc>
        <w:tc>
          <w:tcPr>
            <w:tcW w:w="192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n/a</w:t>
            </w:r>
          </w:p>
        </w:tc>
      </w:tr>
      <w:tr>
        <w:trPr>
          <w:trHeight w:val="183"/>
        </w:trPr>
        <w:tc>
          <w:tcPr>
            <w:tcW w:w="5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42,295</w:t>
            </w:r>
          </w:p>
        </w:tc>
        <w:tc>
          <w:tcPr>
            <w:tcW w:w="120" w:type="dxa"/>
            <w:vAlign w:val="bottom"/>
          </w:tcPr>
          <w:p>
            <w:pPr>
              <w:spacing w:after="0"/>
              <w:rPr>
                <w:sz w:val="15"/>
                <w:szCs w:val="15"/>
                <w:color w:val="auto"/>
              </w:rPr>
            </w:pP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24,300</w:t>
            </w:r>
          </w:p>
        </w:tc>
        <w:tc>
          <w:tcPr>
            <w:tcW w:w="100" w:type="dxa"/>
            <w:vAlign w:val="bottom"/>
          </w:tcPr>
          <w:p>
            <w:pPr>
              <w:spacing w:after="0"/>
              <w:rPr>
                <w:sz w:val="15"/>
                <w:szCs w:val="15"/>
                <w:color w:val="auto"/>
              </w:rPr>
            </w:pPr>
          </w:p>
        </w:tc>
        <w:tc>
          <w:tcPr>
            <w:tcW w:w="192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66,595</w:t>
            </w:r>
          </w:p>
        </w:tc>
      </w:tr>
      <w:tr>
        <w:trPr>
          <w:trHeight w:val="20"/>
        </w:trPr>
        <w:tc>
          <w:tcPr>
            <w:tcW w:w="5260" w:type="dxa"/>
            <w:vAlign w:val="bottom"/>
          </w:tcPr>
          <w:p>
            <w:pPr>
              <w:spacing w:after="0" w:line="20" w:lineRule="exact"/>
              <w:rPr>
                <w:sz w:val="1"/>
                <w:szCs w:val="1"/>
                <w:color w:val="auto"/>
              </w:rPr>
            </w:pPr>
          </w:p>
        </w:tc>
        <w:tc>
          <w:tcPr>
            <w:tcW w:w="1880" w:type="dxa"/>
            <w:vAlign w:val="bottom"/>
            <w:tcBorders>
              <w:bottom w:val="single" w:sz="8" w:color="77943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77943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77943C"/>
            </w:tcBorders>
          </w:tcPr>
          <w:p>
            <w:pPr>
              <w:spacing w:after="0" w:line="20" w:lineRule="exact"/>
              <w:rPr>
                <w:sz w:val="1"/>
                <w:szCs w:val="1"/>
                <w:color w:val="auto"/>
              </w:rPr>
            </w:pPr>
          </w:p>
        </w:tc>
      </w:tr>
    </w:tbl>
    <w:p>
      <w:pPr>
        <w:spacing w:after="0" w:line="8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Gypsum reserves are shown on a recoverable basis.</w:t>
      </w:r>
    </w:p>
    <w:p>
      <w:pPr>
        <w:ind w:left="220" w:hanging="212"/>
        <w:spacing w:after="0" w:line="192" w:lineRule="auto"/>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The economic viability of our reserves were determined using average gypsum prices ranging from $13.50 to $16.50 per ton, depending on location and market.</w:t>
      </w:r>
    </w:p>
    <w:p>
      <w:pPr>
        <w:ind w:left="220" w:hanging="212"/>
        <w:spacing w:after="0" w:line="192" w:lineRule="auto"/>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The same reserves serve both New Mexico plants.</w:t>
      </w:r>
    </w:p>
    <w:p>
      <w:pPr>
        <w:ind w:left="220" w:hanging="212"/>
        <w:spacing w:after="0" w:line="193" w:lineRule="auto"/>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annual production volumes from our gypsum quarries:</w:t>
      </w:r>
    </w:p>
    <w:p>
      <w:pPr>
        <w:spacing w:after="0" w:line="176"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Tons Mined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20955</wp:posOffset>
            </wp:positionV>
            <wp:extent cx="3728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309"/>
              <w:spacing w:after="0"/>
              <w:rPr>
                <w:sz w:val="20"/>
                <w:szCs w:val="20"/>
                <w:color w:val="auto"/>
              </w:rPr>
            </w:pPr>
            <w:r>
              <w:rPr>
                <w:rFonts w:ascii="Arial" w:cs="Arial" w:eastAsia="Arial" w:hAnsi="Arial"/>
                <w:sz w:val="13"/>
                <w:szCs w:val="13"/>
                <w:color w:val="auto"/>
              </w:rPr>
              <w:t>(tons in thousands)</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7"/>
        </w:trPr>
        <w:tc>
          <w:tcPr>
            <w:tcW w:w="5260" w:type="dxa"/>
            <w:vAlign w:val="bottom"/>
            <w:tcBorders>
              <w:bottom w:val="single" w:sz="8" w:color="77943C"/>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6"/>
                <w:szCs w:val="16"/>
                <w:color w:val="auto"/>
              </w:rPr>
            </w:pP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192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2022</w:t>
            </w: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1880" w:type="dxa"/>
            <w:vAlign w:val="bottom"/>
          </w:tcPr>
          <w:p>
            <w:pPr>
              <w:jc w:val="right"/>
              <w:spacing w:after="0"/>
              <w:rPr>
                <w:sz w:val="20"/>
                <w:szCs w:val="20"/>
                <w:color w:val="auto"/>
              </w:rPr>
            </w:pPr>
            <w:r>
              <w:rPr>
                <w:rFonts w:ascii="Arial" w:cs="Arial" w:eastAsia="Arial" w:hAnsi="Arial"/>
                <w:sz w:val="15"/>
                <w:szCs w:val="15"/>
                <w:color w:val="auto"/>
              </w:rPr>
              <w:t>560</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470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444</w:t>
            </w:r>
          </w:p>
        </w:tc>
      </w:tr>
      <w:tr>
        <w:trPr>
          <w:trHeight w:val="209"/>
        </w:trPr>
        <w:tc>
          <w:tcPr>
            <w:tcW w:w="526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(1)</w:t>
            </w:r>
          </w:p>
        </w:tc>
        <w:tc>
          <w:tcPr>
            <w:tcW w:w="1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1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8"/>
                <w:szCs w:val="18"/>
                <w:color w:val="auto"/>
              </w:rPr>
            </w:pPr>
          </w:p>
        </w:tc>
        <w:tc>
          <w:tcPr>
            <w:tcW w:w="1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r>
      <w:tr>
        <w:trPr>
          <w:trHeight w:val="210"/>
        </w:trPr>
        <w:tc>
          <w:tcPr>
            <w:tcW w:w="5260" w:type="dxa"/>
            <w:vAlign w:val="bottom"/>
          </w:tcPr>
          <w:p>
            <w:pPr>
              <w:ind w:left="20"/>
              <w:spacing w:after="0"/>
              <w:rPr>
                <w:sz w:val="20"/>
                <w:szCs w:val="20"/>
                <w:color w:val="auto"/>
              </w:rPr>
            </w:pPr>
            <w:r>
              <w:rPr>
                <w:rFonts w:ascii="Arial" w:cs="Arial" w:eastAsia="Arial" w:hAnsi="Arial"/>
                <w:sz w:val="16"/>
                <w:szCs w:val="16"/>
                <w:b w:val="1"/>
                <w:bCs w:val="1"/>
                <w:color w:val="77943C"/>
              </w:rPr>
              <w:t>Gypsum, Colorado</w:t>
            </w:r>
          </w:p>
        </w:tc>
        <w:tc>
          <w:tcPr>
            <w:tcW w:w="1880" w:type="dxa"/>
            <w:vAlign w:val="bottom"/>
          </w:tcPr>
          <w:p>
            <w:pPr>
              <w:jc w:val="right"/>
              <w:spacing w:after="0"/>
              <w:rPr>
                <w:sz w:val="20"/>
                <w:szCs w:val="20"/>
                <w:color w:val="auto"/>
              </w:rPr>
            </w:pPr>
            <w:r>
              <w:rPr>
                <w:rFonts w:ascii="Arial" w:cs="Arial" w:eastAsia="Arial" w:hAnsi="Arial"/>
                <w:sz w:val="15"/>
                <w:szCs w:val="15"/>
                <w:color w:val="auto"/>
              </w:rPr>
              <w:t>615</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595</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496</w:t>
            </w:r>
          </w:p>
        </w:tc>
      </w:tr>
      <w:tr>
        <w:trPr>
          <w:trHeight w:val="210"/>
        </w:trPr>
        <w:tc>
          <w:tcPr>
            <w:tcW w:w="52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Duke, Oklahoma</w:t>
            </w:r>
          </w:p>
        </w:tc>
        <w:tc>
          <w:tcPr>
            <w:tcW w:w="188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740</w:t>
            </w:r>
          </w:p>
        </w:tc>
        <w:tc>
          <w:tcPr>
            <w:tcW w:w="120" w:type="dxa"/>
            <w:vAlign w:val="bottom"/>
          </w:tcPr>
          <w:p>
            <w:pPr>
              <w:spacing w:after="0"/>
              <w:rPr>
                <w:sz w:val="18"/>
                <w:szCs w:val="18"/>
                <w:color w:val="auto"/>
              </w:rPr>
            </w:pPr>
          </w:p>
        </w:tc>
        <w:tc>
          <w:tcPr>
            <w:tcW w:w="186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8"/>
                <w:szCs w:val="18"/>
                <w:color w:val="auto"/>
              </w:rPr>
            </w:pPr>
          </w:p>
        </w:tc>
        <w:tc>
          <w:tcPr>
            <w:tcW w:w="192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607</w:t>
            </w:r>
          </w:p>
        </w:tc>
      </w:tr>
      <w:tr>
        <w:trPr>
          <w:trHeight w:val="183"/>
        </w:trPr>
        <w:tc>
          <w:tcPr>
            <w:tcW w:w="5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1,915</w:t>
            </w:r>
          </w:p>
        </w:tc>
        <w:tc>
          <w:tcPr>
            <w:tcW w:w="120" w:type="dxa"/>
            <w:vAlign w:val="bottom"/>
          </w:tcPr>
          <w:p>
            <w:pPr>
              <w:spacing w:after="0"/>
              <w:rPr>
                <w:sz w:val="15"/>
                <w:szCs w:val="15"/>
                <w:color w:val="auto"/>
              </w:rPr>
            </w:pP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1,915</w:t>
            </w:r>
          </w:p>
        </w:tc>
        <w:tc>
          <w:tcPr>
            <w:tcW w:w="100" w:type="dxa"/>
            <w:vAlign w:val="bottom"/>
          </w:tcPr>
          <w:p>
            <w:pPr>
              <w:spacing w:after="0"/>
              <w:rPr>
                <w:sz w:val="15"/>
                <w:szCs w:val="15"/>
                <w:color w:val="auto"/>
              </w:rPr>
            </w:pPr>
          </w:p>
        </w:tc>
        <w:tc>
          <w:tcPr>
            <w:tcW w:w="192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1,547</w:t>
            </w:r>
          </w:p>
        </w:tc>
      </w:tr>
      <w:tr>
        <w:trPr>
          <w:trHeight w:val="20"/>
        </w:trPr>
        <w:tc>
          <w:tcPr>
            <w:tcW w:w="5260" w:type="dxa"/>
            <w:vAlign w:val="bottom"/>
          </w:tcPr>
          <w:p>
            <w:pPr>
              <w:spacing w:after="0" w:line="20" w:lineRule="exact"/>
              <w:rPr>
                <w:sz w:val="1"/>
                <w:szCs w:val="1"/>
                <w:color w:val="auto"/>
              </w:rPr>
            </w:pPr>
          </w:p>
        </w:tc>
        <w:tc>
          <w:tcPr>
            <w:tcW w:w="1880" w:type="dxa"/>
            <w:vAlign w:val="bottom"/>
            <w:tcBorders>
              <w:bottom w:val="single" w:sz="8" w:color="77943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77943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77943C"/>
            </w:tcBorders>
          </w:tcPr>
          <w:p>
            <w:pPr>
              <w:spacing w:after="0" w:line="20" w:lineRule="exact"/>
              <w:rPr>
                <w:sz w:val="1"/>
                <w:szCs w:val="1"/>
                <w:color w:val="auto"/>
              </w:rPr>
            </w:pPr>
          </w:p>
        </w:tc>
      </w:tr>
    </w:tbl>
    <w:p>
      <w:pPr>
        <w:spacing w:after="0" w:line="8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same reserves serve both New Mexico plants.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internal controls over our gypsum resource and reserve estimates are similar to those in our Cement business. See the Internal Controls section in the Cement segment discussion for a more detailed description of our internal controls over resource and reserve estimation.</w:t>
      </w:r>
    </w:p>
    <w:p>
      <w:pPr>
        <w:spacing w:after="0" w:line="4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Gypsum Wallboard production totaled 3,030 MMSF in fiscal 2024 and 3,123 MMSF in fiscal 2023. Total Gypsum Wallboard sales were 2,965 MMSF in fiscal 2024 and 3,065 MMSF in fiscal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Demand, Sales, and Distribution</w:t>
      </w:r>
    </w:p>
    <w:p>
      <w:pPr>
        <w:spacing w:after="0" w:line="10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principal sources of demand for gypsum wallboard are (i) residential construction, (ii) repair and remodel activities, (iii) nonresidential construction, and (iv) other markets such as manufactured housing. According to the Gypsum Association, industry shipments of gypsum wallboard declined 1% to 27.9 billion square feet in calendar 2023. We estimate that residential construction and repair and remodel accounted for more than 80% of calendar 2023 industry sales.</w:t>
      </w:r>
    </w:p>
    <w:p>
      <w:pPr>
        <w:spacing w:after="0" w:line="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Demand for gypsum wallboard closely follows construction industry cycles, particularly housing construction. Demand for wallboard can be seasonal and is generally highest from spring through the middle of autumn.</w:t>
      </w:r>
    </w:p>
    <w:p>
      <w:pPr>
        <w:spacing w:after="0" w:line="46" w:lineRule="exact"/>
        <w:rPr>
          <w:sz w:val="20"/>
          <w:szCs w:val="20"/>
          <w:color w:val="auto"/>
        </w:rPr>
      </w:pPr>
    </w:p>
    <w:p>
      <w:pPr>
        <w:jc w:val="both"/>
        <w:ind w:right="480"/>
        <w:spacing w:after="0" w:line="247" w:lineRule="auto"/>
        <w:rPr>
          <w:sz w:val="20"/>
          <w:szCs w:val="20"/>
          <w:color w:val="auto"/>
        </w:rPr>
      </w:pPr>
      <w:r>
        <w:rPr>
          <w:rFonts w:ascii="Arial" w:cs="Arial" w:eastAsia="Arial" w:hAnsi="Arial"/>
          <w:sz w:val="18"/>
          <w:szCs w:val="18"/>
          <w:color w:val="auto"/>
        </w:rPr>
        <w:t>We sell gypsum wallboard to numerous building-materials dealers, gypsum wallboard specialty distributors, lumber yards, home-center chains, and other customers located throughout the United States, with the exception of the Northeast. Gypsum wallboard is sold on a delivered basis, mostly by truck. We generally use third-party common carriers for deliveries. Four customers collectively accounted for approximately 60% of our Gypsum Wallboard segment sales during fiscal 2024.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5% of our Wallboard volume sold during fiscal 2024 was delivered via rail.</w:t>
      </w:r>
    </w:p>
    <w:p>
      <w:pPr>
        <w:spacing w:after="0" w:line="6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There are currently six manufacturers of gypsum wallboard in the U.S., operating a total of 60 plants with a total of 67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32.3 billion square feet per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Raw Materials and Fuel Supplies</w:t>
      </w:r>
    </w:p>
    <w:p>
      <w:pPr>
        <w:spacing w:after="0" w:line="104"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color w:val="auto"/>
        </w:rPr>
        <w:t>We mine and extract natural gypsum, the principal raw material used in the manufacture of gypsum wallboard, from quarries owned, leased, or subject to mining claims owned by the Company and located near our plants. Our New Mexico reserves are under lease with the Pueblo of Zia. Gypsum ore reserves at the Gypsum, Colorado plant are contained within a total of 115 placer claims encompassing 2,300 acres.</w:t>
      </w:r>
    </w:p>
    <w:p>
      <w:pPr>
        <w:spacing w:after="0" w:line="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Included in this are 94 unpatented mining claims, where mineral rights can be developed upon completion of permitting requirements. We entered into a long-term agreement in 2005 with a public utility in South Carolina for synthetic gypsum, which we use at our Georgetown, South Carolina plant. This agreement has an initial term through December 2029 and we have two 20-year extension options that would extend the term through December 2069 should we elect to exercise both of our extension options. If the utility is unable to generate the agreed-upon amount of gypsum, it is responsible for providing gypsum from a third party to fulfill its obligations.</w:t>
      </w:r>
    </w:p>
    <w:p>
      <w:pPr>
        <w:spacing w:after="0" w:line="7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Through our modern low-cost paperboard mill, we manufacture sufficient quantities of paper necessary for our gypsum wallboard production. Paper is a significant cost component in the manufacture of gypsum wallboard, currently representing approximately one-third of our production cost. Paper costs are expected to be relatively consistent throughout fiscal 2024. See Raw Materials and Fuel Supplies in the Recycled Paperboard section for more discussion.</w:t>
      </w:r>
    </w:p>
    <w:p>
      <w:pPr>
        <w:spacing w:after="0" w:line="6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gypsum wallboard manufacturing operations use natural gas and electrical power. A significant portion of the Company’s natural gas requirements for our gypsum wallboard plants are currently provided by three gas producers under gas-supply agreements expiring in October 2024 for Colorado and South Carolina, and October 2025 for Oklahoma. If the agreements are not renewed, we anticipate being able to obtain our gas supplies from other suppliers at competitive prices. Electrical power is supplied to our New Mexico plants at standard industrial rates by a local utility. For our Albuquerque plant, we have an interruptible power supply agreement, which may expose it to some production interruptions during periods of power curtailment.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approximately 8% of our production costs in fiscal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Environmental Matters</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gypsum wallboard industry is subject to numerous federal, state, and local laws and regulations pertaining to health, safety, and the environment. Some of these laws, such as the federal CAA and the federal CWA and analogous state laws, impose environmental permitting requirements and govern the nature and amount of emissions that may be generated when conducting particular operations. Some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laws, such as CERCLA and analogous state laws, impose obligations to clean up or remediate spills of hazardous materials into the environment. Other laws require us to reclaim certain land upon completion of extraction and mining operations in our quarries. None of our Gypsum Wallboard operations is the subject of any pending local, state, or federal environmental proceedings. We do not, and have not, used asbestos in any of our gypsum wallboard products.</w:t>
      </w:r>
    </w:p>
    <w:p>
      <w:pPr>
        <w:spacing w:after="0" w:line="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use synthetic gypsum in wallboard manufactured at our Georgetown, South Carolina plant. On April 17, 2015, the EPA published its final rule addressing the storage, reuse, and disposal of coal combustion products, which include fly ash and flue gas desulfurization gypsum (synthetic gypsum). The rule, which applies only to electric utilities and independent power producers, establishes standards for the management of coal combustion residuals (CCRs) under Subtitle D of the RCRA, which is the Subtitle that regulates non-hazardous wastes. The rule imposes requirements addressing CCR surface impoundments and landfills, including location restrictions, design, and operating specifications; groundwater monitoring requirements; corrective action requirements; recordkeeping and reporting obligations; and closure requirements. Beneficial encapsulated uses of CCRs, including synthetic gypsum, are exempt from regulation. The rule became effective on October 19, 2015. Given the EPA’s decision to continue to allow CCR to be used in synthetic gypsum and to regulate CCR under the non-hazardous waste sections of RCRA, we do not expect the rule to materially affect our business, financial condition, and results of operations. The EPA proposed revisions to the final CCR rule in 2018, 2019, 2020 and 2023, none of which sought to overturn the management of CCR as non-hazardous waste or the regulatory exemption for beneficial encapsulated use of CCR. Accordingly, we do not believe that these proposed revisions are likely to have material effects on our business, financial condition, and results of operations.</w:t>
      </w:r>
    </w:p>
    <w:p>
      <w:pPr>
        <w:spacing w:after="0" w:line="75"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As discussed in greater detail in the “Environmental Matters” section for Cement, the EPA in October 2015 strengthened the NAAQS for ozone, which lowered the primary and secondary standards from 75 parts per billion (ppb) to 70 ppb, and on February 7, 2024 the EPA announced its final rule to change the NAAQS for fine particle pollution, also known as fine particulate matter (PM</w:t>
      </w:r>
      <w:r>
        <w:rPr>
          <w:rFonts w:ascii="Arial" w:cs="Arial" w:eastAsia="Arial" w:hAnsi="Arial"/>
          <w:sz w:val="23"/>
          <w:szCs w:val="23"/>
          <w:color w:val="auto"/>
          <w:vertAlign w:val="subscript"/>
        </w:rPr>
        <w:t>2.5</w:t>
      </w:r>
      <w:r>
        <w:rPr>
          <w:rFonts w:ascii="Arial" w:cs="Arial" w:eastAsia="Arial" w:hAnsi="Arial"/>
          <w:sz w:val="17"/>
          <w:szCs w:val="17"/>
          <w:color w:val="auto"/>
        </w:rPr>
        <w:t>) or soot, and related</w:t>
      </w:r>
    </w:p>
    <w:p>
      <w:pPr>
        <w:spacing w:after="0" w:line="3"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color w:val="auto"/>
        </w:rPr>
        <w:t>monitoring requirements. Either of these regulations could have a material impact on our gypsum wallboard business, if areas in or surrounding our operations obtain nonattainment designations, or if the EPA chooses to revise and lower the current ozone NAAQS.</w:t>
      </w:r>
    </w:p>
    <w:p>
      <w:pPr>
        <w:spacing w:after="0" w:line="4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gypsum wallboard manufacturing process combusts natural gas. It is possible that GHG emissions from our manufacturing could become subject to regulation under the CAA as the EPA begins issuing new regulations to achieve President Biden’s GHG emission reduction goals. For a more detailed discussion of this issue, see the “Environmental Matters” section of our Cement business description on pages 13-15.</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Although our Gypsum Wallboard operations could be 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6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There were no capital expenditures related to compliance with environmental regulations applicable to our Gypsum Wallboard operations during fiscal 2024. We anticipate spending $1.3 million during fiscal 2025.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RECYCLED PAPERBOARD</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Recycled Paperboard manufacturing operation, which we refer to as Republic Paperboard Company, is located in Lawton, Oklahoma and has a technologically advanced paper machine designed primarily for gypsum liner production utilizing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We currently estimate the annual capacity of our paper mill to be approximately 390,000 tons.</w:t>
      </w:r>
    </w:p>
    <w:p>
      <w:pPr>
        <w:spacing w:after="0" w:line="7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Our paper machine allows the Paperboard operation to manufacture high-strength gypsum liner that is approximately 10% to 15% lighter in basis weight than what is generally available in the U.S. The low-basis weight product utilizes less recycled fiber to produce paper that, in turn, requires less energy (natural gas) to evaporate moisture from the board during the gypsum wallboard manufacturing process. The low-basis weight paper also reduces the overall finished board weight, providing our Wallboard operations with more competitive transportation costs for both the inbound and outbound segments.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Demand, Sales, and Distribution</w:t>
      </w:r>
    </w:p>
    <w:p>
      <w:pPr>
        <w:spacing w:after="0" w:line="10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manufactured recycled paperboard products are sold to gypsum wallboard manufacturers and other industrial users. During fiscal 2024, approximately 45% of the recycled paperboard sold by our paper mill was consumed by the Company’s Gypsum Wallboard manufacturing operations. We have contracts with two other gypsum wallboard manufacturers that expire in the next two to three years. They represent approximately 50% of our total segment revenue, with most of the remaining volume shipped to other gypsum wallboard manufacturers. The loss of any of these contracts or the termination or reduction of their current production of gypsum wallboard, unless replaced by a commercially similar arrangement, could have a material adverse effect on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Raw Materials and Fuel Supplies</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principal raw materials in recycled paperboard are recycled paper fiber (recovered wastepaper), water, and specialty paper chemicals. The largest wastepaper source used by the operation is old corrugated containers (known as OCC). A blend of high grades (white paper grades consisting of both printed and unprinted papers such as news blank, manifold white ledger, and other paper grades) is used in the gypsum liner facing paper, white top linerboard, and white bag liner grades.</w:t>
      </w:r>
    </w:p>
    <w:p>
      <w:pPr>
        <w:spacing w:after="0" w:line="6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believe that an adequate supply of recycled paper fiber will continue to be available from sources located in reasonable proximity to the paper mill. Although we have the capability to receive rail shipments, the vast majority of the recycled fiber purchased is delivered via truck. Prices are subject to market fluctuations based on generation of material (supply), demand, and the presence of the export market. Fiber pricing, on average, was lower in fiscal 2024 than in fiscal 2023; however, fiber pricing increased during the second half of fiscal 2024, compared with the first half of the year. Fiber prices are subject to change upon short notice due to factors outside of our control. Current gypsum liner customer contracts include price escalators that partially offset and compensate for changes in raw material fiber prices. The chemicals used in the paper-making operation, including size, retention aids, biocides, and sheet strength additives, are available from several manufacturers at competitive prices.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production of recycled paperboard involves the use of a large volume of water. We have an agreement with the City of Lawton municipal services to supply water to our manufacturing facility which expires in January 2025. We are currently negotiating a new contract and will see an increase in water rates upon the expiration of the current contract. Electricity, natural gas, and other utilities are available to us at either contracted rates or standard industrial rates in adequate supplies. These utilities are subject to standard industrial curtailment provisions.</w:t>
      </w:r>
    </w:p>
    <w:p>
      <w:pPr>
        <w:spacing w:after="0" w:line="5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Paperboard operations are generally large consumers of energy, mostly natural gas and electricity. Electricity is supplied to the paper mill by Public Service of Oklahoma (PSO), and they have requested an increase in rates for fiscal 2025. Oklahoma is a regulated state for electricity services, and all rate change requests must be presented to the Oklahoma Corporation Commission for review and approval before implementation. At this time, we are unable to estimate how much of the increase will be granted by the Oklahoma Corporation Commission. This power company has been moving its fuel source dependency to natural gas, and investing in wind energy, which could affect our electricity rates in future years. Natural gas costs in fiscal 2024 were lower than those in fiscal 2023, and they are subject to change upon short notice and due to factors beyond our control. We use forward purchase contracts to manage our exposure to future price changes.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Environmental Matters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There were $7.7 million of capital expenditures related to compliance with environmental regulations applicable to our Recycled Paperboard operations during fiscal 2024. We anticipate spending $11.9 million on a water treatment project during fiscal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WHERE YOU CAN FIND MORE INFORMATION</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w:t>
      </w:r>
      <w:r>
        <w:rPr>
          <w:rFonts w:ascii="Arial" w:cs="Arial" w:eastAsia="Arial" w:hAnsi="Arial"/>
          <w:sz w:val="18"/>
          <w:szCs w:val="18"/>
          <w:i w:val="1"/>
          <w:iCs w:val="1"/>
          <w:color w:val="auto"/>
        </w:rPr>
        <w:t>eaglematerials.com</w:t>
      </w:r>
      <w:r>
        <w:rPr>
          <w:rFonts w:ascii="Arial" w:cs="Arial" w:eastAsia="Arial" w:hAnsi="Arial"/>
          <w:sz w:val="18"/>
          <w:szCs w:val="18"/>
          <w:color w:val="auto"/>
        </w:rPr>
        <w:t xml:space="preserve"> as soon as reasonably practicable after they are filed with or furnished to the Securities and Exchange Commission (SEC).</w:t>
      </w:r>
    </w:p>
    <w:p>
      <w:pPr>
        <w:spacing w:after="0" w:line="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The Company also has a Code of Ethics, Human Rights Policy, Code of Vendor Conduct, and Occupational Health and Safety Policy, which can be accessed on our website, as well. Additionally, our Corporate Governance Guidelines and Stock Ownership Guidelines, as well as the charters for the Audit; Compensation; and Corporate Governance, Nominating and Sustainability Committees of the Board are also available on our website. All of these Corporate Governance and Board Committee Charter documents are available at </w:t>
      </w:r>
      <w:r>
        <w:rPr>
          <w:rFonts w:ascii="Arial" w:cs="Arial" w:eastAsia="Arial" w:hAnsi="Arial"/>
          <w:sz w:val="18"/>
          <w:szCs w:val="18"/>
          <w:i w:val="1"/>
          <w:iCs w:val="1"/>
          <w:color w:val="auto"/>
        </w:rPr>
        <w:t>ir.eaglematerials.com/corporate-governance</w:t>
      </w:r>
      <w:r>
        <w:rPr>
          <w:rFonts w:ascii="Arial" w:cs="Arial" w:eastAsia="Arial" w:hAnsi="Arial"/>
          <w:sz w:val="18"/>
          <w:szCs w:val="18"/>
          <w:color w:val="auto"/>
        </w:rPr>
        <w:t>. Our Sustainability Report is available at</w:t>
      </w:r>
      <w:r>
        <w:rPr>
          <w:rFonts w:ascii="Arial" w:cs="Arial" w:eastAsia="Arial" w:hAnsi="Arial"/>
          <w:sz w:val="18"/>
          <w:szCs w:val="18"/>
          <w:i w:val="1"/>
          <w:iCs w:val="1"/>
          <w:color w:val="auto"/>
        </w:rPr>
        <w:t xml:space="preserve"> eaglematerials.com</w:t>
      </w:r>
      <w:r>
        <w:rPr>
          <w:rFonts w:ascii="Arial" w:cs="Arial" w:eastAsia="Arial" w:hAnsi="Arial"/>
          <w:sz w:val="18"/>
          <w:szCs w:val="18"/>
          <w:color w:val="auto"/>
        </w:rPr>
        <w:t>.</w:t>
      </w:r>
    </w:p>
    <w:p>
      <w:pPr>
        <w:spacing w:after="0" w:line="6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These references to our website are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004483"/>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have affected, or may in the future affect, our business, operations, financial condition and results of operations in a material and adverse manner.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INDUSTRY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are affected by the level of demand in the construction industry.</w:t>
      </w:r>
    </w:p>
    <w:p>
      <w:pPr>
        <w:spacing w:after="0" w:line="9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Demand for our construction products and building materials is directly related to the level of activity in the construction industry, which includes residential, commercial and infrastructure construction. Our products are used in a variety of public infrastructure projects that are funded and financed by federal, state and local governments, including public construction projects to build, expand and repair roads and highways. Our products are also essential to commercial and residential construction.</w:t>
      </w:r>
    </w:p>
    <w:p>
      <w:pPr>
        <w:spacing w:after="0" w:line="6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Although we expect an increase in infrastructure spending by the federal and some state and local governments due to the passage of the Infrastructure Investment and Jobs Act in November 2021, infrastructure spending may be adversely affected by several factors. Under U.S. law, annual funding levels for highways is subject to yearly appropriation reviews. The uncertainties associated with these reviews or other factors could result in states being reluctant to undertake large multi-year highway projects. In general, there can be no assurance as to the amount and timing of appropriations for spending on federal, state or local projects. Any decrease in the amount of government funds available for such projects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strength of the construction industry is also substantially affected by macroeconomic and other factors beyond our control. For example, the recent rises in inflation and interest rates have negatively impacted the construction industry by, among other things, increasing material costs and decreasing demand for some construction products. While we cannot predict the extent to which inflation or rising interest rates will continue or increase, any further increases could result in a reduction in residential or commercial activity, which could have a material adverse effect on our business, financial condition, and results of operations. In addition, demand for our products sold to the residential and commercial construction industries could decline if our customers cannot obtain funding for construction projects or if the costs of obtaining such funding increase, or due to other market factors such as labor shortages and supply chain issues.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business is seasonal in nature, and this causes our quarterly results to vary significantly.</w:t>
      </w:r>
    </w:p>
    <w:p>
      <w:pPr>
        <w:spacing w:after="0" w:line="9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A majority of our business is seasonal with peak revenue and profits occurring primarily in the months of April through November when the weather in our markets tends to be more favorable for construction activity. Quarterly results have varied significantly in the past and are likely to vary significantly in the future. Such variations could have a negative impact on our results of operations and the price of our common stock.</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i w:val="1"/>
          <w:iCs w:val="1"/>
          <w:color w:val="004483"/>
        </w:rPr>
        <w:t>We are subject to the risk of unfavorable weather conditions, as well as other unexpected operational difficulties, and the effect of these conditions and difficulties can be more pronounced during peak construction periods.</w:t>
      </w:r>
    </w:p>
    <w:p>
      <w:pPr>
        <w:spacing w:after="0" w:line="5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Unfavorable weather conditions, such as snow, cold weather, tornadoes, hurricanes, tropical storms, and heavy or sustained rainfall or flooding, can reduce construction activity and adversely affect demand for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 electric power), reduce our production, or impede our ability to transport our products in an efficient and cost-effective manner.</w:t>
      </w:r>
    </w:p>
    <w:p>
      <w:pPr>
        <w:spacing w:after="0" w:line="6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Similarly, operational difficulties, such as those resulting from required maintenance, capital improvement projects, or loss of power, can interrupt our business activities, increase our costs and reduce our production.</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effect of these risks is more pronounced during peak construction periods, such as the months of April through November, during which any reduction in demand or production could have a disproportionately large effect on our sales and operating profits.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and our customers participate in cyclical industries and regional markets, which are subject to industry downturns.</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the availability of credit, changes in interest rates, demographic and population shifts, levels of infrastructure spending, consumer confidence, demands, and preferences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Many of our products are commodities, which are subject to significant changes in supply and demand and price fluctuations.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(including in connection with the increased use of Portland Limestone Cement) or increases in cement imports tend to create an oversupply of such products leading to an imbalance between supply and demand, which can have a negative impact on product prices. Currently, there 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69"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i w:val="1"/>
          <w:iCs w:val="1"/>
          <w:color w:val="004483"/>
        </w:rPr>
        <w:t>Our businesses operate in highly competitive industries, and we face many competitors, some of which have more resources than our company.</w:t>
      </w:r>
    </w:p>
    <w:p>
      <w:pPr>
        <w:spacing w:after="0" w:line="5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Our businesses have many domestic and international competitors, some of which are bigger and have more resources than we do. Our results of operations in a particular market are affected by the number of competitors in a market, the production capacity that such market can accommodate, the pricing practices of other competitors and the entry of new competitors in a market. We also face competition for some of our products from alternative products, new product technologies, modified production and distribution processes and alternative business models. For example, in the case of alternative products and new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product technologies, efforts are underway by our existing competitors and new entrants to, among other things, increase the usage of cement substitutes (including silicate minerals and calcinated clay) in the production of cement. Our Concrete and Aggregates segment competes with recycled concrete products that can be used in certain applications instead of new products and our cement operations compete with international competitors who import products into the United States from jurisdictions with lower production and regulatory costs. In general, we operate in a competitive market and any significant increase in competition or unfavorable change in competitive circumstances could lead to lower prices or lower sales volumes, which could adversely affect our business,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ECONOMIC, POLITICAL, AND LEGAL RISK FACTORS</w:t>
      </w:r>
    </w:p>
    <w:p>
      <w:pPr>
        <w:spacing w:after="0" w:line="96"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i w:val="1"/>
          <w:iCs w:val="1"/>
          <w:color w:val="004483"/>
        </w:rPr>
        <w:t>A pandemic, epidemic, or other public health emergency, or governmental measures in reaction thereto, could have a material adverse effect on our business, results of operations, financial condition, and cash flows.</w:t>
      </w:r>
    </w:p>
    <w:p>
      <w:pPr>
        <w:spacing w:after="0" w:line="5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operations expose us to risks associated with pandemics, epidemics or other public health emergencies. For example, the outbreak of the COVID-19 pandemic disrupted global trade, commerce, financial and credit markets, and daily life throughout the world. The pandemic resulted in governments in the United States and elsewhere in the world implementing or reimplementing strict measures to help control the spread of the virus, including quarantines, “shelter in place” and “stay at home” orders, travel restrictions, business curtailments, school closures, and other measures. Any future public health emergency could negatively impact our business in a number of ways, including the health of our employees and employee productivity, the availability and pricing of fuel and raw materials, our ability to fulfill customer contracts, and the availability of our transportation and distribution networks. For example, if one or more of our facilities become subject to closure in connection with a public health emergency, our business as a whole could be materially affected.</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general, the impact of a pandemic, epidemic or other public health emergency could have a material adverse effect on our business, results of operations, financial condition or cash flows. The negative impact of a pandemic, epidemic or other public health emergency could also impact our customers in similar ways, causing customers to postpone projects, cancel or delay orders, curtail operations or file for bankruptcy protection. The extent to which a pandemic, epidemic, or other public health emergency could impact our business will depend on numerous factors that we are not able to accurately predict.</w:t>
      </w:r>
    </w:p>
    <w:p>
      <w:pPr>
        <w:spacing w:after="0" w:line="6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i w:val="1"/>
          <w:iCs w:val="1"/>
          <w:color w:val="004483"/>
        </w:rPr>
        <w:t>Our and our customers’ operations are subject to extensive governmental regulation, including environmental, health, and safety laws, which can be costly and burdensome.</w:t>
      </w:r>
    </w:p>
    <w:p>
      <w:pPr>
        <w:spacing w:after="0" w:line="5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operations and those of our customers are subject to and affected by federal, state, and local laws and regulations with respect to a wide range of matters, including land usage, street and highway usage, noise level, as well as environmental, health and safety matters. In many instances, various certificates, permits, or licenses are required in order for us or our customers to conduct business or carry out construction and related operations. Although we believe that we are in compliance in all material respects with applicable regulatory requirements, there can be no assurance that we will not incur material costs or liabilities in seeking to comply with existing or new laws or regulations, or that demand for our products will not be adversely affected by regulatory issues affecting our customers.</w:t>
      </w:r>
    </w:p>
    <w:p>
      <w:pPr>
        <w:spacing w:after="0" w:line="71"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Certain of our waste-burning cement kilns are subject to the CISWI Rule, which is discussed above in “Environmental Matters” in the Cement section. In addition, some of the states in which we operate contain at least one “area” that was designated as being in nonattainment for the 2015 ozone NAAQS or had adopted a SIP to address their interstate transportation obligations, which was disapproved by the EPA, and is or will be subject to a FIP finalized by the EPA imposing stricter standards and more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burdensome obligations. We may be required to meet new control requirements in our facilities in these states requiring significant capital expenditures for compliance and may incur additional operating costs or need to modify or curtail the nature and scope of our operations at such facilities to meet our regulatory obligations. Further, in February 2024, the EPA announced its final rule lowering the primary (health-based) standard for fine particle matter, which may have a similar impact on us. For further information regarding these matters, please refer to Item 1. Business - Industry Segment Information. We have incurred, and in the future expect to incur, significant capital and operating expenditures to comply with such laws and regulations. The cost of complying with such laws and regulations could significantly affect our businesses.</w:t>
      </w:r>
    </w:p>
    <w:p>
      <w:pPr>
        <w:spacing w:after="0" w:line="77"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Manufacturing and construction sites are inherently dangerous workplaces. Our manufacturing sites often put our employees and others in proximity to kilns and other large pieces of mechanized equipment, moving vehicles, chemical and manufacturing processes and exposes them to other potential safety hazards. We endeavor to maintain a safe work environment at all our facilities and take steps to ensure the health and safety of our workforce. There can be no assurance, however, that these measures will be successful in preventing injuries or violations of health and safety laws and regulations. Any failure to maintain safe work sites or violations of applicable health and safety standards and laws could have a material adverse effect on our business.</w:t>
      </w:r>
    </w:p>
    <w:p>
      <w:pPr>
        <w:spacing w:after="0" w:line="7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In addition to the existing regulatory risks we face,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business, financial condition or results of operations.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004483"/>
        </w:rPr>
        <w:t>Climate change and climate change legislation or regulations may adversely affect our business, including potential physical and financial impacts.</w:t>
      </w:r>
    </w:p>
    <w:p>
      <w:pPr>
        <w:spacing w:after="0" w:line="5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effects of climate change and legislation and regulation concerning GHGs could have a material adverse effect on our financial condition, results of operations, and liquidity. 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addressing GHG emissions would likely have a negative impact on our business or results of operations, whether through the imposition of raw material or production limitations, fuel-use, or carbon taxes, emission limitations or reductions, or otherwise. Notably, curbing GHG emissions and tackling climate change is a clear priority for President Biden’s administration.</w:t>
      </w:r>
    </w:p>
    <w:p>
      <w:pPr>
        <w:spacing w:after="0" w:line="7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Any additional regulatory restrictions on emissions of GHGs imposed by the EPA will likely impact our cement plants and wallboard plants, each of which currently file annual reports of GHG emissions as required by the EPA’s Greenhouse Gas Reporting Program rule. However, at the present time it is not possible to estimate the cost of any such future requirements. In addition, we may not be able to recover any increased operating costs, taxes or capital investments relating to GHG emission limitations at those plants from our customers while still maintaining pricing that is competitive in the relevant markets.</w:t>
      </w:r>
    </w:p>
    <w:p>
      <w:pPr>
        <w:spacing w:after="0" w:line="6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effects of future climate change legislation and regulation concerning GHGs are highly uncertain and difficult to estimate. However, because a chemical reaction inherent to the manufacture of portland cement releases carbon dioxide, a GHG, cement kiln operations may be disproportionately affected by future regulation of GHGs. Our cement plants, like those of other cement operators, require combustion of significant amounts of fuel to generate high kiln temperatures and create carbon dioxide as a product of the calcination process, which is an unavoidable step in making cement clinker. Accordingly, we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continue to closely monitor GHG regulations and legislation for potential impact on our Cement business. There is also a potential for climate change legislation and regulation to adversely affect the cost of purchased energy and electricity.</w:t>
      </w:r>
    </w:p>
    <w:p>
      <w:pPr>
        <w:spacing w:after="0" w:line="4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Other potential effects of climate change include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 financial condition and results of operations.</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may communicate certain initiatives and goals regarding GHGs and related matters in our SEC filings or in other public disclosures. On March 6, 2024, the SEC adopted new rules regarding climate-related disclosures. While currently being challenged in legal proceedings, these rules would require public companies to make a wide range of climate-related disclosures. Our initiatives and goals regarding GHGs and the related disclosure requirements, together with the associated controls and procedures that we will need to implement, may be difficult and expensive and we could be criticized for the scope, accuracy, adequacy or completeness of the disclosure we provide. Further, to the extent we elect to make statements about our GHG-related initiatives and goals, and progress towards these goals, these statements may be based on standards for measuring progress that are still developing, internal controls and processes that continue to evolve, and assumptions that are subject to change in the future. If our GHG-related data, processes and reporting are inaccurate or incomplete, or if we fail to achieve progress with respect to these goals or initiatives on a timely basis or at all, we could be subject to liability for inaccurate, incomplete, or misleading statements, and our operations and financial performance could be adversely affected.</w:t>
      </w:r>
    </w:p>
    <w:p>
      <w:pPr>
        <w:spacing w:after="0" w:line="6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i w:val="1"/>
          <w:iCs w:val="1"/>
          <w:color w:val="004483"/>
        </w:rPr>
        <w:t>Increasing regulatory, stakeholder, and societal environmental, social, governance, and other sustainability (ESG) matters and our response to these matters could negatively affect our business.</w:t>
      </w:r>
    </w:p>
    <w:p>
      <w:pPr>
        <w:spacing w:after="0" w:line="5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are subject to increasing governmental, stakeholder, and societal attention to ESG matters, including, climate change, air emissions, waste management, water management, community engagement, human rights, labor, health and safety, and information disclosure. Such attention may alter the environment in which we do business and may increase the ongoing costs of compliance, assessment, and reporting and adversely impact our financial condition, results of operations, and liquidity. We communicate certain initiatives and goals, regarding ESG-related matters in our SEC filings or in other public disclosures. Statements about our ESG-related initiatives and goals, and progress against these goals, may be based on standards for measuring progress that are still developing, internal controls and processes that continue to evolve, and assumptions that are subject to change in the future. Non-compliance with, or a failure to address, the regulatory, stakeholder, and societal expectations and accompanying emerging ESG regulation and policy requirements (and related interpretations) may result in potential cost increases, fines, penalties, production restrictions, brand or reputational damage, loss of customers, failure to retain and attract talent, and investor activism.</w:t>
      </w:r>
    </w:p>
    <w:p>
      <w:pPr>
        <w:spacing w:after="0" w:line="69"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i w:val="1"/>
          <w:iCs w:val="1"/>
          <w:color w:val="004483"/>
        </w:rPr>
        <w:t>We may become subject to significant cleanup, remediation, reclamation, and other liabilities under applicable environmental laws.</w:t>
      </w:r>
    </w:p>
    <w:p>
      <w:pPr>
        <w:spacing w:after="0" w:line="5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Our operations are subject to state, federal, and local environmental laws and regulations, which, in some cases, impose strict liability for cleanup or remediation of environmental pollution and hazardous waste regardless of negligence or fault and expose us to liability for the conduct of others or for our actions, even if such actions complied with all applicable laws at the time these actions were taken. These laws and regulations also require pollution control and prevention, site restoration, reclamation, and operating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permits, and/or approvals to conduct certain of our operations or expand or modify our facilities. These laws and regulations may also expose us to liability for claims of personal injury or property or natural resources damage related to alleged exposure to, or releases of, regulated or hazardous materials.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74" w:lineRule="exact"/>
        <w:rPr>
          <w:sz w:val="20"/>
          <w:szCs w:val="20"/>
          <w:color w:val="auto"/>
        </w:rPr>
      </w:pPr>
    </w:p>
    <w:p>
      <w:pPr>
        <w:ind w:right="700"/>
        <w:spacing w:after="0" w:line="257" w:lineRule="auto"/>
        <w:rPr>
          <w:sz w:val="20"/>
          <w:szCs w:val="20"/>
          <w:color w:val="auto"/>
        </w:rPr>
      </w:pPr>
      <w:r>
        <w:rPr>
          <w:rFonts w:ascii="Arial" w:cs="Arial" w:eastAsia="Arial" w:hAnsi="Arial"/>
          <w:sz w:val="20"/>
          <w:szCs w:val="20"/>
          <w:i w:val="1"/>
          <w:iCs w:val="1"/>
          <w:color w:val="004483"/>
        </w:rPr>
        <w:t>Our operations are dependent on our rights and ability to mine our properties and on our having renewed or received the required permits and approvals from governmental authorities and other third parties.</w:t>
      </w:r>
    </w:p>
    <w:p>
      <w:pPr>
        <w:spacing w:after="0" w:line="5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6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68"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In some instances, we have received access rights or easements from third parties, which allow for a more efficient operation than would exist without the access or easement. A third party could take action to suspend such access or easement, and any such action could be materially adverse to our results of operations or financial conditions.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may incur significant costs in connection with pending and future litigation.</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require the payment of damages that are material in amount or require changes to the nature and scope of our operations. Developments in these proceedings can lead to changes in management’s estimates of liabilities associated with these proceedings, including as a result of rulings or judgments by a judge, agency, or arbitrator, settlements, or changes in applicable law. A future adverse ruling, settlement, or unfavorable development could have a material adverse effect on our results of operations and cash flows in a particular period. In addition, the defense of these lawsuits, claims, investigations, and proceedings may divert our management’s attention from operating and managing our businesses, and we may incur significant costs in defending these matters.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2"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i w:val="1"/>
          <w:iCs w:val="1"/>
          <w:color w:val="004483"/>
        </w:rPr>
        <w:t>Although we maintain insurance coverage against various risk, this coverage may not be adequate or protect us against the relevant risks.</w:t>
      </w:r>
    </w:p>
    <w:p>
      <w:pPr>
        <w:spacing w:after="0" w:line="5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maintain insurance coverage in amounts and against insurable risks that we believe are consistent with industry practice, but this insurance may not be adequate to cover all losses or liabilities we may incur in our operations. Our insurance policies are subject to a number or exclusions and varying levels of deductibles and coverage limits. In general, liabilities subject to insurance are difficult to estimate due to unknown factors, including the severity of an injury, the determination of our liability in proportion to other parties, the number of incidents not reported and the effectiveness of our safety programs. If we were to experience insurance claims or costs above our estimates, our financial condition, results of operations and liquidity could be materially and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RISK FACTORS RELATED TO OUR GOVERNING DOCUMENTS</w:t>
      </w:r>
    </w:p>
    <w:p>
      <w:pPr>
        <w:spacing w:after="0" w:line="101"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i w:val="1"/>
          <w:iCs w:val="1"/>
          <w:color w:val="004483"/>
        </w:rPr>
        <w:t>Certain provisions in our restated certificate of incorporation and bylaws may prevent or delay an acquisition of our company, which could decrease the trading price of the common stock.</w:t>
      </w:r>
    </w:p>
    <w:p>
      <w:pPr>
        <w:spacing w:after="0" w:line="5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certificate of incorporation and bylaws contain provisions that are intended to deter coercive takeover practices and inadequate takeover bids by making such practices or bids unacceptably expensive to the bidder and to encourage prospective acquirers to negotiate with our Board rather than to attempt a hostile takeover. For example, under our certificate of incorporation, our Board are divided into three classes based on their term of office, with directors in each class holding office for staggered three-year terms. In addition, our certificate of incorporation or bylaws prohibit stockholder action by written consent, limit the ability of our stockholders to call special meetings, establish advance notice procedures for stockholder proposals and nominations for election of directors and allow our Board to issue blank check preferred stock with voting or conversion rights without stockholder approval. In general, we believe that these provisions will help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prevent an acquisition that our Board determines is not in the best interests of our company and its stockholders.</w:t>
      </w:r>
    </w:p>
    <w:p>
      <w:pPr>
        <w:spacing w:after="0" w:line="75"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i w:val="1"/>
          <w:iCs w:val="1"/>
          <w:color w:val="004483"/>
        </w:rPr>
        <w:t>Our bylaws include a forum selection clause, which could limit our stockholders’ ability to obtain a favorable judicial forum for disputes with us.</w:t>
      </w:r>
    </w:p>
    <w:p>
      <w:pPr>
        <w:spacing w:after="0" w:line="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(iv) any action asserting a claim arising pursuant to any provision of the DGCL, or (v) any action asserting a claim governed by the internal affairs doctrine, will be a state or federal court located within the State of Delaware in all cases subject to the court’s having personal jurisdiction over the indispensable parties named as defendants. In addition, our bylaws provide that, unless we consent in writing to selection of an alternative forum, the sole and exclusive forum for any action asserting a claim arising under the Securities Act of 1933, as amended (the Securities Act), will be a federal district court. Any person or entity purchasing or otherwise acquiring any interest in shares of our capital stock is deemed to have notice of and consented to the foregoing provisions. This forum selection provision in our bylaws may limit our stockholders’ ability to pursue claims in a judicial forum of their choosing for disputes with us or our directors, officers, or employees. It is also possible that, notwithstanding the forum selection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clause included in our bylaws, a court could rule in specific circumstances that such a provision is inapplicable or unenforceable, which could require that we defend claims in other forums.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CYBER RISK FACTORS</w:t>
      </w:r>
    </w:p>
    <w:p>
      <w:pPr>
        <w:spacing w:after="0" w:line="96" w:lineRule="exact"/>
        <w:rPr>
          <w:sz w:val="20"/>
          <w:szCs w:val="20"/>
          <w:color w:val="auto"/>
        </w:rPr>
      </w:pPr>
    </w:p>
    <w:p>
      <w:pPr>
        <w:ind w:right="700"/>
        <w:spacing w:after="0" w:line="257" w:lineRule="auto"/>
        <w:rPr>
          <w:sz w:val="20"/>
          <w:szCs w:val="20"/>
          <w:color w:val="auto"/>
        </w:rPr>
      </w:pPr>
      <w:r>
        <w:rPr>
          <w:rFonts w:ascii="Arial" w:cs="Arial" w:eastAsia="Arial" w:hAnsi="Arial"/>
          <w:sz w:val="20"/>
          <w:szCs w:val="20"/>
          <w:i w:val="1"/>
          <w:iCs w:val="1"/>
          <w:color w:val="004483"/>
        </w:rPr>
        <w:t>We are dependent on information technology. A disruption, cyber-attack or data security breach affecting our information technology systems may negatively affect our businesses, financial condition, and operating results.</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operations rely on information technology systems and the secure processing, storage, and transmission of confidential, sensitive, proprietary, and other types of information relating to our business operations. We also rely on confidential and sensitive information about our customers and employees, which is maintained both in our computer systems and networks, and in the computer systems and networks of our third-party vendors. Any significant breakdown, invasion, destruction, outage, disruption or interruption of our systems could negatively affect operations. Cyber threats are rapidly evolving as data thieves and hackers have become increasingly sophisticated and carry out direct large-scale, complex automated attacks against a company or through vendor software supply chain compromises. We are not able to anticipate or prevent all such breakdowns, invasions, destructions, outages, disruptions, interruptions, and attacks and could be held liable for any resulting material security breach or data loss. Additionally, it is not always possible to foresee or prevent internal issues, such as human error, or malicious acts or misconduct by employees or third-party vendors. There are also significant risks related to the use of remote networking services and technologies that enable remote work.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Any breaches of our technology systems, or those of our vendors and customers, whether from circumvention of security systems, denial-of-service attacks or other cyber-attacks, hacking, “phishing”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or such vendors’ and customers’ websites, applications, data processing and certain products and services, or disruption of other business operations. Furthermore, any such breaches could compromise the confidentiality and integrity of material information held by us (including information about our business, employees, or customers), as well as sensitive personally identifiable information, the disclosure of which could lead to identity theft. Any measures that we take to avoid, detect, mitigate or recover from material incidents, may be insufficient, circumvented, or may become ineffective.</w:t>
      </w:r>
    </w:p>
    <w:p>
      <w:pPr>
        <w:spacing w:after="0" w:line="7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invested and continue to invest in risk management and information security and data privacy measures in order to protect our systems and data, including employee training, organizational investments, incident response plans, tabletop exercises and technical defenses. The cost and operational consequences of implementing, maintaining, and enhancing further data or system safeguards could increase significantly to keep pace with increasingly frequent, complex, and sophisticated global cyber threats. Although we believe we have taken adequate measures to protect against data breaches and system disruptions, we are not able to anticipate or prevent all such risks. Any material breaches of cybersecurity, including the accidental loss, inadvertent disclosure or unapproved dissemination of proprietary information or sensitive or confidential data, or media reports of perceived security vulnerabilities to our systems, products, and services or those of our third parties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 The report, rumor, or assumption regarding a potential breach may have similar results, even if no breach has been attempted or occurred. Any of the foregoing may have a material adverse effect on our business, operating results, and financial condition. In addition, laws and regulations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governing cybersecurity, data privacy and protection, and the unauthorized disclosure of confidential or protected information pose increasingly complex compliance challenges and potentially elevate costs, and any failure to comply with these laws and regulations could result in significant penalties and legal liability.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FINANCIAL AND OPERATIONAL RISK FACTORS</w:t>
      </w:r>
    </w:p>
    <w:p>
      <w:pPr>
        <w:spacing w:after="0" w:line="96" w:lineRule="exact"/>
        <w:rPr>
          <w:sz w:val="20"/>
          <w:szCs w:val="20"/>
          <w:color w:val="auto"/>
        </w:rPr>
      </w:pPr>
    </w:p>
    <w:p>
      <w:pPr>
        <w:ind w:right="800"/>
        <w:spacing w:after="0" w:line="257" w:lineRule="auto"/>
        <w:rPr>
          <w:sz w:val="20"/>
          <w:szCs w:val="20"/>
          <w:color w:val="auto"/>
        </w:rPr>
      </w:pPr>
      <w:r>
        <w:rPr>
          <w:rFonts w:ascii="Arial" w:cs="Arial" w:eastAsia="Arial" w:hAnsi="Arial"/>
          <w:sz w:val="20"/>
          <w:szCs w:val="20"/>
          <w:i w:val="1"/>
          <w:iCs w:val="1"/>
          <w:color w:val="004483"/>
        </w:rPr>
        <w:t>Our Cement business is capital-intensive, resulting in significant fixed and semi-fixed costs. Therefore, our earnings are sensitive to changes in volume.</w:t>
      </w:r>
    </w:p>
    <w:p>
      <w:pPr>
        <w:spacing w:after="0" w:line="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the maintenance, growth, and expansion of our business. We believe that our current cash balance, along with our projected internal cash flows and our available financing resources will provide sufficient cash to support our currently anticipated operating and capital needs. However, if we are unable to generate sufficient cash to purchase and maintain the property and machinery necessary to operate our Cement business, we may be required to reduce or delay planned capital expenditures or incur additional debt.</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i w:val="1"/>
          <w:iCs w:val="1"/>
          <w:color w:val="004483"/>
        </w:rPr>
        <w:t>Any material nonpayment or nonperformance by any of our key customers could have a material adverse effect on our business and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 material nonpayment or nonperformance by any of our key customers could have a material adverse effect on our revenue and cash flows. Although our contracts with our customers provide for certain remedies in the event a customer fails to purchase the minimum contracted amount of product in a given period, we may be unable to enforce payment or performance obligations in a timely manner or at all or recover the entire amount we anticipated receiving under such contract.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to allow us to preserve the relationship with that customer.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Consolidation of our customers could adversely affect our results of operations.</w:t>
      </w:r>
    </w:p>
    <w:p>
      <w:pPr>
        <w:spacing w:after="0" w:line="9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Over the past few years, many of our customers have undergone consolidation due to being acquired by, or acquiring, another company with similar operations. Consolidation of our customers could result in the loss of a customer or a portion of their business, in addition to an increased reliance on certain key customers. Future consolidation of our customers and their increased purchasing power could result in our customers seeking more favorable terms, including pricing, which may limit our ability to maintain pricing or raise pricing in the future. Any future consolidation of our customers could negatively impact our operating margin, results of operations, and cash flow.</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Volatility and disruption of financial markets could affect access to credit.</w:t>
      </w:r>
    </w:p>
    <w:p>
      <w:pPr>
        <w:spacing w:after="0" w:line="9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Instability in the global economy or negative conditions in the credit markets that limit or impair our access to credit may adversely affect our business. In general, we often rely upon banks and, in some cases, the capital markets to fund our growth strategy. Any downgrades in our credit ratings may make raising capital more difficult, increase the cost and affect the terms of future borrowings and limit our ability to take advantage of potential business opportunities. If we are unable to secure financing on acceptable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terms, our other sources of funds, including available cash and cash flow from operations, may not be adequate to fund our operations and contractual commitments and refinance existing debt.</w:t>
      </w:r>
    </w:p>
    <w:p>
      <w:pPr>
        <w:spacing w:after="0" w:line="4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are also exposed to risks associated with the creditworthiness of our customers and suppliers.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 and our suppliers, which could negatively impact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results of operations are subject to significant changes in the cost and availability of fuel, energy, and other raw materials.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further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 Significant price fluctuations also have the potential to give rise to disputes with contractual counterparties, which can be complex and difficult to resolve. In the event of large or rapid increases in prices, we may not be able to pass the increases through to our customers in full, which would reduce our operating margin.</w:t>
      </w:r>
    </w:p>
    <w:p>
      <w:pPr>
        <w:spacing w:after="0" w:line="75"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i w:val="1"/>
          <w:iCs w:val="1"/>
          <w:color w:val="004483"/>
        </w:rPr>
        <w:t>Changes in the cost or availability of raw materials supplied by third parties may adversely affect our operating and financial performance.</w:t>
      </w:r>
    </w:p>
    <w:p>
      <w:pPr>
        <w:spacing w:after="0" w:line="5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generally maintain our own reserves of limestone, gypsum, aggregates, and other materials that we use to manufacture our products. Our ability to find and develop quality reserves and accurately calculate and report our reserve estimates depend upon geological interpretation and statistical inferences or assumptions drawn from drilling and sampling analysis, which are subject to inherent uncertainties. If any of these estimates proved to be inaccurate, our operations and financial condition could be adversely impacted.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also obtain certain raw materials used to manufacture our products, such as synthetic gypsum and slag granules, from third parties who produce such materials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 Should our existing suppliers cease operations or reduce or eliminate production of these by-products, our costs to procure these materials may increase significantly, or we may be obliged to procure alternatives to replace these materials, which may not be available on commercially reasonable terms or at all. Any such developments may adversely affect our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production facilities may experience unexpected equipment failures, catastrophic events, and scheduled maintenance.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processes are complex and dependent upon critical pieces of equipment and effective maintenance programs. Such equipment may, on occasion, be out of service as a result of unanticipated events such as fires, explosions, violent weather conditions, or unexpected operational difficulties. We also have periodically scheduled shut-downs to perform maintenance on our facilities. We consume significant amounts of energy in our production process, and the availability and pricing of these resources are subject to market forces.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72" w:lineRule="exact"/>
        <w:rPr>
          <w:sz w:val="20"/>
          <w:szCs w:val="20"/>
          <w:color w:val="auto"/>
        </w:rPr>
      </w:pPr>
    </w:p>
    <w:p>
      <w:pPr>
        <w:jc w:val="both"/>
        <w:ind w:right="480"/>
        <w:spacing w:after="0" w:line="247" w:lineRule="auto"/>
        <w:rPr>
          <w:sz w:val="20"/>
          <w:szCs w:val="20"/>
          <w:color w:val="auto"/>
        </w:rPr>
      </w:pPr>
      <w:r>
        <w:rPr>
          <w:rFonts w:ascii="Arial" w:cs="Arial" w:eastAsia="Arial" w:hAnsi="Arial"/>
          <w:sz w:val="18"/>
          <w:szCs w:val="18"/>
          <w:color w:val="auto"/>
        </w:rPr>
        <w:t>Mining for raw materials involves risks such as pit wall failures, pillar or ceiling collapse, flooding and seismic events related to geologic conditions and our mining activities. Any ground control event could lead to serious injuries, loss of life, equipment damage, production delays or cessation and increased operating costs which could have a material adverse effect on our results of operations and financial condition.</w:t>
      </w:r>
    </w:p>
    <w:p>
      <w:pPr>
        <w:spacing w:after="0" w:line="63"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i w:val="1"/>
          <w:iCs w:val="1"/>
          <w:color w:val="004483"/>
        </w:rPr>
        <w:t>Significant changes in the cost and availability of transportation could adversely affect our business, financial condition, and results of operations.</w:t>
      </w:r>
    </w:p>
    <w:p>
      <w:pPr>
        <w:spacing w:after="0" w:line="5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69"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i w:val="1"/>
          <w:iCs w:val="1"/>
          <w:color w:val="004483"/>
        </w:rPr>
        <w:t>Our debt agreements contain restrictive covenants and require us to meet certain financial ratios and tests, which limit our flexibility and could give rise to a default if we are unable to remain in compliance.</w:t>
      </w:r>
    </w:p>
    <w:p>
      <w:pPr>
        <w:spacing w:after="0" w:line="5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outstanding debt agreements contain, among other things, covenants that limit our ability to finance future operations or capital needs or to engage in other business activities, including but not limited to our ability to:</w:t>
      </w:r>
    </w:p>
    <w:p>
      <w:pPr>
        <w:ind w:left="240" w:hanging="232"/>
        <w:spacing w:after="0"/>
        <w:tabs>
          <w:tab w:leader="none" w:pos="240" w:val="left"/>
        </w:tabs>
        <w:numPr>
          <w:ilvl w:val="0"/>
          <w:numId w:val="15"/>
        </w:numPr>
        <w:rPr>
          <w:rFonts w:ascii="Times New Roman" w:cs="Times New Roman" w:eastAsia="Times New Roman" w:hAnsi="Times New Roman"/>
          <w:sz w:val="18"/>
          <w:szCs w:val="18"/>
          <w:color w:val="004483"/>
        </w:rPr>
      </w:pPr>
      <w:r>
        <w:rPr>
          <w:rFonts w:ascii="Arial" w:cs="Arial" w:eastAsia="Arial" w:hAnsi="Arial"/>
          <w:sz w:val="18"/>
          <w:szCs w:val="18"/>
          <w:color w:val="auto"/>
        </w:rPr>
        <w:t>permit our consolidated subsidiaries to incur indebtedness;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004483"/>
        </w:rPr>
      </w:pPr>
      <w:r>
        <w:rPr>
          <w:rFonts w:ascii="Arial" w:cs="Arial" w:eastAsia="Arial" w:hAnsi="Arial"/>
          <w:sz w:val="18"/>
          <w:szCs w:val="18"/>
          <w:color w:val="auto"/>
        </w:rPr>
        <w:t>sell, transfer, lease, or otherwise dispose of all substantially all of the assets of the Company and its consolidated subsidiaries;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004483"/>
        </w:rPr>
      </w:pPr>
      <w:r>
        <w:rPr>
          <w:rFonts w:ascii="Arial" w:cs="Arial" w:eastAsia="Arial" w:hAnsi="Arial"/>
          <w:sz w:val="18"/>
          <w:szCs w:val="18"/>
          <w:color w:val="auto"/>
        </w:rPr>
        <w:t>create liens;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004483"/>
        </w:rPr>
      </w:pPr>
      <w:r>
        <w:rPr>
          <w:rFonts w:ascii="Arial" w:cs="Arial" w:eastAsia="Arial" w:hAnsi="Arial"/>
          <w:sz w:val="18"/>
          <w:szCs w:val="18"/>
          <w:color w:val="auto"/>
        </w:rPr>
        <w:t>consolidate or merge with or into another person;</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004483"/>
        </w:rPr>
      </w:pPr>
      <w:r>
        <w:rPr>
          <w:rFonts w:ascii="Arial" w:cs="Arial" w:eastAsia="Arial" w:hAnsi="Arial"/>
          <w:sz w:val="18"/>
          <w:szCs w:val="18"/>
          <w:color w:val="auto"/>
        </w:rPr>
        <w:t>enter into transactions with our affiliates; and</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004483"/>
        </w:rPr>
      </w:pPr>
      <w:r>
        <w:rPr>
          <w:rFonts w:ascii="Arial" w:cs="Arial" w:eastAsia="Arial" w:hAnsi="Arial"/>
          <w:sz w:val="18"/>
          <w:szCs w:val="18"/>
          <w:color w:val="auto"/>
        </w:rPr>
        <w:t>enter into sale/leaseback transactions.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 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i w:val="1"/>
          <w:iCs w:val="1"/>
          <w:color w:val="004483"/>
        </w:rPr>
        <w:t>We have incurred or may incur substantial indebtedness, which could adversely affect our business, limit our ability to plan for or respond to changes in our business, and reduce our profitability.</w:t>
      </w:r>
    </w:p>
    <w:p>
      <w:pPr>
        <w:spacing w:after="0" w:line="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past, we have incurred significant indebtedness in connection with acquisition transactions or otherwise to fund the growth and development of our business. As of March 31, 2024, we had $1,102.5 million of debt outstanding.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1" w:lineRule="exact"/>
        <w:rPr>
          <w:sz w:val="20"/>
          <w:szCs w:val="20"/>
          <w:color w:val="auto"/>
        </w:rPr>
      </w:pPr>
    </w:p>
    <w:p>
      <w:pPr>
        <w:ind w:left="240" w:right="420" w:hanging="232"/>
        <w:spacing w:after="0" w:line="234" w:lineRule="auto"/>
        <w:tabs>
          <w:tab w:leader="none" w:pos="240" w:val="left"/>
        </w:tabs>
        <w:numPr>
          <w:ilvl w:val="0"/>
          <w:numId w:val="16"/>
        </w:numPr>
        <w:rPr>
          <w:rFonts w:ascii="Times New Roman" w:cs="Times New Roman" w:eastAsia="Times New Roman" w:hAnsi="Times New Roman"/>
          <w:sz w:val="18"/>
          <w:szCs w:val="18"/>
          <w:color w:val="004483"/>
        </w:rPr>
      </w:pPr>
      <w:r>
        <w:rPr>
          <w:rFonts w:ascii="Arial" w:cs="Arial" w:eastAsia="Arial" w:hAnsi="Arial"/>
          <w:sz w:val="18"/>
          <w:szCs w:val="18"/>
          <w:color w:val="auto"/>
        </w:rPr>
        <w:t>we may be required to dedicate a substantial portion of our cash flows from operations to payments on our indebtedness, thereby reducing the availability of our cash flow for other purposes, including business development efforts, capital expenditures, or strategic acquisitions;</w:t>
      </w:r>
    </w:p>
    <w:p>
      <w:pPr>
        <w:spacing w:after="0" w:line="1" w:lineRule="exact"/>
        <w:rPr>
          <w:rFonts w:ascii="Times New Roman" w:cs="Times New Roman" w:eastAsia="Times New Roman" w:hAnsi="Times New Roman"/>
          <w:sz w:val="18"/>
          <w:szCs w:val="18"/>
          <w:color w:val="004483"/>
        </w:rPr>
      </w:pPr>
    </w:p>
    <w:p>
      <w:pPr>
        <w:ind w:left="240" w:right="140" w:hanging="232"/>
        <w:spacing w:after="0" w:line="234" w:lineRule="auto"/>
        <w:tabs>
          <w:tab w:leader="none" w:pos="240" w:val="left"/>
        </w:tabs>
        <w:numPr>
          <w:ilvl w:val="0"/>
          <w:numId w:val="16"/>
        </w:numPr>
        <w:rPr>
          <w:rFonts w:ascii="Times New Roman" w:cs="Times New Roman" w:eastAsia="Times New Roman" w:hAnsi="Times New Roman"/>
          <w:sz w:val="18"/>
          <w:szCs w:val="18"/>
          <w:color w:val="004483"/>
        </w:rPr>
      </w:pPr>
      <w:r>
        <w:rPr>
          <w:rFonts w:ascii="Arial" w:cs="Arial" w:eastAsia="Arial" w:hAnsi="Arial"/>
          <w:sz w:val="18"/>
          <w:szCs w:val="18"/>
          <w:color w:val="auto"/>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spacing w:after="0" w:line="1" w:lineRule="exact"/>
        <w:rPr>
          <w:rFonts w:ascii="Times New Roman" w:cs="Times New Roman" w:eastAsia="Times New Roman" w:hAnsi="Times New Roman"/>
          <w:sz w:val="18"/>
          <w:szCs w:val="18"/>
          <w:color w:val="004483"/>
        </w:rPr>
      </w:pPr>
    </w:p>
    <w:p>
      <w:pPr>
        <w:ind w:left="240" w:right="140" w:hanging="232"/>
        <w:spacing w:after="0" w:line="234" w:lineRule="auto"/>
        <w:tabs>
          <w:tab w:leader="none" w:pos="240" w:val="left"/>
        </w:tabs>
        <w:numPr>
          <w:ilvl w:val="0"/>
          <w:numId w:val="16"/>
        </w:numPr>
        <w:rPr>
          <w:rFonts w:ascii="Times New Roman" w:cs="Times New Roman" w:eastAsia="Times New Roman" w:hAnsi="Times New Roman"/>
          <w:sz w:val="18"/>
          <w:szCs w:val="18"/>
          <w:color w:val="004483"/>
        </w:rPr>
      </w:pPr>
      <w:r>
        <w:rPr>
          <w:rFonts w:ascii="Arial" w:cs="Arial" w:eastAsia="Arial" w:hAnsi="Arial"/>
          <w:sz w:val="18"/>
          <w:szCs w:val="18"/>
          <w:color w:val="auto"/>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spacing w:after="0" w:line="1" w:lineRule="exact"/>
        <w:rPr>
          <w:rFonts w:ascii="Times New Roman" w:cs="Times New Roman" w:eastAsia="Times New Roman" w:hAnsi="Times New Roman"/>
          <w:sz w:val="18"/>
          <w:szCs w:val="18"/>
          <w:color w:val="004483"/>
        </w:rPr>
      </w:pPr>
    </w:p>
    <w:p>
      <w:pPr>
        <w:ind w:left="240" w:right="540" w:hanging="232"/>
        <w:spacing w:after="0" w:line="249" w:lineRule="auto"/>
        <w:tabs>
          <w:tab w:leader="none" w:pos="240" w:val="left"/>
        </w:tabs>
        <w:numPr>
          <w:ilvl w:val="0"/>
          <w:numId w:val="16"/>
        </w:numPr>
        <w:rPr>
          <w:rFonts w:ascii="Times New Roman" w:cs="Times New Roman" w:eastAsia="Times New Roman" w:hAnsi="Times New Roman"/>
          <w:sz w:val="18"/>
          <w:szCs w:val="18"/>
          <w:color w:val="004483"/>
        </w:rPr>
      </w:pPr>
      <w:r>
        <w:rPr>
          <w:rFonts w:ascii="Arial" w:cs="Arial" w:eastAsia="Arial" w:hAnsi="Arial"/>
          <w:sz w:val="18"/>
          <w:szCs w:val="18"/>
          <w:color w:val="auto"/>
        </w:rPr>
        <w:t>our flexibility in planning for, or reacting to, changes in our business and industry may be limited, thereby placing us at a competitive disadvantage compared with our competitors that have less indebtedness.</w:t>
      </w:r>
    </w:p>
    <w:p>
      <w:pPr>
        <w:spacing w:after="0" w:line="6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base rate of our debt is determined by our credit rating. If our credit rating were to decline, interest charges on this debt would increase, which would raise the cost of borrowing and lower cash flows from operations.</w:t>
      </w:r>
    </w:p>
    <w:p>
      <w:pPr>
        <w:spacing w:after="0" w:line="43"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i w:val="1"/>
          <w:iCs w:val="1"/>
          <w:color w:val="004483"/>
        </w:rPr>
        <w:t>Increases in interest rates and inflation could adversely affect our business and demand for our products, which would have a negative effect on our results of operations.</w:t>
      </w:r>
    </w:p>
    <w:p>
      <w:pPr>
        <w:spacing w:after="0" w:line="5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business is significantly affected by the movement of interest rates. Interest rates have increased substantially since early 2022 and remain at elevated levels. As a result, in recent periods we have experienced higher interest expense related to borrowings under our borrowing facilities. The recent rise in inflation has caused our cost of capital to increase, and the purchasing power of our cash resources to decline. Current or future efforts by the government to stimulate the economy may increase the risk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significant inflation, which could have a direct and indirect adverse impact on our business and results of operations. Interest rates also have a direct impact on the level of residential, commercial, and infrastructure construction activity by impacting the cost of borrowed funds to builders. Rising interest rates could result in decreased demand for our products, which could have a material adverse effect on our business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Increases in our effective income tax rate may harm our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may increase our future effective income tax rate, including:</w:t>
      </w:r>
    </w:p>
    <w:p>
      <w:pPr>
        <w:spacing w:after="0" w:line="14"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governmental authorities increasing taxes or eliminating deductions, particularly the depletion deduction;</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the mix of earnings from depletable versus non-depletable businesses;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the jurisdictions in which earnings are taxed;</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the resolution of issues arising from tax audits with various tax authorities;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changes in the valuation of our deferred tax assets and liabilities;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adjustments to estimated taxes upon finalization of various tax returns;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changes in available tax credits;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changes in stock-based compensation;</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other changes in tax laws; and</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004483"/>
        </w:rPr>
      </w:pPr>
      <w:r>
        <w:rPr>
          <w:rFonts w:ascii="Arial" w:cs="Arial" w:eastAsia="Arial" w:hAnsi="Arial"/>
          <w:sz w:val="18"/>
          <w:szCs w:val="18"/>
          <w:color w:val="auto"/>
        </w:rPr>
        <w:t>the interpretation of tax laws and/or administrative practices.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net earnings and free cash flow for future periods.</w:t>
      </w:r>
    </w:p>
    <w:p>
      <w:pPr>
        <w:spacing w:after="0" w:line="101"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i w:val="1"/>
          <w:iCs w:val="1"/>
          <w:color w:val="004483"/>
        </w:rPr>
        <w:t>We depend on the recruitment and retention of qualified personnel, and our failure to attract and retain such personnel could adversely affect our businesses.</w:t>
      </w:r>
    </w:p>
    <w:p>
      <w:pPr>
        <w:spacing w:after="0" w:line="5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success depends to a significant degree upon the continued services of, and on our ability to attract and retain, our key personnel and executive officers, including qualified management, operations, technical, marketing and sales, and support personnel. Competition for such personnel is intense, and we may not be successful in attracting or retaining such qualified personnel, which could negatively affect our businesses. In addition, because we rely on our senior management team to set and implement business strategy, the unanticipated departure of any key member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Failure to ensure effective transfer of knowledge and smooth transitions involving key employees could hinder our strategic planning and execution.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Disruption of our business operations due to disputes with organized labor.</w:t>
      </w:r>
    </w:p>
    <w:p>
      <w:pPr>
        <w:spacing w:after="0" w:line="9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Approximately half of our hourly employees are covered by collective bargaining agreements. Labor is a meaningful component in our ability to operate our business and can have a significant impact on the cost of operating our business. Labor shortages could restrict our ability to operate our business and increase costs to operate our business. Additionally, disputes with trade unions or the inability to renew our labor agreements may lead to work stoppages or strikes that could disrupt our business operations and lead to higher costs and/or reduced revenue and operating earnings.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GROWTH RISK FACTORS AND FORWARD-LOOKING STATEMENTS</w:t>
      </w:r>
    </w:p>
    <w:p>
      <w:pPr>
        <w:spacing w:after="0" w:line="96" w:lineRule="exact"/>
        <w:rPr>
          <w:sz w:val="20"/>
          <w:szCs w:val="20"/>
          <w:color w:val="auto"/>
        </w:rPr>
      </w:pPr>
    </w:p>
    <w:p>
      <w:pPr>
        <w:jc w:val="both"/>
        <w:ind w:right="100"/>
        <w:spacing w:after="0" w:line="260" w:lineRule="auto"/>
        <w:rPr>
          <w:sz w:val="20"/>
          <w:szCs w:val="20"/>
          <w:color w:val="auto"/>
        </w:rPr>
      </w:pPr>
      <w:r>
        <w:rPr>
          <w:rFonts w:ascii="Arial" w:cs="Arial" w:eastAsia="Arial" w:hAnsi="Arial"/>
          <w:sz w:val="19"/>
          <w:szCs w:val="19"/>
          <w:i w:val="1"/>
          <w:iCs w:val="1"/>
          <w:color w:val="004483"/>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 opportunities, we may not be successful in completing transactions for a number of reasons. Any transactions that we are able to identify and complete may involve one or more of a number of risks, including:</w:t>
      </w:r>
    </w:p>
    <w:p>
      <w:pPr>
        <w:spacing w:after="0" w:line="4" w:lineRule="exact"/>
        <w:rPr>
          <w:sz w:val="20"/>
          <w:szCs w:val="20"/>
          <w:color w:val="auto"/>
        </w:rPr>
      </w:pPr>
    </w:p>
    <w:p>
      <w:pPr>
        <w:ind w:left="240" w:right="100" w:hanging="232"/>
        <w:spacing w:after="0" w:line="234" w:lineRule="auto"/>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the diversion of management’s attention from our existing businesses to integrate the operations and personnel of the acquired business or joint venture;</w:t>
      </w:r>
    </w:p>
    <w:p>
      <w:pPr>
        <w:ind w:left="240" w:hanging="232"/>
        <w:spacing w:after="0"/>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possible adverse effects on our operating results during the integration process;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failure of the acquired business or joint venture to achieve expected operational, profitability, and investment return objectives;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the incurrence of significant charges, such as impairment of goodwill or intangible assets, asset devaluation, or restructuring charges;</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the assumption of unanticipated liabilities and costs for which indemnification is unavailable or inadequate;</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unforeseen difficulties encountered in operating in new geographic areas; and</w:t>
      </w:r>
    </w:p>
    <w:p>
      <w:pPr>
        <w:spacing w:after="0" w:line="8" w:lineRule="exact"/>
        <w:rPr>
          <w:rFonts w:ascii="Times New Roman" w:cs="Times New Roman" w:eastAsia="Times New Roman" w:hAnsi="Times New Roman"/>
          <w:sz w:val="18"/>
          <w:szCs w:val="18"/>
          <w:color w:val="004483"/>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004483"/>
        </w:rPr>
      </w:pPr>
      <w:r>
        <w:rPr>
          <w:rFonts w:ascii="Arial" w:cs="Arial" w:eastAsia="Arial" w:hAnsi="Arial"/>
          <w:sz w:val="18"/>
          <w:szCs w:val="18"/>
          <w:color w:val="auto"/>
        </w:rPr>
        <w:t>the inability to achieve other intended objectives of the transaction.</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58"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i w:val="1"/>
          <w:iCs w:val="1"/>
          <w:color w:val="004483"/>
        </w:rPr>
        <w:t>Our Cement business has grown largely through acquisitions, and there is no assurance that we will be able to continue to acquire cement plans to support future growth.</w:t>
      </w:r>
    </w:p>
    <w:p>
      <w:pPr>
        <w:spacing w:after="0" w:line="5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prior years, we have been able to increase the size and scope of our Cement business in large part through acquisitions of cement plants from third parties. There are a limited number of companies operating cement plants in the United States, and plants typically become available for purchase only 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i w:val="1"/>
          <w:iCs w:val="1"/>
          <w:color w:val="004483"/>
        </w:rPr>
        <w:t>We may pursue new business opportunities and, if we do so, these opportunities will be subject to the risks typically associated with the early stages of business development or product line expansion.</w:t>
      </w:r>
    </w:p>
    <w:p>
      <w:pPr>
        <w:spacing w:after="0" w:line="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may from time to time pursue opportunities which are natural extensions of our existing core businesses, and which allow us to leverage our core competencies, existing infrastructure, and customer relationships. Our likelihood of success in pursuing and realizing these opportunities must be considered in light of the expenses, difficulties, and delays frequently encountered in connection with the early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8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phases of business development or product line expansion, including the difficulties involved in obtaining permits; planning and constructing new facilities; transporting and storing products; establishing, maintaining, or expanding customer relationships; as well as navigating the regulatory environment in which we operate. There can be no assurance that we will be successful in the pursuit and realization of these opportunities.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i w:val="1"/>
          <w:iCs w:val="1"/>
          <w:color w:val="004483"/>
        </w:rPr>
        <w:t>This report includes various forward-looking statements, which are not facts or guarantees of future performance and which are subject to significant risks and uncertainties.</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report and other materials we have filed or will file with the SEC, as well as information included in oral statements or other written statements made or to be made by us contain or may contain forward-looking statements within the meaning of Section 27A of the Securities Act, Section 21E of the Exchange Act of 1934 (the Exchange Act), and the Private Securities Litigation Reform Act of 1995. You can identify these statements by the fact that they do not relate to matters of a strictly factual or historical nature and generally discuss or relate to forecasts, estimates, or other expectations regarding future events. Generally, the words “believe,” “expect,” “intend,” “estimate,” “anticipate,” “project,” “may,” “can,” “could,” “might,” “will,” and similar expressions identify forward-looking statements, including statements related to expected operating and performing results, planned transactions, plans, and objectives of management, future developments, or conditions in the industries in which we participate, including future prices for our products, audits, and legal proceedings to which we are a party, and other trends, developments, and uncertainties that may affect our business in the future.</w:t>
      </w:r>
    </w:p>
    <w:p>
      <w:pPr>
        <w:spacing w:after="0" w:line="7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Forward-looking statements are not historical facts or guarantees of future performance but instead represent only our beliefs at the time the statements were made regarding future events, which are subject to significant risks, uncertainties, and other factors, many of which are outside of our control. Any or all of the forward-looking statements made by us may turn out to be materially inaccurate. This can occur as a result of incorrect assumptions, changes in facts and circumstances, or the effects of known risks and uncertainties. Many of the risks and uncertainties mentioned in this report or other reports filed by us with the SEC, including those discussed in the risk factor section of this report, will be important in determining whether these forward-looking statements prove to be accurate. Consequently, neither our stockholders nor any other person should place undue reliance on our forward-looking statements and should recognize that actual results may differ materially from those that may be anticipated by us.</w:t>
      </w:r>
    </w:p>
    <w:p>
      <w:pPr>
        <w:spacing w:after="0" w:line="7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All forward-looking statements made in this report are made as of the date hereof, and the risk that actual results will differ materially from expectations expressed in this report will increase with the passage of time. We undertake no obligation, and disclaim any duty, to publicly update or revise any forward-looking statements, whether as a result of new information, future events, changes in our expectations, or otherwise.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Staff comments.</w:t>
      </w: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RISK MANAGEMENT AND STRATEGY</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The Company continues to make cybersecurity a priority as the threat landscape evolves and becomes increasingly complex and sophisticated.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Managing Material Risks &amp; Integrated Overall Risk Management</w:t>
      </w:r>
    </w:p>
    <w:p>
      <w:pPr>
        <w:spacing w:after="0" w:line="10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Company has strategically integrated cybersecurity risk management into its broader risk management framework to promote a company-wide culture of cyber risk awareness. Our Director of Information Security (DIS), under the direction of our Director of Information Technology (DIT) continuously evaluates and addresses cyber risks in alignment with business objectives, operational needs and industry-accepted standards, such as National Institute of Standards and Technology frameworks.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processes and procedures in place to monitor the prevention, detection, mitigation, and remediation of cybersecurity risks.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w:t>
      </w: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defined and practiced incident response plan;</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cyber insurance coverage;</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Employing appropriate incident prevention and detection safeguards;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defined disaster recovery procedure and employing disaster recovery software, where appropriate;</w:t>
      </w:r>
    </w:p>
    <w:p>
      <w:pPr>
        <w:spacing w:after="0" w:line="8" w:lineRule="exact"/>
        <w:rPr>
          <w:rFonts w:ascii="Times New Roman" w:cs="Times New Roman" w:eastAsia="Times New Roman" w:hAnsi="Times New Roman"/>
          <w:sz w:val="18"/>
          <w:szCs w:val="18"/>
          <w:color w:val="auto"/>
        </w:rPr>
      </w:pPr>
    </w:p>
    <w:p>
      <w:pPr>
        <w:ind w:left="240" w:right="100" w:hanging="232"/>
        <w:spacing w:after="0" w:line="234" w:lineRule="auto"/>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Educating, training and testing our user community on information security practices and identification of potential cybersecurity risks and threats; and</w:t>
      </w: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evaluating new developments in the cyber threat landscape.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Engaging Third Parties on Risk Management</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Recognizing the complexity and evolving nature of cybersecurity risk, we engage with a range of external security support providers, including cybersecurity consultants, in evaluating, monitoring, and testing our cyber management systems and related cyber risks. The Company’s collaboration with these third parties includes threat and vulnerability assessments, incident response plan testing, company-wide monitoring of cybersecurity risks, and consultation on security enhancements.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Managing Third-Party Risk</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recognize the risks associated with the use of vendors, service providers, and other third parties that provide information system services to us, process information on our behalf, or have access to our information systems, and the Company has processes in place to oversee and manage these risks. We conduct thorough security assessments of these third-party engagements and maintain ongoing monitoring to ensure compliance with our cybersecurity standards. This monitoring includes both annual and ongoing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Risks from Cybersecurity Incidents</w:t>
      </w:r>
    </w:p>
    <w:p>
      <w:pPr>
        <w:spacing w:after="0" w:line="10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To our knowledge, the Company has not been subject to cybersecurity incidents that have materially affected, or are reasonably likely to materially affect, the Company, its operations, or financial standing.</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3" w:name="page44"/>
    <w:bookmarkEnd w:id="4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GOVERNANCE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Risk Management Personnel</w:t>
      </w:r>
    </w:p>
    <w:p>
      <w:pPr>
        <w:spacing w:after="0" w:line="102"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The Company’s cybersecurity risk management program is overseen by management at multiple levels. Under the direction of our DIT, the DIS plays a key role in assessing, monitoring and managing the Company’s cybersecurity risks with the support of Company management, external cybersecurity consultants, as well as dedicated information technology and security personnel. Our DIS has 38 years of IT experience, 33 years of which are specializing in cybersecurity practices. Our DIS holds numerous certifications including as an ISC</w:t>
      </w:r>
      <w:r>
        <w:rPr>
          <w:rFonts w:ascii="Arial" w:cs="Arial" w:eastAsia="Arial" w:hAnsi="Arial"/>
          <w:sz w:val="24"/>
          <w:szCs w:val="24"/>
          <w:color w:val="auto"/>
          <w:vertAlign w:val="superscript"/>
        </w:rPr>
        <w:t>2</w:t>
      </w:r>
      <w:r>
        <w:rPr>
          <w:rFonts w:ascii="Arial" w:cs="Arial" w:eastAsia="Arial" w:hAnsi="Arial"/>
          <w:sz w:val="18"/>
          <w:szCs w:val="18"/>
          <w:color w:val="auto"/>
        </w:rPr>
        <w:t>, Certified Information Systems Security Professional (CISSP), and ISACA Certified Information Security Manager (CISM). Our DIS also has extensive experience in architecting, implementing, and managing cyber security control systems including vulnerability management, endpoint detection and response (EDR), security information and event management (SIEM), email fraud defense, and identity access management (IAM) solutions.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Monitor Cybersecurity Incidents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DIT is continually informed and updated on the latest developments in cybersecurity, including emerging threats and innovative risk management techniques. Our DIT, supported by our DIS, implements and oversees processes for the regular monitoring of our information systems. This includes the deployment of advanced security measures and regular system audits to identify potential vulnerabilities. In the event of a cybersecurity incident, the Company is equipped with a defined and practiced incident response plan, which details immediate actions to mitigate the impact and long-term strategies for remediation and prevention of future incidents.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Board of Directors Oversight</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Audit Committee of the Company’s Board is responsible for overseeing the Company’s cyber risk. Based on details provided by the DIT and DIS, the Chief Financial Officer (CFO) provides the Audit Committee quarterly updates that encompass a broad range of topics, including:</w:t>
      </w:r>
    </w:p>
    <w:p>
      <w:pPr>
        <w:spacing w:after="0" w:line="2"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Current cybersecurity threat landscape and emerging threats;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Status of ongoing cybersecurity initiatives and strategies;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Incident reports and learnings from unique cybersecurity events, including those of other companies; and</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status and efforts with regulatory requirements and industry standards.</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the CFO provides updates to the full Board upon request, and timely updates regarding unique developments such as regulatory updates or vulnerability developments, based on details provided by the DIT and 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spacing w:after="0" w:line="30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operating facilities span the U.S. They include cement plants, quarries, and related facilities; concrete and aggregates plants and quarries; gypsum wallboard plants; and a recycled paperboard mill; as well as distribution terminals and our headquarters in Dallas, Texas. All of our facilities are owned, with the exception of our headquarters in Dallas, which is leased through May 2029, and certain terminals, as discussed on page 12. None of our facilities are pledged as security for any debts. Please see the Industry Segment Information section on pages 6-25 for more information about the location of our facilities, and a summary of mineral reserves for each of our applicable businesses.</w:t>
      </w:r>
    </w:p>
    <w:p>
      <w:pPr>
        <w:spacing w:after="0" w:line="5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following map shows the locations of our operating facilities at March 31, 2024, by type of facility. Quarries supporting our Cement, Aggregates, and Gypsum Wallboard businesses are in close proximity to the respective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100965</wp:posOffset>
            </wp:positionV>
            <wp:extent cx="5143500" cy="3711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Please refer to Item 1. Business – Industry Segment Information, for information regarding certain legal proceedings relating to the disapproval by the EPA in February 2023 of SIPs for the States of Nevada, Oklahoma, and Texas, which addressed the obligations of such states to eliminate significant contributions to non-attainment, or interference with maintenance, of the 2015 ozone NAAQS in other states. In response to the disapproval of the SIPs for such states, both such states and we have commenced litigation against the EPA. The litigation commenced by us was filed in April 2023 in the Ninth Circuit Court of Appeals, the Tenth Circuit Court of Appeals, and the Fifth Circuit Court of Appeals. We are unable to predict the likely outcome of these actions.</w:t>
      </w:r>
    </w:p>
    <w:p>
      <w:pPr>
        <w:spacing w:after="0" w:line="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(J) in the Audited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rPr>
          <w:sz w:val="20"/>
          <w:szCs w:val="20"/>
          <w:color w:val="auto"/>
        </w:rPr>
      </w:pPr>
      <w:r>
        <w:rPr>
          <w:rFonts w:ascii="Arial" w:cs="Arial" w:eastAsia="Arial" w:hAnsi="Arial"/>
          <w:sz w:val="23"/>
          <w:szCs w:val="23"/>
          <w:b w:val="1"/>
          <w:bCs w:val="1"/>
          <w:color w:val="004483"/>
        </w:rPr>
        <w:t>PART II</w:t>
      </w:r>
    </w:p>
    <w:p>
      <w:pPr>
        <w:spacing w:after="0" w:line="200" w:lineRule="exact"/>
        <w:rPr>
          <w:sz w:val="20"/>
          <w:szCs w:val="20"/>
          <w:color w:val="auto"/>
        </w:rPr>
      </w:pPr>
    </w:p>
    <w:p>
      <w:pPr>
        <w:spacing w:after="0" w:line="319" w:lineRule="exact"/>
        <w:rPr>
          <w:sz w:val="20"/>
          <w:szCs w:val="20"/>
          <w:color w:val="auto"/>
        </w:rPr>
      </w:pPr>
    </w:p>
    <w:p>
      <w:pPr>
        <w:ind w:right="120"/>
        <w:spacing w:after="0" w:line="309"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STOCK PRICES AND DIVIDENDS</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of May 17, 2024, there were approximately 1,050 holders of record of our Common Stock which trades on the New York Stock Exchange under the symbol EXP. See Management's Discussion and Analysis of Financial Condition and Results of Operations - Dividends for details on our dividend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SHARE REPURCHASES</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May 17, 2022, the Board authorized us to repurchase an additional 7,500,000 shares. Including this latest authorization, our Board has approved the repurchase in the open market of a cumulative total of approximately 55.9 million shares of our Common Stock since we became publicly held in April 1994.</w:t>
      </w:r>
    </w:p>
    <w:p>
      <w:pPr>
        <w:spacing w:after="0" w:line="6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During fiscal years 2024, 2023 and 2022, we repurchased 1,863,534, 3,075,788 and 3,982,657 shares, respectively, at average prices of $184.21, $126.05 and $148.08, respectively. We have repurchased approximately 50.0 million shares from April 1994 through March 31, 2024. As a result, we have a total of approximately 5.9 million shares that remain available for repurchase as authorized by our Board. The Board did not specify an expiration date for its authorizations.</w:t>
      </w:r>
    </w:p>
    <w:p>
      <w:pPr>
        <w:spacing w:after="0" w:line="6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6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Inflation Reduction Act of 2022</w:t>
      </w:r>
      <w:r>
        <w:rPr>
          <w:rFonts w:ascii="Arial" w:cs="Arial" w:eastAsia="Arial" w:hAnsi="Arial"/>
          <w:sz w:val="18"/>
          <w:szCs w:val="18"/>
          <w:color w:val="auto"/>
        </w:rPr>
        <w:t xml:space="preserve"> added a provision imposing a 1% excise tax on the fair value of stock repurchases by companies beginning January 1, 2023. We do not expect taxes due on future repurchases of our shares to have a material effect on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Purchases of the Company's common stock during the quarter ended March 31, 2024,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87"/>
        </w:trPr>
        <w:tc>
          <w:tcPr>
            <w:tcW w:w="5440" w:type="dxa"/>
            <w:vAlign w:val="bottom"/>
            <w:tcBorders>
              <w:bottom w:val="single" w:sz="8" w:color="004483"/>
            </w:tcBorders>
            <w:vMerge w:val="continue"/>
          </w:tcPr>
          <w:p>
            <w:pPr>
              <w:spacing w:after="0"/>
              <w:rPr>
                <w:sz w:val="16"/>
                <w:szCs w:val="16"/>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January 1 through January 31, 2024</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50,534</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6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206.95</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February 1 through February 29, 2024</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178,000</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240.73</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March 1 through March 31, 2024</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256.96</w:t>
            </w:r>
          </w:p>
        </w:tc>
        <w:tc>
          <w:tcPr>
            <w:tcW w:w="1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60" w:type="dxa"/>
            <w:vAlign w:val="bottom"/>
            <w:tcBorders>
              <w:bottom w:val="single" w:sz="8" w:color="004483"/>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0"/>
              <w:spacing w:after="0"/>
              <w:rPr>
                <w:sz w:val="20"/>
                <w:szCs w:val="20"/>
                <w:color w:val="auto"/>
              </w:rPr>
            </w:pPr>
            <w:r>
              <w:rPr>
                <w:rFonts w:ascii="Arial" w:cs="Arial" w:eastAsia="Arial" w:hAnsi="Arial"/>
                <w:sz w:val="16"/>
                <w:szCs w:val="16"/>
                <w:b w:val="1"/>
                <w:bCs w:val="1"/>
                <w:color w:val="auto"/>
              </w:rPr>
              <w:t>Quarter 4 Totals</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388,534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004483"/>
            </w:tcBorders>
          </w:tcPr>
          <w:p>
            <w:pPr>
              <w:jc w:val="right"/>
              <w:ind w:right="168"/>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5,883,670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sales of unregistered equity securities during fiscal years 2024, 2023, or 2022.</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Equity Compensation Plan information set forth in Part III, Item 12 of this Form 10-K is hereby incorporated by reference into this Part II,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6" w:right="419" w:bottom="1440" w:gutter="0" w:footer="0" w:header="0"/>
        </w:sectPr>
      </w:pPr>
    </w:p>
    <w:bookmarkStart w:id="47" w:name="page48"/>
    <w:bookmarkEnd w:id="47"/>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PERFORMANCE GRAPH</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004483"/>
        </w:rPr>
        <w:t>The following performance graph and related information shall not be deemed soliciting material or to be filed with the Securities and Exchange Commission, nor shall such information be incorporated by reference into any future filing under the Securities Act or the Securities Exchange Act, each as amended, except to the extent that the Company specifically incorporates it by reference into such filing.</w:t>
      </w:r>
    </w:p>
    <w:p>
      <w:pPr>
        <w:spacing w:after="0" w:line="61"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color w:val="auto"/>
        </w:rPr>
        <w:t>The graph below compares the cumulative 5-year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indices was $100 on March 31, 2019, and tracks it through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5109210" cy="4234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0921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Borders>
              <w:bottom w:val="single" w:sz="8" w:color="004483"/>
            </w:tcBorders>
          </w:tcPr>
          <w:p>
            <w:pPr>
              <w:spacing w:after="0"/>
              <w:rPr>
                <w:sz w:val="16"/>
                <w:szCs w:val="16"/>
                <w:color w:val="auto"/>
              </w:rPr>
            </w:pPr>
          </w:p>
        </w:tc>
        <w:tc>
          <w:tcPr>
            <w:tcW w:w="1740" w:type="dxa"/>
            <w:vAlign w:val="bottom"/>
            <w:tcBorders>
              <w:bottom w:val="single" w:sz="8" w:color="004483"/>
            </w:tcBorders>
          </w:tcPr>
          <w:p>
            <w:pPr>
              <w:jc w:val="right"/>
              <w:ind w:right="304"/>
              <w:spacing w:after="0"/>
              <w:rPr>
                <w:sz w:val="20"/>
                <w:szCs w:val="20"/>
                <w:color w:val="auto"/>
              </w:rPr>
            </w:pPr>
            <w:r>
              <w:rPr>
                <w:rFonts w:ascii="Arial" w:cs="Arial" w:eastAsia="Arial" w:hAnsi="Arial"/>
                <w:sz w:val="13"/>
                <w:szCs w:val="13"/>
                <w:b w:val="1"/>
                <w:bCs w:val="1"/>
                <w:color w:val="auto"/>
              </w:rPr>
              <w:t>3/19</w:t>
            </w:r>
          </w:p>
        </w:tc>
        <w:tc>
          <w:tcPr>
            <w:tcW w:w="110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3/20</w:t>
            </w:r>
          </w:p>
        </w:tc>
        <w:tc>
          <w:tcPr>
            <w:tcW w:w="114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3/21</w:t>
            </w:r>
          </w:p>
        </w:tc>
        <w:tc>
          <w:tcPr>
            <w:tcW w:w="1100" w:type="dxa"/>
            <w:vAlign w:val="bottom"/>
            <w:tcBorders>
              <w:bottom w:val="single" w:sz="8" w:color="004483"/>
            </w:tcBorders>
          </w:tcPr>
          <w:p>
            <w:pPr>
              <w:jc w:val="right"/>
              <w:ind w:right="224"/>
              <w:spacing w:after="0"/>
              <w:rPr>
                <w:sz w:val="20"/>
                <w:szCs w:val="20"/>
                <w:color w:val="auto"/>
              </w:rPr>
            </w:pPr>
            <w:r>
              <w:rPr>
                <w:rFonts w:ascii="Arial" w:cs="Arial" w:eastAsia="Arial" w:hAnsi="Arial"/>
                <w:sz w:val="13"/>
                <w:szCs w:val="13"/>
                <w:b w:val="1"/>
                <w:bCs w:val="1"/>
                <w:color w:val="auto"/>
              </w:rPr>
              <w:t>3/22</w:t>
            </w:r>
          </w:p>
        </w:tc>
        <w:tc>
          <w:tcPr>
            <w:tcW w:w="1080" w:type="dxa"/>
            <w:vAlign w:val="bottom"/>
            <w:tcBorders>
              <w:bottom w:val="single" w:sz="8" w:color="004483"/>
            </w:tcBorders>
          </w:tcPr>
          <w:p>
            <w:pPr>
              <w:jc w:val="right"/>
              <w:ind w:right="224"/>
              <w:spacing w:after="0"/>
              <w:rPr>
                <w:sz w:val="20"/>
                <w:szCs w:val="20"/>
                <w:color w:val="auto"/>
              </w:rPr>
            </w:pPr>
            <w:r>
              <w:rPr>
                <w:rFonts w:ascii="Arial" w:cs="Arial" w:eastAsia="Arial" w:hAnsi="Arial"/>
                <w:sz w:val="13"/>
                <w:szCs w:val="13"/>
                <w:b w:val="1"/>
                <w:bCs w:val="1"/>
                <w:color w:val="auto"/>
              </w:rPr>
              <w:t>3/23</w:t>
            </w:r>
          </w:p>
        </w:tc>
        <w:tc>
          <w:tcPr>
            <w:tcW w:w="920" w:type="dxa"/>
            <w:vAlign w:val="bottom"/>
            <w:tcBorders>
              <w:bottom w:val="single" w:sz="8" w:color="004483"/>
            </w:tcBorders>
          </w:tcPr>
          <w:p>
            <w:pPr>
              <w:jc w:val="right"/>
              <w:ind w:right="44"/>
              <w:spacing w:after="0"/>
              <w:rPr>
                <w:sz w:val="20"/>
                <w:szCs w:val="20"/>
                <w:color w:val="auto"/>
              </w:rPr>
            </w:pPr>
            <w:r>
              <w:rPr>
                <w:rFonts w:ascii="Arial" w:cs="Arial" w:eastAsia="Arial" w:hAnsi="Arial"/>
                <w:sz w:val="13"/>
                <w:szCs w:val="13"/>
                <w:b w:val="1"/>
                <w:bCs w:val="1"/>
                <w:color w:val="auto"/>
              </w:rPr>
              <w:t>3/24</w:t>
            </w:r>
          </w:p>
        </w:tc>
      </w:tr>
      <w:tr>
        <w:trPr>
          <w:trHeight w:val="215"/>
        </w:trPr>
        <w:tc>
          <w:tcPr>
            <w:tcW w:w="4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Eagle Materials Inc.</w:t>
            </w:r>
          </w:p>
        </w:tc>
        <w:tc>
          <w:tcPr>
            <w:tcW w:w="1740" w:type="dxa"/>
            <w:vAlign w:val="bottom"/>
            <w:tcBorders>
              <w:bottom w:val="single" w:sz="8" w:color="A6A6A6"/>
            </w:tcBorders>
          </w:tcPr>
          <w:p>
            <w:pPr>
              <w:jc w:val="right"/>
              <w:ind w:right="304"/>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69.62</w:t>
            </w:r>
          </w:p>
        </w:tc>
        <w:tc>
          <w:tcPr>
            <w:tcW w:w="114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160.41</w:t>
            </w:r>
          </w:p>
        </w:tc>
        <w:tc>
          <w:tcPr>
            <w:tcW w:w="1100" w:type="dxa"/>
            <w:vAlign w:val="bottom"/>
            <w:tcBorders>
              <w:bottom w:val="single" w:sz="8" w:color="A6A6A6"/>
            </w:tcBorders>
          </w:tcPr>
          <w:p>
            <w:pPr>
              <w:jc w:val="right"/>
              <w:ind w:right="224"/>
              <w:spacing w:after="0"/>
              <w:rPr>
                <w:sz w:val="20"/>
                <w:szCs w:val="20"/>
                <w:color w:val="auto"/>
              </w:rPr>
            </w:pPr>
            <w:r>
              <w:rPr>
                <w:rFonts w:ascii="Arial" w:cs="Arial" w:eastAsia="Arial" w:hAnsi="Arial"/>
                <w:sz w:val="16"/>
                <w:szCs w:val="16"/>
                <w:color w:val="auto"/>
              </w:rPr>
              <w:t>154.28</w:t>
            </w:r>
          </w:p>
        </w:tc>
        <w:tc>
          <w:tcPr>
            <w:tcW w:w="1080" w:type="dxa"/>
            <w:vAlign w:val="bottom"/>
            <w:tcBorders>
              <w:bottom w:val="single" w:sz="8" w:color="A6A6A6"/>
            </w:tcBorders>
          </w:tcPr>
          <w:p>
            <w:pPr>
              <w:jc w:val="right"/>
              <w:ind w:right="224"/>
              <w:spacing w:after="0"/>
              <w:rPr>
                <w:sz w:val="20"/>
                <w:szCs w:val="20"/>
                <w:color w:val="auto"/>
              </w:rPr>
            </w:pPr>
            <w:r>
              <w:rPr>
                <w:rFonts w:ascii="Arial" w:cs="Arial" w:eastAsia="Arial" w:hAnsi="Arial"/>
                <w:sz w:val="16"/>
                <w:szCs w:val="16"/>
                <w:color w:val="auto"/>
              </w:rPr>
              <w:t>177.79</w:t>
            </w:r>
          </w:p>
        </w:tc>
        <w:tc>
          <w:tcPr>
            <w:tcW w:w="92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330.92</w:t>
            </w:r>
          </w:p>
        </w:tc>
      </w:tr>
      <w:tr>
        <w:trPr>
          <w:trHeight w:val="210"/>
        </w:trPr>
        <w:tc>
          <w:tcPr>
            <w:tcW w:w="4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Russell 1000</w:t>
            </w:r>
          </w:p>
        </w:tc>
        <w:tc>
          <w:tcPr>
            <w:tcW w:w="1740" w:type="dxa"/>
            <w:vAlign w:val="bottom"/>
            <w:tcBorders>
              <w:bottom w:val="single" w:sz="8" w:color="A6A6A6"/>
            </w:tcBorders>
          </w:tcPr>
          <w:p>
            <w:pPr>
              <w:jc w:val="right"/>
              <w:ind w:right="304"/>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91.97</w:t>
            </w:r>
          </w:p>
        </w:tc>
        <w:tc>
          <w:tcPr>
            <w:tcW w:w="114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147.70</w:t>
            </w:r>
          </w:p>
        </w:tc>
        <w:tc>
          <w:tcPr>
            <w:tcW w:w="1100" w:type="dxa"/>
            <w:vAlign w:val="bottom"/>
            <w:tcBorders>
              <w:bottom w:val="single" w:sz="8" w:color="A6A6A6"/>
            </w:tcBorders>
          </w:tcPr>
          <w:p>
            <w:pPr>
              <w:jc w:val="right"/>
              <w:ind w:right="224"/>
              <w:spacing w:after="0"/>
              <w:rPr>
                <w:sz w:val="20"/>
                <w:szCs w:val="20"/>
                <w:color w:val="auto"/>
              </w:rPr>
            </w:pPr>
            <w:r>
              <w:rPr>
                <w:rFonts w:ascii="Arial" w:cs="Arial" w:eastAsia="Arial" w:hAnsi="Arial"/>
                <w:sz w:val="16"/>
                <w:szCs w:val="16"/>
                <w:color w:val="auto"/>
              </w:rPr>
              <w:t>167.30</w:t>
            </w:r>
          </w:p>
        </w:tc>
        <w:tc>
          <w:tcPr>
            <w:tcW w:w="1080" w:type="dxa"/>
            <w:vAlign w:val="bottom"/>
            <w:tcBorders>
              <w:bottom w:val="single" w:sz="8" w:color="A6A6A6"/>
            </w:tcBorders>
          </w:tcPr>
          <w:p>
            <w:pPr>
              <w:jc w:val="right"/>
              <w:ind w:right="224"/>
              <w:spacing w:after="0"/>
              <w:rPr>
                <w:sz w:val="20"/>
                <w:szCs w:val="20"/>
                <w:color w:val="auto"/>
              </w:rPr>
            </w:pPr>
            <w:r>
              <w:rPr>
                <w:rFonts w:ascii="Arial" w:cs="Arial" w:eastAsia="Arial" w:hAnsi="Arial"/>
                <w:sz w:val="16"/>
                <w:szCs w:val="16"/>
                <w:color w:val="auto"/>
              </w:rPr>
              <w:t>153.26</w:t>
            </w:r>
          </w:p>
        </w:tc>
        <w:tc>
          <w:tcPr>
            <w:tcW w:w="92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199.03</w:t>
            </w:r>
          </w:p>
        </w:tc>
      </w:tr>
      <w:tr>
        <w:trPr>
          <w:trHeight w:val="209"/>
        </w:trPr>
        <w:tc>
          <w:tcPr>
            <w:tcW w:w="4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Dow Jones U.S. Building Materials &amp; Fixtures</w:t>
            </w:r>
          </w:p>
        </w:tc>
        <w:tc>
          <w:tcPr>
            <w:tcW w:w="1740" w:type="dxa"/>
            <w:vAlign w:val="bottom"/>
            <w:tcBorders>
              <w:bottom w:val="single" w:sz="8" w:color="A6A6A6"/>
            </w:tcBorders>
          </w:tcPr>
          <w:p>
            <w:pPr>
              <w:jc w:val="right"/>
              <w:ind w:right="304"/>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91.96</w:t>
            </w:r>
          </w:p>
        </w:tc>
        <w:tc>
          <w:tcPr>
            <w:tcW w:w="114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178.65</w:t>
            </w:r>
          </w:p>
        </w:tc>
        <w:tc>
          <w:tcPr>
            <w:tcW w:w="1100" w:type="dxa"/>
            <w:vAlign w:val="bottom"/>
            <w:tcBorders>
              <w:bottom w:val="single" w:sz="8" w:color="A6A6A6"/>
            </w:tcBorders>
          </w:tcPr>
          <w:p>
            <w:pPr>
              <w:jc w:val="right"/>
              <w:ind w:right="224"/>
              <w:spacing w:after="0"/>
              <w:rPr>
                <w:sz w:val="20"/>
                <w:szCs w:val="20"/>
                <w:color w:val="auto"/>
              </w:rPr>
            </w:pPr>
            <w:r>
              <w:rPr>
                <w:rFonts w:ascii="Arial" w:cs="Arial" w:eastAsia="Arial" w:hAnsi="Arial"/>
                <w:sz w:val="16"/>
                <w:szCs w:val="16"/>
                <w:color w:val="auto"/>
              </w:rPr>
              <w:t>184.27</w:t>
            </w:r>
          </w:p>
        </w:tc>
        <w:tc>
          <w:tcPr>
            <w:tcW w:w="1080" w:type="dxa"/>
            <w:vAlign w:val="bottom"/>
            <w:tcBorders>
              <w:bottom w:val="single" w:sz="8" w:color="A6A6A6"/>
            </w:tcBorders>
          </w:tcPr>
          <w:p>
            <w:pPr>
              <w:jc w:val="right"/>
              <w:ind w:right="224"/>
              <w:spacing w:after="0"/>
              <w:rPr>
                <w:sz w:val="20"/>
                <w:szCs w:val="20"/>
                <w:color w:val="auto"/>
              </w:rPr>
            </w:pPr>
            <w:r>
              <w:rPr>
                <w:rFonts w:ascii="Arial" w:cs="Arial" w:eastAsia="Arial" w:hAnsi="Arial"/>
                <w:sz w:val="16"/>
                <w:szCs w:val="16"/>
                <w:color w:val="auto"/>
              </w:rPr>
              <w:t>175.51</w:t>
            </w:r>
          </w:p>
        </w:tc>
        <w:tc>
          <w:tcPr>
            <w:tcW w:w="92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272.08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SEC Release No. 33-10890 eliminated the requirement of selected financial data previously required by Item 301 of Regulation S-K.</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EXECUTIVE SUMMARY</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to build, expand, and repair roads and highways; and repair and remodel activities.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fiscal years ended March 31, 2024 and 2023, are presented on a consolidated basis and by business segment.</w:t>
      </w:r>
    </w:p>
    <w:p>
      <w:pPr>
        <w:spacing w:after="0" w:line="6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spacing w:after="0" w:line="6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April 2023, we assumed operation of our quarry in Battletown, Kentucky. Our Battletown quarry was primarily used to supply our Kosmos Cement plant with limestone. However, beginning in April 2023, we started selling a portion of the mined materials as aggregates under the name Battletown Materials. Battletown Materials is included in our Heavy Materials sector, in the Concrete and Aggregates business segment.</w:t>
      </w:r>
    </w:p>
    <w:p>
      <w:pPr>
        <w:spacing w:after="0" w:line="66"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On May 3, 2023, we finalized the Stockton Terminal Acquisition. The purchase price of the Stockton Terminal Acquisition was approximately $55.1 million. The Stockton Terminal Acquisition is included in our Heavy Materials sector, in the Cement business segment, in fiscal 2024. See Footnote (B) in the Audited Consolidated Financial Statements for more information regarding the Stockton Terminal Acquisition.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9" w:name="page50"/>
    <w:bookmarkEnd w:id="49"/>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MARKET CONDITIONS AND OUTLOOK</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Our fiscal 2024 results were generally strong, and we achieved record Revenue of $2.3 billion and record Net Earnings and Earnings per Share of $477.6 million and $13.61 per share, respectively. Our end markets generally remained resilient despite continued inflation and higher interest rates. Although sales volume for both Cement (excluding the Stockton Terminal Acquisition) and Gypsum Wallboard declined from fiscal 2023, the decline in volume was relatively small and demand was still historically strong.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Demand Outlook</w:t>
      </w:r>
    </w:p>
    <w:p>
      <w:pPr>
        <w:spacing w:after="0" w:line="10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 xml:space="preserve">The principal end-use market for Cement is public infrastructure (i.e. roads, bridges, and highways) with residential and nonresidential construction being secondary. Our Cement business continues to maintain a nearly sold-out position. We expect demand for cement to remain strong given increased federal funding from the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for public construction and repair projects during calendar 2024; continued high allocations from state budgets for additional infrastructure projects; and growth in heavy industrial projects. Despite underlying demand growth, our ability to achieve further Cement sales volume growth from our existing facilities is limited, because our integrated cement sales network is operating at high utilization levels.</w:t>
      </w:r>
    </w:p>
    <w:p>
      <w:pPr>
        <w:spacing w:after="0" w:line="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principal end use for Gypsum Wallboard is residential housing, consisting of both new construction (single-family and multi-family homes) as well as repair and remodel. Gypsum Wallboard orders and shipments remain resilient and we expect the strength of the U.S. consumer and continued limited supply of existing homes inventory to support residential construction, even with the uptick in mortgage rates. We believe our geographical footprint across the U.S. heartland and fast-growing sunbelt region puts us in a good position to capitalize on these market dynamics. Our Recycled Paperboard business sells paper primarily into the gypsum wallboard market, and demand for our paper generally follows the demand for gypsum wallboard.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Cost Outlook</w:t>
      </w:r>
    </w:p>
    <w:p>
      <w:pPr>
        <w:spacing w:after="0" w:line="10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We believe we are well-positioned to manage our cost structure and meet our customers’ needs during the next fiscal year. Our substantial raw material reserves for our Cement, Aggregates, and Gypsum Wallboard businesses, and their proximity to our respective manufacturing facilities, support our low-cost producer position across all our business segments.</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Energy, primarily solid fuel costs, increased in all our businesses, but primarily Cement, during fiscal 2024. We anticipate certain of these costs will decline in fiscal 2025, but will remain higher than fiscal 2023 amounts. We are also expecting increases in freight and delivery costs in fiscal 2025 compared with fiscal 2024.</w:t>
      </w:r>
    </w:p>
    <w:p>
      <w:pPr>
        <w:spacing w:after="0" w:line="6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primary raw material used to produce paperboard is OCC. Prices for OCC increased during the second half of fiscal 2024. Fiber prices are subject to change upon short notice due to several factors, including supply of OCC and demand for OCC from both domestic and international companies. Our current customer contracts for gypsum liner include price adjustments that partially compensate for changes in raw material fiber prices. However, because these price adjustments are not realized until future quarters, material costs in our Gypsum Wallboard segment are likely to fluctuate until the effects of these price adjustments are realized.</w:t>
      </w:r>
    </w:p>
    <w:p>
      <w:pPr>
        <w:spacing w:after="0" w:line="6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Maintenance costs were up 21% in fiscal 2024 and we expect continued inflation for maintenance as equipment and contractor costs remain high.</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COMPARED WITH FISCAL YEAR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20" w:type="dxa"/>
            <w:vAlign w:val="bottom"/>
            <w:shd w:val="clear" w:color="auto" w:fill="004483"/>
          </w:tcPr>
          <w:p>
            <w:pPr>
              <w:spacing w:after="0"/>
              <w:rPr>
                <w:sz w:val="14"/>
                <w:szCs w:val="14"/>
                <w:color w:val="auto"/>
              </w:rPr>
            </w:pPr>
          </w:p>
        </w:tc>
        <w:tc>
          <w:tcPr>
            <w:tcW w:w="2720" w:type="dxa"/>
            <w:vAlign w:val="bottom"/>
            <w:gridSpan w:val="4"/>
            <w:shd w:val="clear" w:color="auto" w:fill="004483"/>
          </w:tcPr>
          <w:p>
            <w:pPr>
              <w:jc w:val="right"/>
              <w:ind w:right="581"/>
              <w:spacing w:after="0"/>
              <w:rPr>
                <w:sz w:val="20"/>
                <w:szCs w:val="20"/>
                <w:color w:val="auto"/>
              </w:rPr>
            </w:pPr>
            <w:r>
              <w:rPr>
                <w:rFonts w:ascii="Arial" w:cs="Arial" w:eastAsia="Arial" w:hAnsi="Arial"/>
                <w:sz w:val="13"/>
                <w:szCs w:val="13"/>
                <w:b w:val="1"/>
                <w:bCs w:val="1"/>
                <w:color w:val="FFFFFF"/>
              </w:rPr>
              <w:t>For the Years Ended March 31,</w:t>
            </w:r>
          </w:p>
        </w:tc>
        <w:tc>
          <w:tcPr>
            <w:tcW w:w="16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8"/>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20" w:type="dxa"/>
            <w:vAlign w:val="bottom"/>
            <w:tcBorders>
              <w:bottom w:val="single" w:sz="8" w:color="004483"/>
            </w:tcBorders>
          </w:tcPr>
          <w:p>
            <w:pPr>
              <w:spacing w:after="0"/>
              <w:rPr>
                <w:sz w:val="16"/>
                <w:szCs w:val="16"/>
                <w:color w:val="auto"/>
              </w:rPr>
            </w:pPr>
          </w:p>
        </w:tc>
        <w:tc>
          <w:tcPr>
            <w:tcW w:w="320" w:type="dxa"/>
            <w:vAlign w:val="bottom"/>
            <w:tcBorders>
              <w:bottom w:val="single" w:sz="8" w:color="004483"/>
            </w:tcBorders>
          </w:tcPr>
          <w:p>
            <w:pPr>
              <w:spacing w:after="0"/>
              <w:rPr>
                <w:sz w:val="16"/>
                <w:szCs w:val="16"/>
                <w:color w:val="auto"/>
              </w:rPr>
            </w:pPr>
          </w:p>
        </w:tc>
        <w:tc>
          <w:tcPr>
            <w:tcW w:w="2720" w:type="dxa"/>
            <w:vAlign w:val="bottom"/>
            <w:tcBorders>
              <w:bottom w:val="single" w:sz="8" w:color="004483"/>
            </w:tcBorders>
            <w:gridSpan w:val="4"/>
          </w:tcPr>
          <w:p>
            <w:pPr>
              <w:jc w:val="right"/>
              <w:ind w:right="581"/>
              <w:spacing w:after="0"/>
              <w:rPr>
                <w:sz w:val="20"/>
                <w:szCs w:val="20"/>
                <w:color w:val="auto"/>
              </w:rPr>
            </w:pPr>
            <w:r>
              <w:rPr>
                <w:rFonts w:ascii="Arial" w:cs="Arial" w:eastAsia="Arial" w:hAnsi="Arial"/>
                <w:sz w:val="13"/>
                <w:szCs w:val="13"/>
                <w:color w:val="auto"/>
              </w:rPr>
              <w:t>(in thousands, except per share)</w:t>
            </w:r>
          </w:p>
        </w:tc>
        <w:tc>
          <w:tcPr>
            <w:tcW w:w="15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004483"/>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2,259,297</w:t>
            </w: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2,148,069</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Pr>
          <w:p>
            <w:pPr>
              <w:ind w:left="20"/>
              <w:spacing w:after="0"/>
              <w:rPr>
                <w:sz w:val="20"/>
                <w:szCs w:val="20"/>
                <w:color w:val="auto"/>
              </w:rPr>
            </w:pPr>
            <w:r>
              <w:rPr>
                <w:rFonts w:ascii="Arial" w:cs="Arial" w:eastAsia="Arial" w:hAnsi="Arial"/>
                <w:sz w:val="16"/>
                <w:szCs w:val="16"/>
                <w:color w:val="004483"/>
              </w:rPr>
              <w:t>Cost of Goods Sold</w:t>
            </w:r>
          </w:p>
        </w:tc>
        <w:tc>
          <w:tcPr>
            <w:tcW w:w="3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(1,573,976 )</w:t>
            </w:r>
          </w:p>
        </w:tc>
        <w:tc>
          <w:tcPr>
            <w:tcW w:w="16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(1,508,803 )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40" w:type="dxa"/>
            <w:vAlign w:val="bottom"/>
            <w:shd w:val="clear" w:color="auto" w:fill="004483"/>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00" w:type="dxa"/>
            <w:vAlign w:val="bottom"/>
            <w:shd w:val="clear" w:color="auto" w:fill="004483"/>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color w:val="004483"/>
              </w:rPr>
              <w:t>Gross Profit</w:t>
            </w:r>
          </w:p>
        </w:tc>
        <w:tc>
          <w:tcPr>
            <w:tcW w:w="3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685,321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639,266</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3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31,581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35,474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color w:val="004483"/>
              </w:rPr>
              <w:t>Corporate General and Administrative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(59,795 )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(53,630 )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color w:val="004483"/>
              </w:rPr>
              <w:t>Other Nonoperating Income</w:t>
            </w:r>
          </w:p>
        </w:tc>
        <w:tc>
          <w:tcPr>
            <w:tcW w:w="3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3,087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2,654</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Pr>
          <w:p>
            <w:pPr>
              <w:ind w:left="20"/>
              <w:spacing w:after="0"/>
              <w:rPr>
                <w:sz w:val="20"/>
                <w:szCs w:val="20"/>
                <w:color w:val="auto"/>
              </w:rPr>
            </w:pPr>
            <w:r>
              <w:rPr>
                <w:rFonts w:ascii="Arial" w:cs="Arial" w:eastAsia="Arial" w:hAnsi="Arial"/>
                <w:sz w:val="16"/>
                <w:szCs w:val="16"/>
                <w:color w:val="004483"/>
              </w:rPr>
              <w:t>Interest Expense, net</w:t>
            </w:r>
          </w:p>
        </w:tc>
        <w:tc>
          <w:tcPr>
            <w:tcW w:w="3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(42,257 )</w:t>
            </w:r>
          </w:p>
        </w:tc>
        <w:tc>
          <w:tcPr>
            <w:tcW w:w="16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(35,171 )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40" w:type="dxa"/>
            <w:vAlign w:val="bottom"/>
            <w:shd w:val="clear" w:color="auto" w:fill="004483"/>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00" w:type="dxa"/>
            <w:vAlign w:val="bottom"/>
            <w:shd w:val="clear" w:color="auto" w:fill="004483"/>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color w:val="004483"/>
              </w:rPr>
              <w:t>Earnings Before Income Taxes</w:t>
            </w:r>
          </w:p>
        </w:tc>
        <w:tc>
          <w:tcPr>
            <w:tcW w:w="3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617,937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588,593</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3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(140,298 )</w:t>
            </w:r>
          </w:p>
        </w:tc>
        <w:tc>
          <w:tcPr>
            <w:tcW w:w="16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(127,053 )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62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40" w:type="dxa"/>
            <w:vAlign w:val="bottom"/>
            <w:shd w:val="clear" w:color="auto" w:fill="004483"/>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00" w:type="dxa"/>
            <w:vAlign w:val="bottom"/>
            <w:shd w:val="clear" w:color="auto" w:fill="004483"/>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b w:val="1"/>
                <w:bCs w:val="1"/>
                <w:color w:val="004483"/>
              </w:rPr>
              <w:t>Net Earnings</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477,639</w:t>
            </w:r>
          </w:p>
        </w:tc>
        <w:tc>
          <w:tcPr>
            <w:tcW w:w="160" w:type="dxa"/>
            <w:vAlign w:val="bottom"/>
          </w:tcPr>
          <w:p>
            <w:pPr>
              <w:spacing w:after="0"/>
              <w:rPr>
                <w:sz w:val="18"/>
                <w:szCs w:val="18"/>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461,540</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3 %</w:t>
            </w:r>
          </w:p>
        </w:tc>
        <w:tc>
          <w:tcPr>
            <w:tcW w:w="0" w:type="dxa"/>
            <w:vAlign w:val="bottom"/>
          </w:tcPr>
          <w:p>
            <w:pPr>
              <w:spacing w:after="0"/>
              <w:rPr>
                <w:sz w:val="1"/>
                <w:szCs w:val="1"/>
                <w:color w:val="auto"/>
              </w:rPr>
            </w:pP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5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ind w:left="20"/>
              <w:spacing w:after="0"/>
              <w:rPr>
                <w:sz w:val="20"/>
                <w:szCs w:val="20"/>
                <w:color w:val="auto"/>
              </w:rPr>
            </w:pPr>
            <w:r>
              <w:rPr>
                <w:rFonts w:ascii="Arial" w:cs="Arial" w:eastAsia="Arial" w:hAnsi="Arial"/>
                <w:sz w:val="16"/>
                <w:szCs w:val="16"/>
                <w:b w:val="1"/>
                <w:bCs w:val="1"/>
                <w:color w:val="004483"/>
              </w:rPr>
              <w:t>Diluted Earnings per Share</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13.61</w:t>
            </w:r>
          </w:p>
        </w:tc>
        <w:tc>
          <w:tcPr>
            <w:tcW w:w="160" w:type="dxa"/>
            <w:vAlign w:val="bottom"/>
          </w:tcPr>
          <w:p>
            <w:pPr>
              <w:spacing w:after="0"/>
              <w:rPr>
                <w:sz w:val="17"/>
                <w:szCs w:val="17"/>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12.46</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9 %</w:t>
            </w:r>
          </w:p>
        </w:tc>
        <w:tc>
          <w:tcPr>
            <w:tcW w:w="0" w:type="dxa"/>
            <w:vAlign w:val="bottom"/>
          </w:tcPr>
          <w:p>
            <w:pPr>
              <w:spacing w:after="0"/>
              <w:rPr>
                <w:sz w:val="1"/>
                <w:szCs w:val="1"/>
                <w:color w:val="auto"/>
              </w:rPr>
            </w:pP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5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REVENUE</w:t>
      </w:r>
    </w:p>
    <w:p>
      <w:pPr>
        <w:spacing w:after="0" w:line="10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Revenue increased in fiscal 2024 by $111.2 million, or 5%, to $2,259.3 million. Battletown Materials and the Stockton Terminal Acquisition contributed $7.2 million and $39.3 million of Revenue, respectively, during fiscal 2024. Excluding Revenue from Battletown Materials and the Stockton Terminal Acquisition, Revenue increased $64.7 million, or 3%. This increase was due to higher gross sales prices of approximately $123.9 million, partially offset by lower Sales Volume of $59.2 million. The higher gross sales prices were primarily due to Cement and Concrete and Aggregates, while lower Sales Volumes primarily related to all segments except Recycled Paperboard. See the disclosure in the Fiscal Year 2024 vs Fiscal Year 2023 Results by Segment section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COST OF GOODS SOLD</w:t>
      </w:r>
    </w:p>
    <w:p>
      <w:pPr>
        <w:spacing w:after="0" w:line="104"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Cost of Goods Sold increased by $ 65.2 million, or 4%, to $1,574.0 million in fiscal 2024. Battletown Materials and the Stockton Terminal Acquisition contributed $8.1 million and $41.8 million of Cost of Goods Sold, respectively, during fiscal 2024. Excluding Battletown Materials and the Stockton Terminal Acquisition, Cost of Goods Sold increased $15.3 million, or 1%. The increase in Cost of Goods Sold was due to higher operating costs of $61.5 million, partially offset by lower Sales Volume of $46.2 million. Operating costs increased in all of our businesses, except Recycled Paperboard and Aggregates, as discussed in the Fiscal Year 2024 vs Fiscal Year 2023 Results by Segment section.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GROSS PROFIT</w:t>
      </w:r>
    </w:p>
    <w:p>
      <w:pPr>
        <w:spacing w:after="0" w:line="10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Gross Profit increased by 7% to $685.3 million in fiscal 2024. The increase in Gross Profit was mainly due to higher gross sales prices, partially offset by higher operating costs, as noted above. We expanded our Gross Profit margin to 30.3% in fiscal 2024.</w:t>
      </w: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1" w:name="page52"/>
    <w:bookmarkEnd w:id="51"/>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EQUITY IN EARNINGS OF UNCONSOLIDATED JOINT VENTURE</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Equity in Earnings of Unconsolidated Joint Venture decreased by $3.9 million, or 11%. The decline was mostly due to higher operating costs and lower Sales Volume of $9.3 million and $ 2.8 million, respectively. This was partially offset by higher gross sales prices of approximately $8.2 million. The higher operating costs were due primarily to increased maintenance, energy, freight, and purchased cement costs, which reduced operating earnings by approximately $3.6 million, $1.4 million, $0.6 million, and $2.8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CORPORATE GENERAL AND ADMINISTRATIVE</w:t>
      </w:r>
    </w:p>
    <w:p>
      <w:pPr>
        <w:spacing w:after="0" w:line="104"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Corporate General and Administrative expenses increased by approximately $6.2 million, or 11%, to $59.8 million in fiscal 2024. The increase was due primarily to higher salary and incentive compensation, legal and professional fees, and information and technology upgrades of approximately $2.7 million, $1.9 million, and $1.5 million, respectively. The increase in salary and incentive compensation was mostly due to increased earnings during the year, while the increase in legal and professional expense was primarily due to the Stockton Terminal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NONOPERATING INCOME</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Other Nonoperating Income was $3.1 million in fiscal 2024 compared with $2.7 million in fiscal 2023. Other Nonoperating Income consists of a variety of items that are nonsegment operating in nature, including lease and rental income, investment income, asset sales, and other miscellaneous income and cost items, such as large nonroutine sales of excess raw materials or energy.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INTEREST EXPENSE, NET</w:t>
      </w:r>
    </w:p>
    <w:p>
      <w:pPr>
        <w:spacing w:after="0" w:line="104"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Interest Expense, net increased by approximately $7.1 million, or 20%, during fiscal 2024. The increase was primarily related to higher interest expense on our Revolving Credit Facility, including the Term Loan, of approximately $7.7 million. The increase in interest on our Revolving Credit Facility was related to increased average outstanding borrowings and higher interest rates, partially offset by increased interest income on cash deposits.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EARNINGS BEFORE INCOME TAXES</w:t>
      </w:r>
    </w:p>
    <w:p>
      <w:pPr>
        <w:spacing w:after="0" w:line="104"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Earnings Before Income Taxes increased to $617.9 million during fiscal 2024, primarily because of higher Gross Profit. This was partially offset by higher Corporate General and Administrative expenses and Interest Expense, as well as lower Equity in Earnings of Joint Venture.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INCOME TAX EXPENSE</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Income Tax Expense for fiscal 2024 increased to $140.3 million from $127.1 million for fiscal 2023. The effective tax rate was 23%, compared with 22% in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NET EARNINGS AND DILUTED EARNINGS PER SHARE</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Earnings increased 3% in fiscal 2024 to $477.6 million. Diluted Earnings per Share in fiscal 2024 was $13.61 compared with $12.46 for fiscal 2023.</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vs FISCAL YEAR 2023 RESULTS BY SEGMENT</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following presents results within our two business sectors in fiscal 2024 and fiscal 2023. Revenue and operating results are organized by sector and discussed by individual business segment within each respective business sector.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 xml:space="preserve">CEMENT </w:t>
      </w:r>
      <w:r>
        <w:rPr>
          <w:rFonts w:ascii="Arial" w:cs="Arial" w:eastAsia="Arial" w:hAnsi="Arial"/>
          <w:sz w:val="24"/>
          <w:szCs w:val="24"/>
          <w:b w:val="1"/>
          <w:bCs w:val="1"/>
          <w:color w:val="277EBF"/>
          <w:vertAlign w:val="superscript"/>
        </w:rPr>
        <w:t>(1)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2840" w:type="dxa"/>
            <w:vAlign w:val="bottom"/>
            <w:gridSpan w:val="6"/>
            <w:shd w:val="clear" w:color="auto" w:fill="004483"/>
          </w:tcPr>
          <w:p>
            <w:pPr>
              <w:jc w:val="right"/>
              <w:ind w:right="579"/>
              <w:spacing w:after="0"/>
              <w:rPr>
                <w:sz w:val="20"/>
                <w:szCs w:val="20"/>
                <w:color w:val="auto"/>
              </w:rPr>
            </w:pPr>
            <w:r>
              <w:rPr>
                <w:rFonts w:ascii="Arial" w:cs="Arial" w:eastAsia="Arial" w:hAnsi="Arial"/>
                <w:sz w:val="13"/>
                <w:szCs w:val="13"/>
                <w:b w:val="1"/>
                <w:bCs w:val="1"/>
                <w:color w:val="FFFFFF"/>
              </w:rPr>
              <w:t>For the Years Ended March 31,</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1"/>
        </w:trPr>
        <w:tc>
          <w:tcPr>
            <w:tcW w:w="6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680" w:type="dxa"/>
            <w:vAlign w:val="bottom"/>
            <w:gridSpan w:val="2"/>
          </w:tcPr>
          <w:p>
            <w:pPr>
              <w:jc w:val="right"/>
              <w:ind w:right="219"/>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6"/>
          </w:tcPr>
          <w:p>
            <w:pPr>
              <w:jc w:val="right"/>
              <w:ind w:right="339"/>
              <w:spacing w:after="0"/>
              <w:rPr>
                <w:sz w:val="20"/>
                <w:szCs w:val="20"/>
                <w:color w:val="auto"/>
              </w:rPr>
            </w:pPr>
            <w:r>
              <w:rPr>
                <w:rFonts w:ascii="Arial" w:cs="Arial" w:eastAsia="Arial" w:hAnsi="Arial"/>
                <w:sz w:val="13"/>
                <w:szCs w:val="13"/>
                <w:color w:val="auto"/>
              </w:rPr>
              <w:t>(in thousands, except per ton information)</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62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3983C5"/>
              </w:rPr>
              <w:t>Revenue, including Intersegment and Joint Venture</w:t>
            </w:r>
          </w:p>
        </w:tc>
        <w:tc>
          <w:tcPr>
            <w:tcW w:w="200" w:type="dxa"/>
            <w:vAlign w:val="bottom"/>
            <w:tcBorders>
              <w:top w:val="single" w:sz="8" w:color="17385E"/>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1,226,017</w:t>
            </w:r>
          </w:p>
        </w:tc>
        <w:tc>
          <w:tcPr>
            <w:tcW w:w="120" w:type="dxa"/>
            <w:vAlign w:val="bottom"/>
            <w:tcBorders>
              <w:top w:val="single" w:sz="8" w:color="17385E"/>
            </w:tcBorders>
          </w:tcPr>
          <w:p>
            <w:pPr>
              <w:spacing w:after="0"/>
              <w:rPr>
                <w:sz w:val="18"/>
                <w:szCs w:val="18"/>
                <w:color w:val="auto"/>
              </w:rPr>
            </w:pPr>
          </w:p>
        </w:tc>
        <w:tc>
          <w:tcPr>
            <w:tcW w:w="500" w:type="dxa"/>
            <w:vAlign w:val="bottom"/>
            <w:tcBorders>
              <w:top w:val="single" w:sz="8" w:color="17385E"/>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1,074,070</w:t>
            </w:r>
          </w:p>
        </w:tc>
        <w:tc>
          <w:tcPr>
            <w:tcW w:w="100" w:type="dxa"/>
            <w:vAlign w:val="bottom"/>
          </w:tcPr>
          <w:p>
            <w:pPr>
              <w:spacing w:after="0"/>
              <w:rPr>
                <w:sz w:val="18"/>
                <w:szCs w:val="18"/>
                <w:color w:val="auto"/>
              </w:rPr>
            </w:pPr>
          </w:p>
        </w:tc>
        <w:tc>
          <w:tcPr>
            <w:tcW w:w="14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Less Intersegment Revenue</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(35,363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(32,915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3983C5"/>
              </w:rPr>
              <w:t>Less Joint Venture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(112,736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(113,518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3983C5"/>
              </w:rPr>
              <w:t>Revenue</w:t>
            </w:r>
          </w:p>
        </w:tc>
        <w:tc>
          <w:tcPr>
            <w:tcW w:w="200" w:type="dxa"/>
            <w:vAlign w:val="bottom"/>
            <w:tcBorders>
              <w:top w:val="single" w:sz="8" w:color="004483"/>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1,077,918</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004483"/>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927,637</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62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3983C5"/>
              </w:rPr>
              <w:t>Sales Volume (M Tons)</w:t>
            </w:r>
          </w:p>
        </w:tc>
        <w:tc>
          <w:tcPr>
            <w:tcW w:w="20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7,289</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7,133</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Freight and Delivery Costs billed to Customers</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(70,823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(60,288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62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3983C5"/>
              </w:rPr>
              <w:t xml:space="preserve">Average Net Sales Price, per ton </w:t>
            </w:r>
            <w:r>
              <w:rPr>
                <w:rFonts w:ascii="Arial" w:cs="Arial" w:eastAsia="Arial" w:hAnsi="Arial"/>
                <w:sz w:val="21"/>
                <w:szCs w:val="21"/>
                <w:color w:val="3983C5"/>
                <w:vertAlign w:val="superscript"/>
              </w:rPr>
              <w:t>(2)</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150.99</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134.36</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Operating Margin, per ton</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39.08</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Operating Earnings</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338,349</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278,762</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-1859915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4"/>
          <w:szCs w:val="24"/>
          <w:color w:val="auto"/>
          <w:vertAlign w:val="subscript"/>
        </w:rPr>
      </w:pPr>
      <w:r>
        <w:rPr>
          <w:rFonts w:ascii="Arial" w:cs="Arial" w:eastAsia="Arial" w:hAnsi="Arial"/>
          <w:sz w:val="12"/>
          <w:szCs w:val="12"/>
          <w:color w:val="auto"/>
        </w:rPr>
        <w:t>Total of wholly owned subsidiaries and proportionately consolidated 50% interest of the Joint Venture’s results.</w:t>
      </w:r>
    </w:p>
    <w:p>
      <w:pPr>
        <w:spacing w:after="0" w:line="27" w:lineRule="exact"/>
        <w:rPr>
          <w:rFonts w:ascii="Arial" w:cs="Arial" w:eastAsia="Arial" w:hAnsi="Arial"/>
          <w:sz w:val="24"/>
          <w:szCs w:val="24"/>
          <w:color w:val="auto"/>
          <w:vertAlign w:val="subscript"/>
        </w:rPr>
      </w:pPr>
    </w:p>
    <w:p>
      <w:pPr>
        <w:ind w:left="380" w:hanging="372"/>
        <w:spacing w:after="0" w:line="183" w:lineRule="auto"/>
        <w:tabs>
          <w:tab w:leader="none" w:pos="380" w:val="left"/>
        </w:tabs>
        <w:numPr>
          <w:ilvl w:val="0"/>
          <w:numId w:val="21"/>
        </w:numPr>
        <w:rPr>
          <w:rFonts w:ascii="Arial" w:cs="Arial" w:eastAsia="Arial" w:hAnsi="Arial"/>
          <w:sz w:val="23"/>
          <w:szCs w:val="23"/>
          <w:color w:val="auto"/>
          <w:vertAlign w:val="subscript"/>
        </w:rPr>
      </w:pPr>
      <w:r>
        <w:rPr>
          <w:rFonts w:ascii="Arial" w:cs="Arial" w:eastAsia="Arial" w:hAnsi="Arial"/>
          <w:sz w:val="12"/>
          <w:szCs w:val="12"/>
          <w:color w:val="auto"/>
        </w:rPr>
        <w:t>Net of freight, including the Joint Venture.</w:t>
      </w:r>
    </w:p>
    <w:p>
      <w:pPr>
        <w:spacing w:after="0" w:line="173"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Cement Revenue was $1,226.0 million for fiscal 2024, a 14% increase over fiscal 2023. Excluding the Intersegment Revenue and the Revenue and Sales Volume from the Stockton Terminal Acquisition, Cement Revenue increased by approximately $110.1 million, primarily as a result of higher gross sales prices, which improved Cement Revenue by approximately $132.9 million, partially offset by lower Sales Volume, which reduced Revenue by $22.8 million.</w:t>
      </w:r>
    </w:p>
    <w:p>
      <w:pPr>
        <w:spacing w:after="0" w:line="6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Cement Operating Earnings increased 21% to $338.3 million for fiscal 2024. Excluding the Stockton Terminal Acquisition, Operating Earnings increased $62.0 million, or 22%, in fiscal 2024. The increase was due to higher gross sales prices, which positively affected Operating Earnings by approximately $132.9 million. This was partially offset by lower Sales Volume and higher operating expenses, which reduced Operating Earnings by $6.5 million and $64.4 million, respectively. The rise in operating expenses was mostly due to maintenance, energy, and purchased raw materials costs of approximately $29.9 million, $6.5 million and $14.4 million, respectively. The Operating Margin increased to 28%, primarily due to higher gross sales prices, partially offset by increased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3" w:name="page54"/>
    <w:bookmarkEnd w:id="53"/>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AND AGGREGATES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2800" w:type="dxa"/>
            <w:vAlign w:val="bottom"/>
            <w:gridSpan w:val="6"/>
            <w:shd w:val="clear" w:color="auto" w:fill="004483"/>
          </w:tcPr>
          <w:p>
            <w:pPr>
              <w:jc w:val="center"/>
              <w:ind w:right="340"/>
              <w:spacing w:after="0"/>
              <w:rPr>
                <w:sz w:val="20"/>
                <w:szCs w:val="20"/>
                <w:color w:val="auto"/>
              </w:rPr>
            </w:pPr>
            <w:r>
              <w:rPr>
                <w:rFonts w:ascii="Arial" w:cs="Arial" w:eastAsia="Arial" w:hAnsi="Arial"/>
                <w:sz w:val="13"/>
                <w:szCs w:val="13"/>
                <w:b w:val="1"/>
                <w:bCs w:val="1"/>
                <w:color w:val="FFFFFF"/>
                <w:w w:val="95"/>
              </w:rPr>
              <w:t>For the Years Ended March 31,</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1"/>
        </w:trPr>
        <w:tc>
          <w:tcPr>
            <w:tcW w:w="66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6"/>
          </w:tcPr>
          <w:p>
            <w:pPr>
              <w:jc w:val="center"/>
              <w:ind w:right="340"/>
              <w:spacing w:after="0"/>
              <w:rPr>
                <w:sz w:val="20"/>
                <w:szCs w:val="20"/>
                <w:color w:val="auto"/>
              </w:rPr>
            </w:pPr>
            <w:r>
              <w:rPr>
                <w:rFonts w:ascii="Arial" w:cs="Arial" w:eastAsia="Arial" w:hAnsi="Arial"/>
                <w:sz w:val="13"/>
                <w:szCs w:val="13"/>
                <w:color w:val="auto"/>
                <w:w w:val="96"/>
              </w:rPr>
              <w:t>(in thousands, except net sales prices)</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62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AAC6"/>
              </w:rPr>
              <w:t>Revenue, including Intersegment</w:t>
            </w:r>
          </w:p>
        </w:tc>
        <w:tc>
          <w:tcPr>
            <w:tcW w:w="240" w:type="dxa"/>
            <w:vAlign w:val="bottom"/>
            <w:tcBorders>
              <w:top w:val="single" w:sz="8" w:color="17385E"/>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252,952</w:t>
            </w:r>
          </w:p>
        </w:tc>
        <w:tc>
          <w:tcPr>
            <w:tcW w:w="120" w:type="dxa"/>
            <w:vAlign w:val="bottom"/>
            <w:tcBorders>
              <w:top w:val="single" w:sz="8" w:color="17385E"/>
            </w:tcBorders>
          </w:tcPr>
          <w:p>
            <w:pPr>
              <w:spacing w:after="0"/>
              <w:rPr>
                <w:sz w:val="18"/>
                <w:szCs w:val="18"/>
                <w:color w:val="auto"/>
              </w:rPr>
            </w:pPr>
          </w:p>
        </w:tc>
        <w:tc>
          <w:tcPr>
            <w:tcW w:w="580" w:type="dxa"/>
            <w:vAlign w:val="bottom"/>
            <w:tcBorders>
              <w:top w:val="single" w:sz="8" w:color="17385E"/>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239,516</w:t>
            </w:r>
          </w:p>
        </w:tc>
        <w:tc>
          <w:tcPr>
            <w:tcW w:w="100" w:type="dxa"/>
            <w:vAlign w:val="bottom"/>
          </w:tcPr>
          <w:p>
            <w:pPr>
              <w:spacing w:after="0"/>
              <w:rPr>
                <w:sz w:val="18"/>
                <w:szCs w:val="18"/>
                <w:color w:val="auto"/>
              </w:rPr>
            </w:pPr>
          </w:p>
        </w:tc>
        <w:tc>
          <w:tcPr>
            <w:tcW w:w="14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00AAC6"/>
              </w:rPr>
              <w:t>Less Intersegment Revenue</w:t>
            </w:r>
          </w:p>
        </w:tc>
        <w:tc>
          <w:tcPr>
            <w:tcW w:w="24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(12,940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AAC6"/>
              </w:rPr>
              <w:t>Revenue</w:t>
            </w:r>
          </w:p>
        </w:tc>
        <w:tc>
          <w:tcPr>
            <w:tcW w:w="240" w:type="dxa"/>
            <w:vAlign w:val="bottom"/>
            <w:tcBorders>
              <w:top w:val="single" w:sz="8" w:color="004483"/>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240,012</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420" w:type="dxa"/>
            <w:vAlign w:val="bottom"/>
            <w:tcBorders>
              <w:top w:val="single" w:sz="8" w:color="004483"/>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239,516</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10"/>
        </w:trPr>
        <w:tc>
          <w:tcPr>
            <w:tcW w:w="66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AAC6"/>
              </w:rPr>
              <w:t>Sales Volume</w:t>
            </w:r>
          </w:p>
        </w:tc>
        <w:tc>
          <w:tcPr>
            <w:tcW w:w="24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M Cubic Yards of Concrete</w:t>
            </w:r>
          </w:p>
        </w:tc>
        <w:tc>
          <w:tcPr>
            <w:tcW w:w="24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M Tons of Aggregate</w:t>
            </w:r>
          </w:p>
        </w:tc>
        <w:tc>
          <w:tcPr>
            <w:tcW w:w="24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4,064</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2,909</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AAC6"/>
              </w:rPr>
              <w:t>Average Net Sales Price</w:t>
            </w:r>
          </w:p>
        </w:tc>
        <w:tc>
          <w:tcPr>
            <w:tcW w:w="24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 Per Cubic Yard</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145.98</w:t>
            </w:r>
          </w:p>
        </w:tc>
        <w:tc>
          <w:tcPr>
            <w:tcW w:w="120" w:type="dxa"/>
            <w:vAlign w:val="bottom"/>
          </w:tcPr>
          <w:p>
            <w:pPr>
              <w:spacing w:after="0"/>
              <w:rPr>
                <w:sz w:val="18"/>
                <w:szCs w:val="18"/>
                <w:color w:val="auto"/>
              </w:rPr>
            </w:pPr>
          </w:p>
        </w:tc>
        <w:tc>
          <w:tcPr>
            <w:tcW w:w="58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133.34</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Aggregates - Per Ton</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18"/>
                <w:szCs w:val="18"/>
                <w:color w:val="auto"/>
              </w:rPr>
            </w:pPr>
          </w:p>
        </w:tc>
        <w:tc>
          <w:tcPr>
            <w:tcW w:w="58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37"/>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AAC6"/>
              </w:rPr>
              <w:t>Operating Earnings</w:t>
            </w:r>
          </w:p>
        </w:tc>
        <w:tc>
          <w:tcPr>
            <w:tcW w:w="240" w:type="dxa"/>
            <w:vAlign w:val="bottom"/>
            <w:tcBorders>
              <w:top w:val="single" w:sz="8" w:color="A6A6A6"/>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12,401</w:t>
            </w:r>
          </w:p>
        </w:tc>
        <w:tc>
          <w:tcPr>
            <w:tcW w:w="120" w:type="dxa"/>
            <w:vAlign w:val="bottom"/>
          </w:tcPr>
          <w:p>
            <w:pPr>
              <w:spacing w:after="0"/>
              <w:rPr>
                <w:sz w:val="18"/>
                <w:szCs w:val="18"/>
                <w:color w:val="auto"/>
              </w:rPr>
            </w:pPr>
          </w:p>
        </w:tc>
        <w:tc>
          <w:tcPr>
            <w:tcW w:w="580" w:type="dxa"/>
            <w:vAlign w:val="bottom"/>
            <w:tcBorders>
              <w:top w:val="single" w:sz="8" w:color="A6A6A6"/>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-2022475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Concrete and Aggregates Revenue increased 6% to $253.0 million for fiscal 2024. Excluding Battletown Materials and Intersegment Revenue, Revenue decreased 3% to $232.8 million. The decrease in Revenue was primarily related to lower Sales Volume in Concrete, which negatively affected Revenue by $28.9 million. This was partially offset by higher gross sales prices and Sales Volume for Aggregates of $18.6 million and $3.6 million, respectively.</w:t>
      </w:r>
    </w:p>
    <w:p>
      <w:pPr>
        <w:spacing w:after="0" w:line="6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Operating Earnings decreased 32% to approximately $12.4 million. Excluding Battletown Materials, Operating Earnings were $13.2 million, a decrease of $5.1 million. The decline in Operating Earnings was due to higher operating expenses of $23.8 million. This was partially offset by higher gross sales prices and Sales Volume of $18.6 million and $0.3 million, respectively. The increase in operating expenses was primarily due to higher cost of materials, maintenance, and delivery of approximately $17.7 million, $2.4 million, and $3.1 million,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4" w:name="page55"/>
    <w:bookmarkEnd w:id="54"/>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2880" w:type="dxa"/>
            <w:vAlign w:val="bottom"/>
            <w:gridSpan w:val="5"/>
            <w:shd w:val="clear" w:color="auto" w:fill="004483"/>
          </w:tcPr>
          <w:p>
            <w:pPr>
              <w:jc w:val="center"/>
              <w:ind w:right="179"/>
              <w:spacing w:after="0"/>
              <w:rPr>
                <w:sz w:val="20"/>
                <w:szCs w:val="20"/>
                <w:color w:val="auto"/>
              </w:rPr>
            </w:pPr>
            <w:r>
              <w:rPr>
                <w:rFonts w:ascii="Arial" w:cs="Arial" w:eastAsia="Arial" w:hAnsi="Arial"/>
                <w:sz w:val="13"/>
                <w:szCs w:val="13"/>
                <w:b w:val="1"/>
                <w:bCs w:val="1"/>
                <w:color w:val="FFFFFF"/>
                <w:w w:val="95"/>
              </w:rPr>
              <w:t>For the Years Ended March 31,</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1"/>
        </w:trPr>
        <w:tc>
          <w:tcPr>
            <w:tcW w:w="66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680" w:type="dxa"/>
            <w:vAlign w:val="bottom"/>
            <w:gridSpan w:val="2"/>
          </w:tcPr>
          <w:p>
            <w:pPr>
              <w:jc w:val="right"/>
              <w:ind w:right="219"/>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center"/>
              <w:ind w:right="199"/>
              <w:spacing w:after="0"/>
              <w:rPr>
                <w:sz w:val="20"/>
                <w:szCs w:val="20"/>
                <w:color w:val="auto"/>
              </w:rPr>
            </w:pPr>
            <w:r>
              <w:rPr>
                <w:rFonts w:ascii="Arial" w:cs="Arial" w:eastAsia="Arial" w:hAnsi="Arial"/>
                <w:sz w:val="13"/>
                <w:szCs w:val="13"/>
                <w:color w:val="auto"/>
                <w:w w:val="96"/>
              </w:rPr>
              <w:t>(in thousands, except per MMSF information)</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62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77943C"/>
              </w:rPr>
              <w:t>Revenue</w:t>
            </w:r>
          </w:p>
        </w:tc>
        <w:tc>
          <w:tcPr>
            <w:tcW w:w="16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839,530</w:t>
            </w:r>
          </w:p>
        </w:tc>
        <w:tc>
          <w:tcPr>
            <w:tcW w:w="120" w:type="dxa"/>
            <w:vAlign w:val="bottom"/>
            <w:tcBorders>
              <w:top w:val="single" w:sz="8" w:color="17385E"/>
            </w:tcBorders>
          </w:tcPr>
          <w:p>
            <w:pPr>
              <w:spacing w:after="0"/>
              <w:rPr>
                <w:sz w:val="18"/>
                <w:szCs w:val="18"/>
                <w:color w:val="auto"/>
              </w:rPr>
            </w:pPr>
          </w:p>
        </w:tc>
        <w:tc>
          <w:tcPr>
            <w:tcW w:w="540" w:type="dxa"/>
            <w:vAlign w:val="bottom"/>
            <w:tcBorders>
              <w:top w:val="single" w:sz="8" w:color="17385E"/>
              <w:bottom w:val="single" w:sz="8" w:color="A6A6A6"/>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872,471</w:t>
            </w:r>
          </w:p>
        </w:tc>
        <w:tc>
          <w:tcPr>
            <w:tcW w:w="100" w:type="dxa"/>
            <w:vAlign w:val="bottom"/>
          </w:tcPr>
          <w:p>
            <w:pPr>
              <w:spacing w:after="0"/>
              <w:rPr>
                <w:sz w:val="18"/>
                <w:szCs w:val="18"/>
                <w:color w:val="auto"/>
              </w:rPr>
            </w:pPr>
          </w:p>
        </w:tc>
        <w:tc>
          <w:tcPr>
            <w:tcW w:w="14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w:t>
            </w:r>
          </w:p>
        </w:tc>
      </w:tr>
      <w:tr>
        <w:trPr>
          <w:trHeight w:val="210"/>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77943C"/>
              </w:rPr>
              <w:t>Sales Volume (MMSF)</w:t>
            </w:r>
          </w:p>
        </w:tc>
        <w:tc>
          <w:tcPr>
            <w:tcW w:w="160" w:type="dxa"/>
            <w:vAlign w:val="bottom"/>
            <w:tcBorders>
              <w:top w:val="single" w:sz="8" w:color="A6A6A6"/>
              <w:bottom w:val="single" w:sz="8" w:color="A6A6A6"/>
            </w:tcBorders>
          </w:tcPr>
          <w:p>
            <w:pPr>
              <w:spacing w:after="0"/>
              <w:rPr>
                <w:sz w:val="18"/>
                <w:szCs w:val="18"/>
                <w:color w:val="auto"/>
              </w:rPr>
            </w:pPr>
          </w:p>
        </w:tc>
        <w:tc>
          <w:tcPr>
            <w:tcW w:w="11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18"/>
                <w:szCs w:val="18"/>
                <w:color w:val="auto"/>
              </w:rPr>
            </w:pPr>
          </w:p>
        </w:tc>
        <w:tc>
          <w:tcPr>
            <w:tcW w:w="54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77943C"/>
              </w:rPr>
              <w:t>Freight and Delivery Costs billed to Customers</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(149,441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(160,536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w:t>
            </w:r>
          </w:p>
        </w:tc>
      </w:tr>
      <w:tr>
        <w:trPr>
          <w:trHeight w:val="210"/>
        </w:trPr>
        <w:tc>
          <w:tcPr>
            <w:tcW w:w="662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77943C"/>
              </w:rPr>
              <w:t xml:space="preserve">Average Net Sales Price, per MSF </w:t>
            </w:r>
            <w:r>
              <w:rPr>
                <w:rFonts w:ascii="Arial" w:cs="Arial" w:eastAsia="Arial" w:hAnsi="Arial"/>
                <w:sz w:val="21"/>
                <w:szCs w:val="21"/>
                <w:color w:val="77943C"/>
                <w:vertAlign w:val="superscript"/>
              </w:rPr>
              <w:t>(1)</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232.75</w:t>
            </w:r>
          </w:p>
        </w:tc>
        <w:tc>
          <w:tcPr>
            <w:tcW w:w="120" w:type="dxa"/>
            <w:vAlign w:val="bottom"/>
          </w:tcPr>
          <w:p>
            <w:pPr>
              <w:spacing w:after="0"/>
              <w:rPr>
                <w:sz w:val="18"/>
                <w:szCs w:val="18"/>
                <w:color w:val="auto"/>
              </w:rPr>
            </w:pPr>
          </w:p>
        </w:tc>
        <w:tc>
          <w:tcPr>
            <w:tcW w:w="54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232.31</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77943C"/>
              </w:rPr>
              <w:t>Freight, per MSF</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50.40</w:t>
            </w:r>
          </w:p>
        </w:tc>
        <w:tc>
          <w:tcPr>
            <w:tcW w:w="120" w:type="dxa"/>
            <w:vAlign w:val="bottom"/>
          </w:tcPr>
          <w:p>
            <w:pPr>
              <w:spacing w:after="0"/>
              <w:rPr>
                <w:sz w:val="18"/>
                <w:szCs w:val="18"/>
                <w:color w:val="auto"/>
              </w:rPr>
            </w:pPr>
          </w:p>
        </w:tc>
        <w:tc>
          <w:tcPr>
            <w:tcW w:w="54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52.38</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77943C"/>
              </w:rPr>
              <w:t>Operating Margin, per MSF</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112.83</w:t>
            </w:r>
          </w:p>
        </w:tc>
        <w:tc>
          <w:tcPr>
            <w:tcW w:w="120" w:type="dxa"/>
            <w:vAlign w:val="bottom"/>
          </w:tcPr>
          <w:p>
            <w:pPr>
              <w:spacing w:after="0"/>
              <w:rPr>
                <w:sz w:val="18"/>
                <w:szCs w:val="18"/>
                <w:color w:val="auto"/>
              </w:rPr>
            </w:pPr>
          </w:p>
        </w:tc>
        <w:tc>
          <w:tcPr>
            <w:tcW w:w="54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115.01</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77943C"/>
              </w:rPr>
              <w:t>Operating Earnings</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334,536</w:t>
            </w:r>
          </w:p>
        </w:tc>
        <w:tc>
          <w:tcPr>
            <w:tcW w:w="120" w:type="dxa"/>
            <w:vAlign w:val="bottom"/>
          </w:tcPr>
          <w:p>
            <w:pPr>
              <w:spacing w:after="0"/>
              <w:rPr>
                <w:sz w:val="18"/>
                <w:szCs w:val="18"/>
                <w:color w:val="auto"/>
              </w:rPr>
            </w:pPr>
          </w:p>
        </w:tc>
        <w:tc>
          <w:tcPr>
            <w:tcW w:w="54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352,499</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-1405255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line="220" w:lineRule="auto"/>
        <w:tabs>
          <w:tab w:leader="none" w:pos="380" w:val="left"/>
        </w:tabs>
        <w:numPr>
          <w:ilvl w:val="0"/>
          <w:numId w:val="22"/>
        </w:numPr>
        <w:rPr>
          <w:rFonts w:ascii="Arial" w:cs="Arial" w:eastAsia="Arial" w:hAnsi="Arial"/>
          <w:sz w:val="24"/>
          <w:szCs w:val="24"/>
          <w:color w:val="auto"/>
          <w:vertAlign w:val="subscript"/>
        </w:rPr>
      </w:pPr>
      <w:r>
        <w:rPr>
          <w:rFonts w:ascii="Arial" w:cs="Arial" w:eastAsia="Arial" w:hAnsi="Arial"/>
          <w:sz w:val="12"/>
          <w:szCs w:val="12"/>
          <w:color w:val="auto"/>
        </w:rPr>
        <w:t>Net of freight per MSF.</w:t>
      </w:r>
    </w:p>
    <w:p>
      <w:pPr>
        <w:spacing w:after="0" w:line="174"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Gypsum Wallboard Revenue decreased 4% to $ 839.5 million in fiscal 2024. The decrease was due to lower gross sales prices and Sales Volume, which reduced Revenue by $4.5 million and $28.5 million, respectively. Our market share remained relatively flat in fiscal 2024 compared with fiscal 2023.</w:t>
      </w:r>
    </w:p>
    <w:p>
      <w:pPr>
        <w:spacing w:after="0" w:line="6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Operating Earnings decreased 5% to $334.5 million for fiscal 2024. The decrease was primarily related to lower gross sales prices and Sales Volume of approximately $4.5 million and $11.5 million, respectively, as well as higher operating expenses of $2.0 million. During fiscal 2024, Gypsum Wallboard Operating Margin remained flat at 40%. Fixed costs are not a significant part of the overall cost of wallboard; therefore, changes in volume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EB949"/>
        </w:rPr>
        <w:t>RECYCLED PAPERBOARD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2840" w:type="dxa"/>
            <w:vAlign w:val="bottom"/>
            <w:gridSpan w:val="6"/>
            <w:shd w:val="clear" w:color="auto" w:fill="004483"/>
          </w:tcPr>
          <w:p>
            <w:pPr>
              <w:jc w:val="center"/>
              <w:ind w:right="219"/>
              <w:spacing w:after="0"/>
              <w:rPr>
                <w:sz w:val="20"/>
                <w:szCs w:val="20"/>
                <w:color w:val="auto"/>
              </w:rPr>
            </w:pPr>
            <w:r>
              <w:rPr>
                <w:rFonts w:ascii="Arial" w:cs="Arial" w:eastAsia="Arial" w:hAnsi="Arial"/>
                <w:sz w:val="13"/>
                <w:szCs w:val="13"/>
                <w:b w:val="1"/>
                <w:bCs w:val="1"/>
                <w:color w:val="FFFFFF"/>
                <w:w w:val="95"/>
              </w:rPr>
              <w:t>For the Years Ended March 31,</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1"/>
        </w:trPr>
        <w:tc>
          <w:tcPr>
            <w:tcW w:w="6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680" w:type="dxa"/>
            <w:vAlign w:val="bottom"/>
            <w:gridSpan w:val="2"/>
          </w:tcPr>
          <w:p>
            <w:pPr>
              <w:jc w:val="right"/>
              <w:ind w:right="219"/>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6"/>
          </w:tcPr>
          <w:p>
            <w:pPr>
              <w:jc w:val="center"/>
              <w:ind w:right="239"/>
              <w:spacing w:after="0"/>
              <w:rPr>
                <w:sz w:val="20"/>
                <w:szCs w:val="20"/>
                <w:color w:val="auto"/>
              </w:rPr>
            </w:pPr>
            <w:r>
              <w:rPr>
                <w:rFonts w:ascii="Arial" w:cs="Arial" w:eastAsia="Arial" w:hAnsi="Arial"/>
                <w:sz w:val="13"/>
                <w:szCs w:val="13"/>
                <w:color w:val="auto"/>
                <w:w w:val="96"/>
              </w:rPr>
              <w:t>(in thousands, except per ton information)</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62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AEB949"/>
              </w:rPr>
              <w:t>Revenue, including Intersegment</w:t>
            </w:r>
          </w:p>
        </w:tc>
        <w:tc>
          <w:tcPr>
            <w:tcW w:w="200" w:type="dxa"/>
            <w:vAlign w:val="bottom"/>
            <w:tcBorders>
              <w:top w:val="single" w:sz="8" w:color="17385E"/>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184,188</w:t>
            </w:r>
          </w:p>
        </w:tc>
        <w:tc>
          <w:tcPr>
            <w:tcW w:w="120" w:type="dxa"/>
            <w:vAlign w:val="bottom"/>
            <w:tcBorders>
              <w:top w:val="single" w:sz="8" w:color="17385E"/>
            </w:tcBorders>
          </w:tcPr>
          <w:p>
            <w:pPr>
              <w:spacing w:after="0"/>
              <w:rPr>
                <w:sz w:val="18"/>
                <w:szCs w:val="18"/>
                <w:color w:val="auto"/>
              </w:rPr>
            </w:pPr>
          </w:p>
        </w:tc>
        <w:tc>
          <w:tcPr>
            <w:tcW w:w="580" w:type="dxa"/>
            <w:vAlign w:val="bottom"/>
            <w:tcBorders>
              <w:top w:val="single" w:sz="8" w:color="17385E"/>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201,280</w:t>
            </w:r>
          </w:p>
        </w:tc>
        <w:tc>
          <w:tcPr>
            <w:tcW w:w="100" w:type="dxa"/>
            <w:vAlign w:val="bottom"/>
          </w:tcPr>
          <w:p>
            <w:pPr>
              <w:spacing w:after="0"/>
              <w:rPr>
                <w:sz w:val="18"/>
                <w:szCs w:val="18"/>
                <w:color w:val="auto"/>
              </w:rPr>
            </w:pPr>
          </w:p>
        </w:tc>
        <w:tc>
          <w:tcPr>
            <w:tcW w:w="14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EB949"/>
              </w:rPr>
              <w:t>Less Intersegment Revenue</w:t>
            </w:r>
          </w:p>
        </w:tc>
        <w:tc>
          <w:tcPr>
            <w:tcW w:w="20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(82,351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(92,835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AEB949"/>
              </w:rPr>
              <w:t>Revenue</w:t>
            </w:r>
          </w:p>
        </w:tc>
        <w:tc>
          <w:tcPr>
            <w:tcW w:w="200" w:type="dxa"/>
            <w:vAlign w:val="bottom"/>
            <w:tcBorders>
              <w:top w:val="single" w:sz="8" w:color="004483"/>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101,837</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420" w:type="dxa"/>
            <w:vAlign w:val="bottom"/>
            <w:tcBorders>
              <w:top w:val="single" w:sz="8" w:color="004483"/>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108,445</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10"/>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r>
      <w:tr>
        <w:trPr>
          <w:trHeight w:val="209"/>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AEB949"/>
              </w:rPr>
              <w:t>Sales Volume (M Tons)</w:t>
            </w:r>
          </w:p>
        </w:tc>
        <w:tc>
          <w:tcPr>
            <w:tcW w:w="20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42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10"/>
        </w:trPr>
        <w:tc>
          <w:tcPr>
            <w:tcW w:w="662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AEB949"/>
              </w:rPr>
              <w:t xml:space="preserve">Average Net Sales Price, per ton </w:t>
            </w:r>
            <w:r>
              <w:rPr>
                <w:rFonts w:ascii="Arial" w:cs="Arial" w:eastAsia="Arial" w:hAnsi="Arial"/>
                <w:sz w:val="21"/>
                <w:szCs w:val="21"/>
                <w:color w:val="AEB949"/>
                <w:vertAlign w:val="superscript"/>
              </w:rPr>
              <w:t>(1)</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551.72</w:t>
            </w:r>
          </w:p>
        </w:tc>
        <w:tc>
          <w:tcPr>
            <w:tcW w:w="120" w:type="dxa"/>
            <w:vAlign w:val="bottom"/>
          </w:tcPr>
          <w:p>
            <w:pPr>
              <w:spacing w:after="0"/>
              <w:rPr>
                <w:sz w:val="18"/>
                <w:szCs w:val="18"/>
                <w:color w:val="auto"/>
              </w:rPr>
            </w:pPr>
          </w:p>
        </w:tc>
        <w:tc>
          <w:tcPr>
            <w:tcW w:w="58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590.67</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EB949"/>
              </w:rPr>
              <w:t>Operating Margin, per ton</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94.94</w:t>
            </w:r>
          </w:p>
        </w:tc>
        <w:tc>
          <w:tcPr>
            <w:tcW w:w="120" w:type="dxa"/>
            <w:vAlign w:val="bottom"/>
          </w:tcPr>
          <w:p>
            <w:pPr>
              <w:spacing w:after="0"/>
              <w:rPr>
                <w:sz w:val="18"/>
                <w:szCs w:val="18"/>
                <w:color w:val="auto"/>
              </w:rPr>
            </w:pPr>
          </w:p>
        </w:tc>
        <w:tc>
          <w:tcPr>
            <w:tcW w:w="58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77.36</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EB949"/>
              </w:rPr>
              <w:t>Operating Earnings</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31,616</w:t>
            </w:r>
          </w:p>
        </w:tc>
        <w:tc>
          <w:tcPr>
            <w:tcW w:w="120" w:type="dxa"/>
            <w:vAlign w:val="bottom"/>
          </w:tcPr>
          <w:p>
            <w:pPr>
              <w:spacing w:after="0"/>
              <w:rPr>
                <w:sz w:val="18"/>
                <w:szCs w:val="18"/>
                <w:color w:val="auto"/>
              </w:rPr>
            </w:pPr>
          </w:p>
        </w:tc>
        <w:tc>
          <w:tcPr>
            <w:tcW w:w="58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25,220</w:t>
            </w:r>
          </w:p>
        </w:tc>
        <w:tc>
          <w:tcPr>
            <w:tcW w:w="100" w:type="dxa"/>
            <w:vAlign w:val="bottom"/>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-1422400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4"/>
          <w:szCs w:val="24"/>
          <w:color w:val="auto"/>
          <w:vertAlign w:val="subscript"/>
        </w:rPr>
      </w:pPr>
      <w:r>
        <w:rPr>
          <w:rFonts w:ascii="Arial" w:cs="Arial" w:eastAsia="Arial" w:hAnsi="Arial"/>
          <w:sz w:val="12"/>
          <w:szCs w:val="12"/>
          <w:color w:val="auto"/>
        </w:rPr>
        <w:t>Net of freight per ton.</w:t>
      </w:r>
    </w:p>
    <w:p>
      <w:pPr>
        <w:spacing w:after="0" w:line="17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Recycled Paperboard Revenue, including intersegment Revenue, declined 8% to $184.2 million for fiscal 2024, as lower gross sales prices negatively affected Revenue by approximately $21.3 million, partially offset by higher Sales Volume of $4.2 million. The decrease in gross sales prices was due to the price adjustment provisions in our long-term sales agreements.</w:t>
      </w:r>
    </w:p>
    <w:p>
      <w:pPr>
        <w:spacing w:after="0" w:line="6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Operating Earnings increased 25% to $31.6 million for fiscal 2024, primarily related to higher Sales Volume and lower operating expenses of $0.6 million and $27.1 million, respectively. This was partially offset by lower gross sales prices of $21.3 million. The decrease in operating expenses was primarily related to lower input costs, namely raw materials, energy, and freight, which increased Operating Earnings by $16.9 million, $3.7 million, and $8.1 million, respectively. This was partially offset by higher chemical expenses of $1.3 million. During fiscal 2024, Operating Margin increased to 17% from 13% in fiscal 2023, primarily because of lower operating expenses, partially offset by lower gross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7" w:right="239" w:bottom="1440" w:gutter="0" w:footer="0" w:header="0"/>
        </w:sectPr>
      </w:pPr>
    </w:p>
    <w:bookmarkStart w:id="56" w:name="page57"/>
    <w:bookmarkEnd w:id="56"/>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COMPARED WITH FISCAL YEAR 2022</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 xml:space="preserve">Please see our Form 10-K for fiscal year 2023 for the discussion of our Results of Operations and results of Revenue and Operating Earnings by segment for fiscal 2023 compared with fiscal 2022. Our 2023 Form 10-K can be found on the investor page of our website,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CRITICAL ACCOUNTING POLICIES</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 impact. Listed below are those policies that we believe are critical and require the use of complex judgment in their application.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of Long-Lived Assets</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groups of assets, are evaluated for impairment at the lowest level for which cash flows are largely independent of the cash flows of other assets. We assess recoverability of assets, or groups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groups of assets, exceeds the undiscounted cash flows, then an impairment is indicated. If such assets, or groups of assets, are considered to be impaired, the impairment is recognized as the amount by which the carrying amount of the asset, or group of assets, exceeds the fair value of the asset, or group of assets.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annually assess Goodwill for impairment in the fourth quarter of our fiscal year, or more frequently when indicators of impairment exist.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Impairment testing for Goodwill is done at the reporting unit, which is consistent with our reportable segments.</w:t>
      </w:r>
    </w:p>
    <w:p>
      <w:pPr>
        <w:spacing w:after="0" w:line="8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analysis. The qualitative test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test is not required. If we are unable to conclude that it is more likely than not that the fair value of the reporting unit exceeds its carrying value, then we proceed to the quantitative Step 1 test.</w:t>
      </w:r>
    </w:p>
    <w:p>
      <w:pPr>
        <w:spacing w:after="0" w:line="7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5"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reporting unit exceeds its fair value, then an impairment charge equal to the difference, not to exceed the total amount of Goodwill, is recorded.</w:t>
      </w:r>
    </w:p>
    <w:p>
      <w:pPr>
        <w:spacing w:after="0" w:line="4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 estimated average net sales prices, sales volume, and the estimated weighted average cost of capital specific to each industry. We also perform an overall comparison of all reporting units to our market capitalization in order to test the reasonableness of our fair value calculations.</w:t>
      </w:r>
    </w:p>
    <w:p>
      <w:pPr>
        <w:spacing w:after="0" w:line="6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 market trends, interest rates, or other factors outside of our control, such as a worldwide pandemic,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2024 and 2023,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(dollars in thousands)</w:t>
            </w:r>
          </w:p>
        </w:tc>
        <w:tc>
          <w:tcPr>
            <w:tcW w:w="1120" w:type="dxa"/>
            <w:vAlign w:val="bottom"/>
          </w:tcPr>
          <w:p>
            <w:pPr>
              <w:jc w:val="right"/>
              <w:ind w:right="662"/>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77"/>
        </w:trPr>
        <w:tc>
          <w:tcPr>
            <w:tcW w:w="772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460" w:type="dxa"/>
            <w:vAlign w:val="bottom"/>
            <w:tcBorders>
              <w:bottom w:val="single" w:sz="8" w:color="004483"/>
            </w:tcBorders>
            <w:gridSpan w:val="3"/>
            <w:vMerge w:val="continue"/>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17387C"/>
              </w:rPr>
              <w:t>Cement</w:t>
            </w:r>
          </w:p>
        </w:tc>
        <w:tc>
          <w:tcPr>
            <w:tcW w:w="940" w:type="dxa"/>
            <w:vAlign w:val="bottom"/>
            <w:tcBorders>
              <w:bottom w:val="single" w:sz="8" w:color="A6A6A6"/>
            </w:tcBorders>
          </w:tcPr>
          <w:p>
            <w:pPr>
              <w:jc w:val="right"/>
              <w:ind w:right="76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227,639</w:t>
            </w:r>
          </w:p>
        </w:tc>
        <w:tc>
          <w:tcPr>
            <w:tcW w:w="720" w:type="dxa"/>
            <w:vAlign w:val="bottom"/>
            <w:tcBorders>
              <w:bottom w:val="single" w:sz="8" w:color="A6A6A6"/>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215,781</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Concrete and Aggregates</w:t>
            </w:r>
          </w:p>
        </w:tc>
        <w:tc>
          <w:tcPr>
            <w:tcW w:w="94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40,774</w:t>
            </w:r>
          </w:p>
        </w:tc>
        <w:tc>
          <w:tcPr>
            <w:tcW w:w="18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40,774</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Wallboard</w:t>
            </w:r>
          </w:p>
        </w:tc>
        <w:tc>
          <w:tcPr>
            <w:tcW w:w="94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116,618</w:t>
            </w:r>
          </w:p>
        </w:tc>
        <w:tc>
          <w:tcPr>
            <w:tcW w:w="18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116,618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EB949"/>
              </w:rPr>
              <w:t>Paperboard</w:t>
            </w:r>
          </w:p>
        </w:tc>
        <w:tc>
          <w:tcPr>
            <w:tcW w:w="94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7,538</w:t>
            </w:r>
          </w:p>
        </w:tc>
        <w:tc>
          <w:tcPr>
            <w:tcW w:w="18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7,538</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940" w:type="dxa"/>
            <w:vAlign w:val="bottom"/>
          </w:tcPr>
          <w:p>
            <w:pPr>
              <w:jc w:val="right"/>
              <w:ind w:right="765"/>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62"/>
              <w:spacing w:after="0"/>
              <w:rPr>
                <w:sz w:val="20"/>
                <w:szCs w:val="20"/>
                <w:color w:val="auto"/>
              </w:rPr>
            </w:pPr>
            <w:r>
              <w:rPr>
                <w:rFonts w:ascii="Arial" w:cs="Arial" w:eastAsia="Arial" w:hAnsi="Arial"/>
                <w:sz w:val="16"/>
                <w:szCs w:val="16"/>
                <w:b w:val="1"/>
                <w:bCs w:val="1"/>
                <w:color w:val="auto"/>
              </w:rPr>
              <w:t>392,569</w:t>
            </w:r>
          </w:p>
        </w:tc>
        <w:tc>
          <w:tcPr>
            <w:tcW w:w="7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380,711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004483"/>
              <w:bottom w:val="single" w:sz="8" w:color="004483"/>
            </w:tcBorders>
          </w:tcPr>
          <w:p>
            <w:pPr>
              <w:spacing w:after="0" w:line="20" w:lineRule="exact"/>
              <w:rPr>
                <w:sz w:val="1"/>
                <w:szCs w:val="1"/>
                <w:color w:val="auto"/>
              </w:rPr>
            </w:pPr>
          </w:p>
        </w:tc>
        <w:tc>
          <w:tcPr>
            <w:tcW w:w="74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4483"/>
              <w:bottom w:val="single" w:sz="8" w:color="004483"/>
            </w:tcBorders>
          </w:tcPr>
          <w:p>
            <w:pPr>
              <w:spacing w:after="0" w:line="20" w:lineRule="exact"/>
              <w:rPr>
                <w:sz w:val="1"/>
                <w:szCs w:val="1"/>
                <w:color w:val="auto"/>
              </w:rPr>
            </w:pPr>
          </w:p>
        </w:tc>
        <w:tc>
          <w:tcPr>
            <w:tcW w:w="112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Business Combinations</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7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 legally permissible, and financially feasible at the measurement date. We assign the highest level of fair value available to assets acquired and liabilities assumed based on the following options: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quoted prices, for similar assets or liabilities in active markets.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which includes the use of valuation models.</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4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Level 3 inputs are used to estimate the fair value of acquired mineral reserves, mineral interests, and separately identifiable intangible assets.</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6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 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6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to our Consolidated Statements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LIQUIDITY AND CAPITAL RESOURCES</w:t>
      </w:r>
    </w:p>
    <w:p>
      <w:pPr>
        <w:spacing w:after="0" w:line="10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We believe that we have access at the present time to sufficient financial resources from our liquidity sources to fund our business and operations, including contractual obligations, capital expenditures, and debt service obligations, for at least the next twelve months. In the long term, we intend to rely on our existing financial resources, together with borrowings under existing and future credit facilities and potential offerings of our securities in private or public markets.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Flow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3180" w:type="dxa"/>
            <w:vAlign w:val="bottom"/>
            <w:gridSpan w:val="4"/>
            <w:shd w:val="clear" w:color="auto" w:fill="004483"/>
          </w:tcPr>
          <w:p>
            <w:pPr>
              <w:jc w:val="right"/>
              <w:ind w:right="620"/>
              <w:spacing w:after="0"/>
              <w:rPr>
                <w:sz w:val="20"/>
                <w:szCs w:val="20"/>
                <w:color w:val="auto"/>
              </w:rPr>
            </w:pPr>
            <w:r>
              <w:rPr>
                <w:rFonts w:ascii="Arial" w:cs="Arial" w:eastAsia="Arial" w:hAnsi="Arial"/>
                <w:sz w:val="13"/>
                <w:szCs w:val="13"/>
                <w:b w:val="1"/>
                <w:bCs w:val="1"/>
                <w:color w:val="FFFFFF"/>
              </w:rPr>
              <w:t>For the Fiscal Years Ended March 31,</w:t>
            </w:r>
          </w:p>
        </w:tc>
      </w:tr>
      <w:tr>
        <w:trPr>
          <w:trHeight w:val="151"/>
        </w:trPr>
        <w:tc>
          <w:tcPr>
            <w:tcW w:w="77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340" w:type="dxa"/>
            <w:vAlign w:val="bottom"/>
            <w:tcBorders>
              <w:bottom w:val="single" w:sz="8" w:color="004483"/>
            </w:tcBorders>
          </w:tcPr>
          <w:p>
            <w:pPr>
              <w:spacing w:after="0"/>
              <w:rPr>
                <w:sz w:val="16"/>
                <w:szCs w:val="16"/>
                <w:color w:val="auto"/>
              </w:rPr>
            </w:pPr>
          </w:p>
        </w:tc>
        <w:tc>
          <w:tcPr>
            <w:tcW w:w="2200" w:type="dxa"/>
            <w:vAlign w:val="bottom"/>
            <w:tcBorders>
              <w:bottom w:val="single" w:sz="8" w:color="004483"/>
            </w:tcBorders>
            <w:gridSpan w:val="3"/>
          </w:tcPr>
          <w:p>
            <w:pPr>
              <w:jc w:val="right"/>
              <w:ind w:right="159"/>
              <w:spacing w:after="0"/>
              <w:rPr>
                <w:sz w:val="20"/>
                <w:szCs w:val="20"/>
                <w:color w:val="auto"/>
              </w:rPr>
            </w:pPr>
            <w:r>
              <w:rPr>
                <w:rFonts w:ascii="Arial" w:cs="Arial" w:eastAsia="Arial" w:hAnsi="Arial"/>
                <w:sz w:val="13"/>
                <w:szCs w:val="13"/>
                <w:color w:val="auto"/>
              </w:rPr>
              <w:t>(dollars in thousands)</w:t>
            </w:r>
          </w:p>
        </w:tc>
        <w:tc>
          <w:tcPr>
            <w:tcW w:w="98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Provided by Operating Activities</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b w:val="1"/>
                <w:bCs w:val="1"/>
                <w:color w:val="auto"/>
              </w:rPr>
              <w:t>563,938</w:t>
            </w:r>
          </w:p>
        </w:tc>
        <w:tc>
          <w:tcPr>
            <w:tcW w:w="860" w:type="dxa"/>
            <w:vAlign w:val="bottom"/>
            <w:tcBorders>
              <w:bottom w:val="single" w:sz="8" w:color="A6A6A6"/>
            </w:tcBorders>
            <w:gridSpan w:val="2"/>
          </w:tcPr>
          <w:p>
            <w:pPr>
              <w:jc w:val="right"/>
              <w:ind w:right="4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b w:val="1"/>
                <w:bCs w:val="1"/>
                <w:color w:val="auto"/>
              </w:rPr>
              <w:t>541,726</w:t>
            </w:r>
          </w:p>
        </w:tc>
      </w:tr>
      <w:tr>
        <w:trPr>
          <w:trHeight w:val="23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Investing Activities:</w:t>
            </w:r>
          </w:p>
        </w:tc>
        <w:tc>
          <w:tcPr>
            <w:tcW w:w="34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980" w:type="dxa"/>
            <w:vAlign w:val="bottom"/>
            <w:tcBorders>
              <w:bottom w:val="single" w:sz="8" w:color="A6A6A6"/>
            </w:tcBorders>
          </w:tcPr>
          <w:p>
            <w:pPr>
              <w:spacing w:after="0"/>
              <w:rPr>
                <w:sz w:val="20"/>
                <w:szCs w:val="20"/>
                <w:color w:val="auto"/>
              </w:rPr>
            </w:pPr>
          </w:p>
        </w:tc>
      </w:tr>
      <w:tr>
        <w:trPr>
          <w:trHeight w:val="215"/>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(120,305 )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(110,143 )</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(55,053 )</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(158,451 )</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Used in Investing Activities</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(175,358 )</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(268,594 )</w:t>
            </w:r>
          </w:p>
        </w:tc>
      </w:tr>
      <w:tr>
        <w:trPr>
          <w:trHeight w:val="23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Financing Activities:</w:t>
            </w:r>
          </w:p>
        </w:tc>
        <w:tc>
          <w:tcPr>
            <w:tcW w:w="34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980" w:type="dxa"/>
            <w:vAlign w:val="bottom"/>
            <w:tcBorders>
              <w:bottom w:val="single" w:sz="8" w:color="A6A6A6"/>
            </w:tcBorders>
          </w:tcPr>
          <w:p>
            <w:pPr>
              <w:spacing w:after="0"/>
              <w:rPr>
                <w:sz w:val="20"/>
                <w:szCs w:val="20"/>
                <w:color w:val="auto"/>
              </w:rPr>
            </w:pPr>
          </w:p>
        </w:tc>
      </w:tr>
      <w:tr>
        <w:trPr>
          <w:trHeight w:val="215"/>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13,000</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200,000</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(43,000 )</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(35,298 )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(37,496 )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(343,274 )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(387,717 )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17,098</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5,418</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Payment of Debt Issuance Costs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(903 )</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(10,423 )</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(6,108 )</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Used in Financing Activities</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(368,897 )</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(277,306 )</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004483"/>
              </w:rPr>
              <w:t>Net Increase (Decrease) in Cash and Cash Equivalents</w:t>
            </w: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19,683</w:t>
            </w:r>
          </w:p>
        </w:tc>
        <w:tc>
          <w:tcPr>
            <w:tcW w:w="18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(4,174 )</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19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Cash Flows from Operating Activities increased by $22.2 million to $563.9 million for fiscal 2024. The increase was largely attributable to higher Net Earnings, adjusted for non-cash charges of $37.4 million and changes in Working Capital of $4.8 million, partially offset by lower dividends from our Unconsolidated Joint Venture of $20.0 million.</w:t>
      </w:r>
    </w:p>
    <w:p>
      <w:pPr>
        <w:spacing w:after="0" w:line="61"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Working Capital increased by $79.7 million to $388.3 million at March 31, 2024, primarily because of higher Accounts Receivable, Inventories, and Cash of $7.9 million, $82.0 million, and $19.7 million, respectively. This was partially offset by an increase in Accounts Payable and Accrued Liabilities of $16.8 million and $7.8 million, respectively.</w:t>
      </w:r>
    </w:p>
    <w:p>
      <w:pPr>
        <w:spacing w:after="0" w:line="6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increase in Accounts and Notes Receivable at March 31, 2024, was primarily due to higher Revenue during the quarter ended March 31, 2024, compared with March 31, 2023. As a percentage of quarterly sales generated in the fiscal fourth quarters, Accounts Receivable was 43% at March 31, 2024, and 41% at March 31, 2023.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2024.</w:t>
      </w:r>
    </w:p>
    <w:p>
      <w:pPr>
        <w:spacing w:after="0" w:line="6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Inventory balance at March 31, 2024, increased approximately $82.0 million from our balance at March 31, 2023. Within Inventories, raw materials and materials-in-progress, finished cement, recycled paperboard, repair parts inventory, and fuel and coal increased by approximately $25.9 million, $25.0 million, $ 5.6 million, $14.6 million, and $6.1 million, respectively. The increases in raw materials and materials-in-progress, finished cement, and fuel and coal were mostly due to timing. Additionally, the Stockton Terminal Acquisition contributed $8.7 million of the increase in finished cement at March 31, 2024. The increase in repair parts was primarily due to the timing of outages in our Cement business, most of which occurred in April 2024, as well as overall increases in the cost of repair parts. We have less than one year’s sales of all product inventories, and our inventories have a low risk of obsolescence given that they are basic construction materials. The largest individual balance in our inventory is repair parts. The size and complexity of our manufacturing plants, as well as the age of certain of our plants, creates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need to stock a high level of repair parts inventory. We believe all of these repair parts are necessary, and we perform semi-annual analyses to identify obsolete parts.</w:t>
      </w:r>
    </w:p>
    <w:p>
      <w:pPr>
        <w:spacing w:after="0" w:line="4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Net Cash Used in Investing Activities in fiscal 2024 was approximately $175.4 million compared with $ 268.6 million in fiscal 2023, a decrease of approximately $93.2 million. This was primarily due to $103.4 million less in acquisition spending in fiscal 2024 compared with fiscal 2023. The decrease in acquisition spending was partially offset by an increase of $10.2 million in capital spending. The increase in capital spending was mainly due to higher spending in our Cement and Recycled Paperboard segments, partially offset by reduced spending in our Concrete and Aggregates segment.</w:t>
      </w:r>
    </w:p>
    <w:p>
      <w:pPr>
        <w:spacing w:after="0" w:line="68"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Net Cash Used in Financing Activities was approximately $368.9 million during fiscal 2024, compared with $277.3 million in fiscal 2023. The $91.6 million increase was primarily due to $144.0 million lower cash received from net borrowings under the Revolving Credit Facility. This was partially offset by lower Purchases and Retirement of Common Stock of $44.4 million, respectively.</w:t>
      </w:r>
    </w:p>
    <w:p>
      <w:pPr>
        <w:spacing w:after="0" w:line="6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debt-to -capitalization ratio and net debt-to-capitalization ratio were 45.7% and 44.9%, respectively, at March 31, 2024, compared with 48.1% and 47.8%, respectively, at March 31, 2023.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Debt Financing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March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Borders>
              <w:bottom w:val="single" w:sz="8" w:color="004483"/>
            </w:tcBorders>
          </w:tcPr>
          <w:p>
            <w:pPr>
              <w:spacing w:after="0"/>
              <w:rPr>
                <w:sz w:val="15"/>
                <w:szCs w:val="15"/>
                <w:color w:val="auto"/>
              </w:rPr>
            </w:pPr>
          </w:p>
        </w:tc>
        <w:tc>
          <w:tcPr>
            <w:tcW w:w="48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5"/>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Term Loan</w:t>
            </w:r>
          </w:p>
        </w:tc>
        <w:tc>
          <w:tcPr>
            <w:tcW w:w="4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w:t>
            </w:r>
          </w:p>
        </w:tc>
        <w:tc>
          <w:tcPr>
            <w:tcW w:w="4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See Footnote (F) to the Audited Consolidated Financial Statements for further details on the Company's debt facilities, including interest rate, and financial and other covenants and restrictions.</w:t>
      </w:r>
    </w:p>
    <w:p>
      <w:pPr>
        <w:spacing w:after="0" w:line="4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March 31, 2024, we had $170.0 million outstanding of Revolving Loans under the Revolving Credit Facility and $8.3 million of outstanding letters of credit, leaving us with $571.7 million of available borrowings under the Revolving Credit Facility, net of outstanding letters of credit. We are contingently liable for performance under $29.3 million in performance bonds relating primarily to our mining operations. We do not have any off-balance-sheet debt or any outstanding debt guarantees as of March 31, 2024.</w:t>
      </w:r>
    </w:p>
    <w:p>
      <w:pPr>
        <w:spacing w:after="0" w:line="7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liquidity. See Market Conditions and Outlook section above for further discussion of the possible effects on our business.</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the Term Loan, and any Revolving Credit Loans, in each case,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8" w:lineRule="exact"/>
        <w:rPr>
          <w:sz w:val="20"/>
          <w:szCs w:val="20"/>
          <w:color w:val="auto"/>
        </w:rPr>
      </w:pPr>
    </w:p>
    <w:p>
      <w:pPr>
        <w:jc w:val="both"/>
        <w:ind w:right="180"/>
        <w:spacing w:after="0" w:line="244" w:lineRule="auto"/>
        <w:rPr>
          <w:sz w:val="20"/>
          <w:szCs w:val="20"/>
          <w:color w:val="auto"/>
        </w:rPr>
      </w:pPr>
      <w:r>
        <w:rPr>
          <w:rFonts w:ascii="Arial" w:cs="Arial" w:eastAsia="Arial" w:hAnsi="Arial"/>
          <w:sz w:val="18"/>
          <w:szCs w:val="18"/>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Borders>
              <w:bottom w:val="single" w:sz="8" w:color="004483"/>
            </w:tcBorders>
          </w:tcPr>
          <w:p>
            <w:pPr>
              <w:spacing w:after="0"/>
              <w:rPr>
                <w:sz w:val="15"/>
                <w:szCs w:val="15"/>
                <w:color w:val="auto"/>
              </w:rPr>
            </w:pPr>
          </w:p>
        </w:tc>
        <w:tc>
          <w:tcPr>
            <w:tcW w:w="4800" w:type="dxa"/>
            <w:vAlign w:val="bottom"/>
            <w:tcBorders>
              <w:bottom w:val="single" w:sz="8" w:color="004483"/>
            </w:tcBorders>
          </w:tcPr>
          <w:p>
            <w:pPr>
              <w:jc w:val="right"/>
              <w:ind w:right="483"/>
              <w:spacing w:after="0"/>
              <w:rPr>
                <w:sz w:val="20"/>
                <w:szCs w:val="20"/>
                <w:color w:val="auto"/>
              </w:rPr>
            </w:pPr>
            <w:r>
              <w:rPr>
                <w:rFonts w:ascii="Arial" w:cs="Arial" w:eastAsia="Arial" w:hAnsi="Arial"/>
                <w:sz w:val="13"/>
                <w:szCs w:val="13"/>
                <w:b w:val="1"/>
                <w:bCs w:val="1"/>
                <w:color w:val="auto"/>
              </w:rPr>
              <w:t>Moody's</w:t>
            </w: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S&amp;P</w:t>
            </w:r>
          </w:p>
        </w:tc>
      </w:tr>
      <w:tr>
        <w:trPr>
          <w:trHeight w:val="215"/>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Corporate/Family Rating</w:t>
            </w:r>
          </w:p>
        </w:tc>
        <w:tc>
          <w:tcPr>
            <w:tcW w:w="4800" w:type="dxa"/>
            <w:vAlign w:val="bottom"/>
            <w:tcBorders>
              <w:bottom w:val="single" w:sz="8" w:color="A6A6A6"/>
            </w:tcBorders>
          </w:tcPr>
          <w:p>
            <w:pPr>
              <w:jc w:val="right"/>
              <w:ind w:right="483"/>
              <w:spacing w:after="0"/>
              <w:rPr>
                <w:sz w:val="20"/>
                <w:szCs w:val="20"/>
                <w:color w:val="auto"/>
              </w:rPr>
            </w:pPr>
            <w:r>
              <w:rPr>
                <w:rFonts w:ascii="Arial" w:cs="Arial" w:eastAsia="Arial" w:hAnsi="Arial"/>
                <w:sz w:val="16"/>
                <w:szCs w:val="16"/>
                <w:color w:val="auto"/>
              </w:rPr>
              <w:t>Baa2</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BBB</w:t>
            </w:r>
          </w:p>
        </w:tc>
      </w:tr>
      <w:tr>
        <w:trPr>
          <w:trHeight w:val="209"/>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Outlook</w:t>
            </w:r>
          </w:p>
        </w:tc>
        <w:tc>
          <w:tcPr>
            <w:tcW w:w="4800" w:type="dxa"/>
            <w:vAlign w:val="bottom"/>
            <w:tcBorders>
              <w:bottom w:val="single" w:sz="8" w:color="A6A6A6"/>
            </w:tcBorders>
          </w:tcPr>
          <w:p>
            <w:pPr>
              <w:jc w:val="right"/>
              <w:ind w:right="483"/>
              <w:spacing w:after="0"/>
              <w:rPr>
                <w:sz w:val="20"/>
                <w:szCs w:val="20"/>
                <w:color w:val="auto"/>
              </w:rPr>
            </w:pPr>
            <w:r>
              <w:rPr>
                <w:rFonts w:ascii="Arial" w:cs="Arial" w:eastAsia="Arial" w:hAnsi="Arial"/>
                <w:sz w:val="16"/>
                <w:szCs w:val="16"/>
                <w:color w:val="auto"/>
              </w:rPr>
              <w:t>Stable</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Stable</w:t>
            </w:r>
          </w:p>
        </w:tc>
      </w:tr>
      <w:tr>
        <w:trPr>
          <w:trHeight w:val="209"/>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Guaranteed Senior Notes</w:t>
            </w:r>
          </w:p>
        </w:tc>
        <w:tc>
          <w:tcPr>
            <w:tcW w:w="4800" w:type="dxa"/>
            <w:vAlign w:val="bottom"/>
            <w:tcBorders>
              <w:bottom w:val="single" w:sz="8" w:color="A6A6A6"/>
            </w:tcBorders>
          </w:tcPr>
          <w:p>
            <w:pPr>
              <w:jc w:val="right"/>
              <w:ind w:right="483"/>
              <w:spacing w:after="0"/>
              <w:rPr>
                <w:sz w:val="20"/>
                <w:szCs w:val="20"/>
                <w:color w:val="auto"/>
              </w:rPr>
            </w:pPr>
            <w:r>
              <w:rPr>
                <w:rFonts w:ascii="Arial" w:cs="Arial" w:eastAsia="Arial" w:hAnsi="Arial"/>
                <w:sz w:val="16"/>
                <w:szCs w:val="16"/>
                <w:color w:val="auto"/>
              </w:rPr>
              <w:t>Baa2</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BBB</w:t>
            </w:r>
          </w:p>
        </w:tc>
      </w:tr>
      <w:tr>
        <w:trPr>
          <w:trHeight w:val="209"/>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Date of Latest Report</w:t>
            </w:r>
          </w:p>
        </w:tc>
        <w:tc>
          <w:tcPr>
            <w:tcW w:w="4800" w:type="dxa"/>
            <w:vAlign w:val="bottom"/>
            <w:tcBorders>
              <w:bottom w:val="single" w:sz="8" w:color="A6A6A6"/>
            </w:tcBorders>
          </w:tcPr>
          <w:p>
            <w:pPr>
              <w:jc w:val="right"/>
              <w:ind w:right="483"/>
              <w:spacing w:after="0"/>
              <w:rPr>
                <w:sz w:val="20"/>
                <w:szCs w:val="20"/>
                <w:color w:val="auto"/>
              </w:rPr>
            </w:pPr>
            <w:r>
              <w:rPr>
                <w:rFonts w:ascii="Arial" w:cs="Arial" w:eastAsia="Arial" w:hAnsi="Arial"/>
                <w:sz w:val="16"/>
                <w:szCs w:val="16"/>
                <w:color w:val="auto"/>
              </w:rPr>
              <w:t>January 2024</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June 2023</w:t>
            </w:r>
          </w:p>
        </w:tc>
      </w:tr>
    </w:tbl>
    <w:p>
      <w:pPr>
        <w:spacing w:after="0" w:line="19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 also have approximately $26.9 million of lease liabilities at March 31, 2024, that have an average remaining life of approximately 9.6 years.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Used for Share Repurchases and Stock Repurchase Program</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See table under Item 5. “Market for Registrant’s Common Equity, Related Stockholder Matters, and Issuer Purchases of Equity Securities” for additional information.</w:t>
      </w:r>
    </w:p>
    <w:p>
      <w:pPr>
        <w:spacing w:after="0" w:line="4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Expenditures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 Expenditures in fiscal years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24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Fiscal Years Ended March 31,</w:t>
            </w:r>
          </w:p>
        </w:tc>
        <w:tc>
          <w:tcPr>
            <w:tcW w:w="70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ind w:right="67"/>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jc w:val="right"/>
              <w:ind w:right="43"/>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340" w:type="dxa"/>
            <w:vAlign w:val="bottom"/>
            <w:tcBorders>
              <w:bottom w:val="single" w:sz="8" w:color="004483"/>
            </w:tcBorders>
          </w:tcPr>
          <w:p>
            <w:pPr>
              <w:spacing w:after="0"/>
              <w:rPr>
                <w:sz w:val="16"/>
                <w:szCs w:val="16"/>
                <w:color w:val="auto"/>
              </w:rPr>
            </w:pPr>
          </w:p>
        </w:tc>
        <w:tc>
          <w:tcPr>
            <w:tcW w:w="2480" w:type="dxa"/>
            <w:vAlign w:val="bottom"/>
            <w:tcBorders>
              <w:bottom w:val="single" w:sz="8" w:color="004483"/>
            </w:tcBorders>
            <w:gridSpan w:val="3"/>
          </w:tcPr>
          <w:p>
            <w:pPr>
              <w:jc w:val="right"/>
              <w:ind w:right="43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6"/>
                <w:szCs w:val="16"/>
                <w:color w:val="auto"/>
              </w:rPr>
            </w:pPr>
          </w:p>
        </w:tc>
      </w:tr>
      <w:tr>
        <w:trPr>
          <w:trHeight w:val="215"/>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Land and Quarries</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6,760</w:t>
            </w:r>
          </w:p>
        </w:tc>
        <w:tc>
          <w:tcPr>
            <w:tcW w:w="1140" w:type="dxa"/>
            <w:vAlign w:val="bottom"/>
            <w:tcBorders>
              <w:bottom w:val="single" w:sz="8" w:color="A6A6A6"/>
            </w:tcBorders>
            <w:gridSpan w:val="2"/>
          </w:tcPr>
          <w:p>
            <w:pPr>
              <w:jc w:val="right"/>
              <w:ind w:right="7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14,325</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63,744</w:t>
            </w:r>
          </w:p>
        </w:tc>
        <w:tc>
          <w:tcPr>
            <w:tcW w:w="1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64,720</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color w:val="auto"/>
              </w:rPr>
              <w:t>49,801</w:t>
            </w:r>
          </w:p>
        </w:tc>
        <w:tc>
          <w:tcPr>
            <w:tcW w:w="180" w:type="dxa"/>
            <w:vAlign w:val="bottom"/>
            <w:tcBorders>
              <w:bottom w:val="single" w:sz="8" w:color="A6A6A6"/>
            </w:tcBorders>
          </w:tcPr>
          <w:p>
            <w:pPr>
              <w:spacing w:after="0"/>
              <w:rPr>
                <w:sz w:val="20"/>
                <w:szCs w:val="20"/>
                <w:color w:val="auto"/>
              </w:rPr>
            </w:pPr>
          </w:p>
        </w:tc>
        <w:tc>
          <w:tcPr>
            <w:tcW w:w="96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31,098</w:t>
            </w:r>
          </w:p>
        </w:tc>
      </w:tr>
      <w:tr>
        <w:trPr>
          <w:trHeight w:val="210"/>
        </w:trPr>
        <w:tc>
          <w:tcPr>
            <w:tcW w:w="772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b w:val="1"/>
                <w:bCs w:val="1"/>
                <w:color w:val="auto"/>
              </w:rPr>
              <w:t>120,305</w:t>
            </w:r>
          </w:p>
        </w:tc>
        <w:tc>
          <w:tcPr>
            <w:tcW w:w="180" w:type="dxa"/>
            <w:vAlign w:val="bottom"/>
          </w:tcPr>
          <w:p>
            <w:pPr>
              <w:spacing w:after="0"/>
              <w:rPr>
                <w:sz w:val="18"/>
                <w:szCs w:val="18"/>
                <w:color w:val="auto"/>
              </w:rPr>
            </w:pPr>
          </w:p>
        </w:tc>
        <w:tc>
          <w:tcPr>
            <w:tcW w:w="960" w:type="dxa"/>
            <w:vAlign w:val="bottom"/>
            <w:tcBorders>
              <w:bottom w:val="single" w:sz="8" w:color="004483"/>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w w:val="96"/>
              </w:rPr>
              <w:t>110,143</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Capital expenditures for fiscal 2025 are expected to range from $310.0 million to $340.0 million and to be allocated primarily to the Heavy Materials sector. These estimated capital expenditures will include the expansion and modernization of our Mountain Cement facility in Wyoming, as well as maintenance capital expenditures and improvements, and other safety and regulatory projects.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Dividends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in fiscal years 2024, 2023, and 2022 were $35.3 million, $37.5 million, and $30.8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Contractual and Other Obligations</w:t>
      </w:r>
    </w:p>
    <w:p>
      <w:pPr>
        <w:spacing w:after="0" w:line="9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We have certain Contractual Obligations arising from indebtedness, operating leases, and purchase obligations. Future payments due, aggregated by type of contractual obligation, are set forth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9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2220" w:type="dxa"/>
            <w:vAlign w:val="bottom"/>
            <w:gridSpan w:val="6"/>
            <w:shd w:val="clear" w:color="auto" w:fill="004483"/>
          </w:tcPr>
          <w:p>
            <w:pPr>
              <w:jc w:val="center"/>
              <w:ind w:left="624"/>
              <w:spacing w:after="0"/>
              <w:rPr>
                <w:sz w:val="20"/>
                <w:szCs w:val="20"/>
                <w:color w:val="auto"/>
              </w:rPr>
            </w:pPr>
            <w:r>
              <w:rPr>
                <w:rFonts w:ascii="Arial" w:cs="Arial" w:eastAsia="Arial" w:hAnsi="Arial"/>
                <w:sz w:val="13"/>
                <w:szCs w:val="13"/>
                <w:b w:val="1"/>
                <w:bCs w:val="1"/>
                <w:color w:val="FFFFFF"/>
                <w:w w:val="97"/>
              </w:rPr>
              <w:t>Payments Due by Period</w:t>
            </w:r>
          </w:p>
        </w:tc>
        <w:tc>
          <w:tcPr>
            <w:tcW w:w="280" w:type="dxa"/>
            <w:vAlign w:val="bottom"/>
            <w:shd w:val="clear" w:color="auto" w:fill="004483"/>
          </w:tcPr>
          <w:p>
            <w:pPr>
              <w:spacing w:after="0"/>
              <w:rPr>
                <w:sz w:val="14"/>
                <w:szCs w:val="14"/>
                <w:color w:val="auto"/>
              </w:rPr>
            </w:pPr>
          </w:p>
        </w:tc>
        <w:tc>
          <w:tcPr>
            <w:tcW w:w="8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1-3 years</w:t>
            </w:r>
          </w:p>
        </w:tc>
        <w:tc>
          <w:tcPr>
            <w:tcW w:w="280" w:type="dxa"/>
            <w:vAlign w:val="bottom"/>
          </w:tcPr>
          <w:p>
            <w:pPr>
              <w:spacing w:after="0"/>
              <w:rPr>
                <w:sz w:val="11"/>
                <w:szCs w:val="11"/>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42"/>
              <w:spacing w:after="0" w:line="131"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42"/>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87"/>
        </w:trPr>
        <w:tc>
          <w:tcPr>
            <w:tcW w:w="514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94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420" w:type="dxa"/>
            <w:vAlign w:val="bottom"/>
            <w:tcBorders>
              <w:bottom w:val="single" w:sz="8" w:color="004483"/>
            </w:tcBorders>
            <w:gridSpan w:val="5"/>
          </w:tcPr>
          <w:p>
            <w:pPr>
              <w:jc w:val="center"/>
              <w:ind w:right="100"/>
              <w:spacing w:after="0"/>
              <w:rPr>
                <w:sz w:val="20"/>
                <w:szCs w:val="20"/>
                <w:color w:val="auto"/>
              </w:rPr>
            </w:pPr>
            <w:r>
              <w:rPr>
                <w:rFonts w:ascii="Arial" w:cs="Arial" w:eastAsia="Arial" w:hAnsi="Arial"/>
                <w:sz w:val="13"/>
                <w:szCs w:val="13"/>
                <w:color w:val="auto"/>
                <w:w w:val="96"/>
              </w:rPr>
              <w:t>(dollars in thousands)</w:t>
            </w:r>
          </w:p>
        </w:tc>
        <w:tc>
          <w:tcPr>
            <w:tcW w:w="280" w:type="dxa"/>
            <w:vAlign w:val="bottom"/>
            <w:tcBorders>
              <w:bottom w:val="single" w:sz="8" w:color="004483"/>
            </w:tcBorders>
          </w:tcPr>
          <w:p>
            <w:pPr>
              <w:spacing w:after="0"/>
              <w:rPr>
                <w:sz w:val="16"/>
                <w:szCs w:val="16"/>
                <w:color w:val="auto"/>
              </w:rPr>
            </w:pPr>
          </w:p>
        </w:tc>
        <w:tc>
          <w:tcPr>
            <w:tcW w:w="8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A6A6A6"/>
            </w:tcBorders>
          </w:tcPr>
          <w:p>
            <w:pPr>
              <w:ind w:left="20"/>
              <w:spacing w:after="0" w:line="216" w:lineRule="exact"/>
              <w:rPr>
                <w:sz w:val="20"/>
                <w:szCs w:val="20"/>
                <w:color w:val="auto"/>
              </w:rPr>
            </w:pPr>
            <w:r>
              <w:rPr>
                <w:rFonts w:ascii="Arial" w:cs="Arial" w:eastAsia="Arial" w:hAnsi="Arial"/>
                <w:sz w:val="16"/>
                <w:szCs w:val="16"/>
                <w:color w:val="004483"/>
              </w:rPr>
              <w:t xml:space="preserve">Revolving Credit Facility </w:t>
            </w:r>
            <w:r>
              <w:rPr>
                <w:rFonts w:ascii="Arial" w:cs="Arial" w:eastAsia="Arial" w:hAnsi="Arial"/>
                <w:sz w:val="21"/>
                <w:szCs w:val="21"/>
                <w:color w:val="004483"/>
                <w:vertAlign w:val="superscript"/>
              </w:rPr>
              <w:t>(1)</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170,000</w:t>
            </w:r>
          </w:p>
        </w:tc>
        <w:tc>
          <w:tcPr>
            <w:tcW w:w="40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6A6A6"/>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170,000</w:t>
            </w: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Term Loan </w:t>
            </w:r>
            <w:r>
              <w:rPr>
                <w:rFonts w:ascii="Arial" w:cs="Arial" w:eastAsia="Arial" w:hAnsi="Arial"/>
                <w:sz w:val="21"/>
                <w:szCs w:val="21"/>
                <w:color w:val="004483"/>
                <w:vertAlign w:val="superscript"/>
              </w:rPr>
              <w:t>(2)</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182,500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Senior Unsecured Notes</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750,000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Interest and Commitment Fees on Credit Facility </w:t>
            </w:r>
            <w:r>
              <w:rPr>
                <w:rFonts w:ascii="Arial" w:cs="Arial" w:eastAsia="Arial" w:hAnsi="Arial"/>
                <w:sz w:val="21"/>
                <w:szCs w:val="21"/>
                <w:color w:val="004483"/>
                <w:vertAlign w:val="superscript"/>
              </w:rPr>
              <w:t>(3)</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20,531</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10,418</w:t>
            </w:r>
          </w:p>
        </w:tc>
        <w:tc>
          <w:tcPr>
            <w:tcW w:w="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10,011</w:t>
            </w: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Interest on Term Loan </w:t>
            </w:r>
            <w:r>
              <w:rPr>
                <w:rFonts w:ascii="Arial" w:cs="Arial" w:eastAsia="Arial" w:hAnsi="Arial"/>
                <w:sz w:val="21"/>
                <w:szCs w:val="21"/>
                <w:color w:val="004483"/>
                <w:vertAlign w:val="superscript"/>
              </w:rPr>
              <w:t>(4)</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35,454</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11,920</w:t>
            </w:r>
          </w:p>
        </w:tc>
        <w:tc>
          <w:tcPr>
            <w:tcW w:w="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21,831</w:t>
            </w: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on Senior Unsecured Notes</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135,938</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18,750</w:t>
            </w:r>
          </w:p>
        </w:tc>
        <w:tc>
          <w:tcPr>
            <w:tcW w:w="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37,500</w:t>
            </w: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37,500</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42,188</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Leases</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33,487</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8,650</w:t>
            </w:r>
          </w:p>
        </w:tc>
        <w:tc>
          <w:tcPr>
            <w:tcW w:w="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8,404</w:t>
            </w: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5,427</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11,006</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Purchase Obligations </w:t>
            </w:r>
            <w:r>
              <w:rPr>
                <w:rFonts w:ascii="Arial" w:cs="Arial" w:eastAsia="Arial" w:hAnsi="Arial"/>
                <w:sz w:val="21"/>
                <w:szCs w:val="21"/>
                <w:color w:val="004483"/>
                <w:vertAlign w:val="superscript"/>
              </w:rPr>
              <w:t>(5)(6)</w:t>
            </w:r>
          </w:p>
        </w:tc>
        <w:tc>
          <w:tcPr>
            <w:tcW w:w="20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142,019</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99,733</w:t>
            </w:r>
          </w:p>
        </w:tc>
        <w:tc>
          <w:tcPr>
            <w:tcW w:w="80" w:type="dxa"/>
            <w:vAlign w:val="bottom"/>
            <w:tcBorders>
              <w:bottom w:val="single" w:sz="8" w:color="004483"/>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24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36,710</w:t>
            </w:r>
          </w:p>
        </w:tc>
        <w:tc>
          <w:tcPr>
            <w:tcW w:w="120" w:type="dxa"/>
            <w:vAlign w:val="bottom"/>
            <w:tcBorders>
              <w:bottom w:val="single" w:sz="8" w:color="A6A6A6"/>
            </w:tcBorders>
          </w:tcPr>
          <w:p>
            <w:pPr>
              <w:spacing w:after="0"/>
              <w:rPr>
                <w:sz w:val="20"/>
                <w:szCs w:val="20"/>
                <w:color w:val="auto"/>
              </w:rPr>
            </w:pPr>
          </w:p>
        </w:tc>
        <w:tc>
          <w:tcPr>
            <w:tcW w:w="28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5,576</w:t>
            </w:r>
          </w:p>
        </w:tc>
        <w:tc>
          <w:tcPr>
            <w:tcW w:w="120" w:type="dxa"/>
            <w:vAlign w:val="bottom"/>
            <w:tcBorders>
              <w:bottom w:val="single" w:sz="8" w:color="A6A6A6"/>
            </w:tcBorders>
          </w:tcPr>
          <w:p>
            <w:pPr>
              <w:spacing w:after="0"/>
              <w:rPr>
                <w:sz w:val="20"/>
                <w:szCs w:val="20"/>
                <w:color w:val="auto"/>
              </w:rPr>
            </w:pPr>
          </w:p>
        </w:tc>
        <w:tc>
          <w:tcPr>
            <w:tcW w:w="24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1,469,929</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159,471</w:t>
            </w:r>
          </w:p>
        </w:tc>
        <w:tc>
          <w:tcPr>
            <w:tcW w:w="80" w:type="dxa"/>
            <w:vAlign w:val="bottom"/>
            <w:tcBorders>
              <w:bottom w:val="single" w:sz="8" w:color="004483"/>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456,956</w:t>
            </w:r>
          </w:p>
        </w:tc>
        <w:tc>
          <w:tcPr>
            <w:tcW w:w="120" w:type="dxa"/>
            <w:vAlign w:val="bottom"/>
          </w:tcPr>
          <w:p>
            <w:pPr>
              <w:spacing w:after="0"/>
              <w:rPr>
                <w:sz w:val="18"/>
                <w:szCs w:val="18"/>
                <w:color w:val="auto"/>
              </w:rPr>
            </w:pP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50,308</w:t>
            </w: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803,194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Revolving Credit Facility expires in May 2027.</w:t>
      </w:r>
    </w:p>
    <w:p>
      <w:pPr>
        <w:ind w:left="260" w:hanging="252"/>
        <w:spacing w:after="0" w:line="192" w:lineRule="auto"/>
        <w:tabs>
          <w:tab w:leader="none" w:pos="2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Term Loan facility expires in May 2027.</w:t>
      </w:r>
    </w:p>
    <w:p>
      <w:pPr>
        <w:ind w:left="300" w:right="100" w:hanging="292"/>
        <w:spacing w:after="0" w:line="213" w:lineRule="auto"/>
        <w:tabs>
          <w:tab w:leader="none" w:pos="251"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We estimate the future cash flows for interest and commitment fees by assuming a level repayment of the Revolving Credit Facility over its remaining term. Actual amounts paid, as well as the payment time periods, will likely differ from this estimate.</w:t>
      </w:r>
    </w:p>
    <w:p>
      <w:pPr>
        <w:ind w:left="260" w:hanging="252"/>
        <w:spacing w:after="0" w:line="192" w:lineRule="auto"/>
        <w:tabs>
          <w:tab w:leader="none" w:pos="2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future cash flows for interest on the Term Loan were calculated using the same estimated interest rates as the Revolving Credit Facility.</w:t>
      </w:r>
    </w:p>
    <w:p>
      <w:pPr>
        <w:ind w:left="280" w:hanging="272"/>
        <w:spacing w:after="0" w:line="192" w:lineRule="auto"/>
        <w:tabs>
          <w:tab w:leader="none" w:pos="2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Purchase obligations are noncancelable agreements to purchase coal, natural gas, slag, and synthetic gypsum, and to fund capital expenditure commitments.</w:t>
      </w:r>
    </w:p>
    <w:p>
      <w:pPr>
        <w:ind w:left="300" w:right="200" w:hanging="292"/>
        <w:spacing w:after="0" w:line="213" w:lineRule="auto"/>
        <w:tabs>
          <w:tab w:leader="none" w:pos="214"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above table does not include any future amounts for the expansion and modernization of our cement plant in Wyoming and related distribution facilities, as we are not currently contractually obligated to make such payments. We expect to spend approximately $430.0 million over the next two years on this project.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actuarial estimates, we do not anticipate making contributions to our defined benefit plans for fiscal year 2025.</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Inflation and Changing Prices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Consumer Price Index rose approximately 3.5% in fiscal 2024, 5.0% in fiscal 2023, and 8.5% in fiscal 2022. Prices of all materials and services increased again this year compared with the previous year, with much of the increase related to electricity and transportation. During fiscal 2024, the Consumer Price Index for electricity and transportation increased 5.0% and 10.7%, respectively, while natural gas decreased 3.5%. The increase in electricity and transportation resulted in higher costs for our manufacturing businesses during fiscal 2024, and we expect these increases to continue throughout calendar 2024. We have some protection from increasing natural gas costs in fiscal 2025 as we have forward purchase contracts for approximately 30.0% of our anticipated natural gas usage. Freight costs are expected to rise in fiscal 2025 by approximately 3.0% to 5.0%. Our ability to increase sales prices to cover higher costs in the future varies with the level of activity in the construction industry: the number, size, and strength of competitors, as well as the availability of products to supply a local market.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GENERAL OUTLOOK</w:t>
      </w:r>
    </w:p>
    <w:p>
      <w:pPr>
        <w:spacing w:after="0" w:line="99"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See “Market Conditions and Outlook” within Item 7,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RECENT ACCOUNTING PRONOUNCEMENTS</w:t>
      </w:r>
    </w:p>
    <w:p>
      <w:pPr>
        <w:spacing w:after="0" w:line="104" w:lineRule="exact"/>
        <w:rPr>
          <w:sz w:val="20"/>
          <w:szCs w:val="20"/>
          <w:color w:val="auto"/>
        </w:rPr>
      </w:pPr>
    </w:p>
    <w:p>
      <w:pPr>
        <w:ind w:right="1360"/>
        <w:spacing w:after="0" w:line="271" w:lineRule="auto"/>
        <w:rPr>
          <w:sz w:val="20"/>
          <w:szCs w:val="20"/>
          <w:color w:val="auto"/>
        </w:rPr>
      </w:pPr>
      <w:r>
        <w:rPr>
          <w:rFonts w:ascii="Arial" w:cs="Arial" w:eastAsia="Arial" w:hAnsi="Arial"/>
          <w:sz w:val="18"/>
          <w:szCs w:val="18"/>
          <w:color w:val="auto"/>
        </w:rPr>
        <w:t>Refer to Footnote (A) to the Audited Consolidated Financial Statements for information regarding recently issued accounting pronouncements that may affect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Section 21E of the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electricity,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insurance coverage; changes in economic conditions specific to any one or more of the Company’s markets; adverse impact of severe weather conditions (such as winter storms, tornadoes, and hurricanes) and their effects on our facilities, operations, and contractual arrangements with third parties; competition; alternative products and new product technologies; cyber-attacks or data security breaches; announced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electricity,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impacts associated with natural disasters, the outbreak, escalation, or resurgence of public health emergencies, pandemics, or other unforeseen events, and governmental measures in reaction thereto, as well as their impact on our operations or on economic conditions, capital and financial markets.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At March 31, 2024, we had $170.0 million outstanding under the Revolving Credit Facility and $182.5 million outstanding under the Term Loan, under which borrowings bear interest at a variable rate based on the secured overnight financing rate (SOFR). A hypothetical 100 basis point increase in interest rates on these outstanding borrowings would increase our interest expense by $3.5 million on an annual basis. At present, we do not utilize derivative financial instruments.</w:t>
      </w:r>
    </w:p>
    <w:p>
      <w:pPr>
        <w:spacing w:after="0" w:line="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are subject to commodity risk with respect to price changes principally in coal, petroleum coke, natural gas, and power. We attempt to limit our exposure to changes in commodity prices by entering into contracts or increasing our use of alternative fuels.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FINANCIAL INFORMATION</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INDEX TO FINANCIAL STATEMENTS AND RELATED INFORMATION</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44"/>
        </w:trPr>
        <w:tc>
          <w:tcPr>
            <w:tcW w:w="8560" w:type="dxa"/>
            <w:vAlign w:val="bottom"/>
            <w:gridSpan w:val="7"/>
          </w:tcPr>
          <w:p>
            <w:pPr>
              <w:spacing w:after="0"/>
              <w:rPr>
                <w:sz w:val="20"/>
                <w:szCs w:val="20"/>
                <w:color w:val="auto"/>
              </w:rPr>
            </w:pPr>
            <w:r>
              <w:rPr>
                <w:rFonts w:ascii="Arial" w:cs="Arial" w:eastAsia="Arial" w:hAnsi="Arial"/>
                <w:sz w:val="18"/>
                <w:szCs w:val="18"/>
                <w:b w:val="1"/>
                <w:bCs w:val="1"/>
                <w:color w:val="auto"/>
              </w:rPr>
              <w:t>Eagle Materials Inc.:</w:t>
            </w:r>
          </w:p>
        </w:tc>
        <w:tc>
          <w:tcPr>
            <w:tcW w:w="2640" w:type="dxa"/>
            <w:vAlign w:val="bottom"/>
          </w:tcPr>
          <w:p>
            <w:pPr>
              <w:spacing w:after="0"/>
              <w:rPr>
                <w:sz w:val="24"/>
                <w:szCs w:val="24"/>
                <w:color w:val="auto"/>
              </w:rPr>
            </w:pPr>
          </w:p>
        </w:tc>
      </w:tr>
      <w:tr>
        <w:trPr>
          <w:trHeight w:val="285"/>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Statements of Earnings for the Years Ended March 31, 2024, 2023, and 2022</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Consolidated Statements of Comprehensive Earnings for the Years Ended March 31, 2024, 2023, and 2022</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Balance Sheets as of March 31, 2024 and 2023</w:t>
            </w: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Statements of Cash Flows for the Years Ended March 31, 2024, 2023, and 2022</w:t>
            </w:r>
          </w:p>
        </w:tc>
        <w:tc>
          <w:tcPr>
            <w:tcW w:w="2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Statements of Stockholders’ Equity for the Years Ended March 31, 2024, 2023, and 2022</w:t>
            </w:r>
          </w:p>
        </w:tc>
        <w:tc>
          <w:tcPr>
            <w:tcW w:w="26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79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62"/>
        </w:trPr>
        <w:tc>
          <w:tcPr>
            <w:tcW w:w="4600" w:type="dxa"/>
            <w:vAlign w:val="bottom"/>
            <w:tcBorders>
              <w:top w:val="single" w:sz="8" w:color="0000EE"/>
            </w:tcBorders>
            <w:gridSpan w:val="2"/>
          </w:tcPr>
          <w:p>
            <w:pPr>
              <w:ind w:left="400"/>
              <w:spacing w:after="0"/>
              <w:rPr>
                <w:sz w:val="20"/>
                <w:szCs w:val="20"/>
                <w:color w:val="auto"/>
              </w:rPr>
            </w:pPr>
            <w:r>
              <w:rPr>
                <w:rFonts w:ascii="Arial" w:cs="Arial" w:eastAsia="Arial" w:hAnsi="Arial"/>
                <w:sz w:val="18"/>
                <w:szCs w:val="18"/>
                <w:color w:val="auto"/>
              </w:rPr>
              <w:t>Auditor Name: Ernst &amp; Young LLP</w:t>
            </w:r>
          </w:p>
        </w:tc>
        <w:tc>
          <w:tcPr>
            <w:tcW w:w="3960" w:type="dxa"/>
            <w:vAlign w:val="bottom"/>
            <w:gridSpan w:val="5"/>
          </w:tcPr>
          <w:p>
            <w:pPr>
              <w:spacing w:after="0"/>
              <w:rPr>
                <w:sz w:val="24"/>
                <w:szCs w:val="24"/>
                <w:color w:val="auto"/>
              </w:rPr>
            </w:pPr>
          </w:p>
        </w:tc>
        <w:tc>
          <w:tcPr>
            <w:tcW w:w="2640" w:type="dxa"/>
            <w:vAlign w:val="bottom"/>
          </w:tcPr>
          <w:p>
            <w:pPr>
              <w:spacing w:after="0"/>
              <w:rPr>
                <w:sz w:val="24"/>
                <w:szCs w:val="24"/>
                <w:color w:val="auto"/>
              </w:rPr>
            </w:pPr>
          </w:p>
        </w:tc>
      </w:tr>
      <w:tr>
        <w:trPr>
          <w:trHeight w:val="338"/>
        </w:trPr>
        <w:tc>
          <w:tcPr>
            <w:tcW w:w="8560" w:type="dxa"/>
            <w:vAlign w:val="bottom"/>
            <w:gridSpan w:val="7"/>
          </w:tcPr>
          <w:p>
            <w:pPr>
              <w:ind w:left="400"/>
              <w:spacing w:after="0"/>
              <w:rPr>
                <w:sz w:val="20"/>
                <w:szCs w:val="20"/>
                <w:color w:val="auto"/>
              </w:rPr>
            </w:pPr>
            <w:r>
              <w:rPr>
                <w:rFonts w:ascii="Arial" w:cs="Arial" w:eastAsia="Arial" w:hAnsi="Arial"/>
                <w:sz w:val="18"/>
                <w:szCs w:val="18"/>
                <w:color w:val="auto"/>
              </w:rPr>
              <w:t>Auditor Location: Dallas, Texas</w:t>
            </w:r>
          </w:p>
        </w:tc>
        <w:tc>
          <w:tcPr>
            <w:tcW w:w="2640" w:type="dxa"/>
            <w:vAlign w:val="bottom"/>
          </w:tcPr>
          <w:p>
            <w:pPr>
              <w:spacing w:after="0"/>
              <w:rPr>
                <w:sz w:val="24"/>
                <w:szCs w:val="24"/>
                <w:color w:val="auto"/>
              </w:rPr>
            </w:pPr>
          </w:p>
        </w:tc>
      </w:tr>
      <w:tr>
        <w:trPr>
          <w:trHeight w:val="338"/>
        </w:trPr>
        <w:tc>
          <w:tcPr>
            <w:tcW w:w="8560" w:type="dxa"/>
            <w:vAlign w:val="bottom"/>
            <w:gridSpan w:val="7"/>
          </w:tcPr>
          <w:p>
            <w:pPr>
              <w:ind w:left="400"/>
              <w:spacing w:after="0"/>
              <w:rPr>
                <w:sz w:val="20"/>
                <w:szCs w:val="20"/>
                <w:color w:val="auto"/>
              </w:rPr>
            </w:pPr>
            <w:r>
              <w:rPr>
                <w:rFonts w:ascii="Arial" w:cs="Arial" w:eastAsia="Arial" w:hAnsi="Arial"/>
                <w:sz w:val="18"/>
                <w:szCs w:val="18"/>
                <w:color w:val="auto"/>
              </w:rPr>
              <w:t>Auditor Firm ID: 42</w:t>
            </w:r>
          </w:p>
        </w:tc>
        <w:tc>
          <w:tcPr>
            <w:tcW w:w="2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20" w:type="dxa"/>
            <w:vAlign w:val="bottom"/>
            <w:shd w:val="clear" w:color="auto" w:fill="004483"/>
          </w:tcPr>
          <w:p>
            <w:pPr>
              <w:spacing w:after="0"/>
              <w:rPr>
                <w:sz w:val="14"/>
                <w:szCs w:val="14"/>
                <w:color w:val="auto"/>
              </w:rPr>
            </w:pPr>
          </w:p>
        </w:tc>
        <w:tc>
          <w:tcPr>
            <w:tcW w:w="2880" w:type="dxa"/>
            <w:vAlign w:val="bottom"/>
            <w:gridSpan w:val="5"/>
            <w:shd w:val="clear" w:color="auto" w:fill="004483"/>
          </w:tcPr>
          <w:p>
            <w:pPr>
              <w:ind w:left="1020"/>
              <w:spacing w:after="0"/>
              <w:rPr>
                <w:sz w:val="20"/>
                <w:szCs w:val="20"/>
                <w:color w:val="auto"/>
              </w:rPr>
            </w:pPr>
            <w:r>
              <w:rPr>
                <w:rFonts w:ascii="Arial" w:cs="Arial" w:eastAsia="Arial" w:hAnsi="Arial"/>
                <w:sz w:val="13"/>
                <w:szCs w:val="13"/>
                <w:b w:val="1"/>
                <w:bCs w:val="1"/>
                <w:color w:val="FFFFFF"/>
                <w:w w:val="96"/>
              </w:rPr>
              <w:t>For the Years Ended March 31,</w:t>
            </w:r>
          </w:p>
        </w:tc>
        <w:tc>
          <w:tcPr>
            <w:tcW w:w="300" w:type="dxa"/>
            <w:vAlign w:val="bottom"/>
            <w:shd w:val="clear" w:color="auto" w:fill="004483"/>
          </w:tcPr>
          <w:p>
            <w:pPr>
              <w:spacing w:after="0"/>
              <w:rPr>
                <w:sz w:val="14"/>
                <w:szCs w:val="14"/>
                <w:color w:val="auto"/>
              </w:rPr>
            </w:pPr>
          </w:p>
        </w:tc>
        <w:tc>
          <w:tcPr>
            <w:tcW w:w="112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62"/>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320" w:type="dxa"/>
            <w:vAlign w:val="bottom"/>
            <w:tcBorders>
              <w:bottom w:val="single" w:sz="8" w:color="004483"/>
            </w:tcBorders>
          </w:tcPr>
          <w:p>
            <w:pPr>
              <w:spacing w:after="0"/>
              <w:rPr>
                <w:sz w:val="16"/>
                <w:szCs w:val="16"/>
                <w:color w:val="auto"/>
              </w:rPr>
            </w:pPr>
          </w:p>
        </w:tc>
        <w:tc>
          <w:tcPr>
            <w:tcW w:w="4300" w:type="dxa"/>
            <w:vAlign w:val="bottom"/>
            <w:tcBorders>
              <w:bottom w:val="single" w:sz="8" w:color="004483"/>
            </w:tcBorders>
            <w:gridSpan w:val="7"/>
          </w:tcPr>
          <w:p>
            <w:pPr>
              <w:jc w:val="right"/>
              <w:ind w:right="740"/>
              <w:spacing w:after="0"/>
              <w:rPr>
                <w:sz w:val="20"/>
                <w:szCs w:val="20"/>
                <w:color w:val="auto"/>
              </w:rPr>
            </w:pPr>
            <w:r>
              <w:rPr>
                <w:rFonts w:ascii="Arial" w:cs="Arial" w:eastAsia="Arial" w:hAnsi="Arial"/>
                <w:sz w:val="13"/>
                <w:szCs w:val="13"/>
                <w:color w:val="auto"/>
              </w:rPr>
              <w:t>(dollars in thousands, except share and per share data)</w:t>
            </w:r>
          </w:p>
        </w:tc>
      </w:tr>
      <w:tr>
        <w:trPr>
          <w:trHeight w:val="215"/>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2,259,297</w:t>
            </w:r>
          </w:p>
        </w:tc>
        <w:tc>
          <w:tcPr>
            <w:tcW w:w="46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2,148,069</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1,861,522</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3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1,573,976</w:t>
            </w:r>
          </w:p>
        </w:tc>
        <w:tc>
          <w:tcPr>
            <w:tcW w:w="16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1,508,803</w:t>
            </w:r>
          </w:p>
        </w:tc>
        <w:tc>
          <w:tcPr>
            <w:tcW w:w="16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1,341,908</w:t>
            </w:r>
          </w:p>
        </w:tc>
      </w:tr>
      <w:tr>
        <w:trPr>
          <w:trHeight w:val="209"/>
        </w:trPr>
        <w:tc>
          <w:tcPr>
            <w:tcW w:w="6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685,321</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639,266</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519,614</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31,581</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35,474</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32,488</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(59,795 )</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(53,630 )</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(46,801 )</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3,087</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2,654</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9,073</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3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(42,257 )</w:t>
            </w:r>
          </w:p>
        </w:tc>
        <w:tc>
          <w:tcPr>
            <w:tcW w:w="16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(35,171 )</w:t>
            </w:r>
          </w:p>
        </w:tc>
        <w:tc>
          <w:tcPr>
            <w:tcW w:w="16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(30,873 )</w:t>
            </w:r>
          </w:p>
        </w:tc>
      </w:tr>
      <w:tr>
        <w:trPr>
          <w:trHeight w:val="209"/>
        </w:trPr>
        <w:tc>
          <w:tcPr>
            <w:tcW w:w="6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617,937</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588,593</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475,094</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w:t>
            </w:r>
          </w:p>
        </w:tc>
        <w:tc>
          <w:tcPr>
            <w:tcW w:w="3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(140,298 )</w:t>
            </w:r>
          </w:p>
        </w:tc>
        <w:tc>
          <w:tcPr>
            <w:tcW w:w="16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(127,053 )</w:t>
            </w:r>
          </w:p>
        </w:tc>
        <w:tc>
          <w:tcPr>
            <w:tcW w:w="16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(100,847 )</w:t>
            </w:r>
          </w:p>
        </w:tc>
      </w:tr>
      <w:tr>
        <w:trPr>
          <w:trHeight w:val="209"/>
        </w:trPr>
        <w:tc>
          <w:tcPr>
            <w:tcW w:w="6620" w:type="dxa"/>
            <w:vAlign w:val="bottom"/>
          </w:tcPr>
          <w:p>
            <w:pPr>
              <w:ind w:left="380"/>
              <w:spacing w:after="0"/>
              <w:rPr>
                <w:sz w:val="20"/>
                <w:szCs w:val="20"/>
                <w:color w:val="auto"/>
              </w:rPr>
            </w:pPr>
            <w:r>
              <w:rPr>
                <w:rFonts w:ascii="Arial" w:cs="Arial" w:eastAsia="Arial" w:hAnsi="Arial"/>
                <w:sz w:val="16"/>
                <w:szCs w:val="16"/>
                <w:b w:val="1"/>
                <w:bCs w:val="1"/>
                <w:color w:val="auto"/>
              </w:rPr>
              <w:t>Net Earnings</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477,639</w:t>
            </w:r>
          </w:p>
        </w:tc>
        <w:tc>
          <w:tcPr>
            <w:tcW w:w="160" w:type="dxa"/>
            <w:vAlign w:val="bottom"/>
          </w:tcPr>
          <w:p>
            <w:pPr>
              <w:spacing w:after="0"/>
              <w:rPr>
                <w:sz w:val="18"/>
                <w:szCs w:val="18"/>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461,540</w:t>
            </w:r>
          </w:p>
        </w:tc>
        <w:tc>
          <w:tcPr>
            <w:tcW w:w="160" w:type="dxa"/>
            <w:vAlign w:val="bottom"/>
          </w:tcPr>
          <w:p>
            <w:pPr>
              <w:spacing w:after="0"/>
              <w:rPr>
                <w:sz w:val="18"/>
                <w:szCs w:val="18"/>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374,247</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6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Basic</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13.72</w:t>
            </w:r>
          </w:p>
        </w:tc>
        <w:tc>
          <w:tcPr>
            <w:tcW w:w="46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12.54</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9.23</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13.61</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12.46</w:t>
            </w: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9.14</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3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09"/>
        </w:trPr>
        <w:tc>
          <w:tcPr>
            <w:tcW w:w="6620" w:type="dxa"/>
            <w:vAlign w:val="bottom"/>
          </w:tcPr>
          <w:p>
            <w:pPr>
              <w:ind w:left="200"/>
              <w:spacing w:after="0"/>
              <w:rPr>
                <w:sz w:val="20"/>
                <w:szCs w:val="20"/>
                <w:color w:val="auto"/>
              </w:rPr>
            </w:pPr>
            <w:r>
              <w:rPr>
                <w:rFonts w:ascii="Arial" w:cs="Arial" w:eastAsia="Arial" w:hAnsi="Arial"/>
                <w:sz w:val="16"/>
                <w:szCs w:val="16"/>
                <w:color w:val="004483"/>
              </w:rPr>
              <w:t>Basic</w:t>
            </w:r>
          </w:p>
        </w:tc>
        <w:tc>
          <w:tcPr>
            <w:tcW w:w="3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34,811,560</w:t>
            </w:r>
          </w:p>
        </w:tc>
        <w:tc>
          <w:tcPr>
            <w:tcW w:w="16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36,798,354</w:t>
            </w:r>
          </w:p>
        </w:tc>
        <w:tc>
          <w:tcPr>
            <w:tcW w:w="16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40,547,048</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62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320" w:type="dxa"/>
            <w:vAlign w:val="bottom"/>
            <w:tcBorders>
              <w:bottom w:val="single" w:sz="8" w:color="004483"/>
            </w:tcBorders>
          </w:tcPr>
          <w:p>
            <w:pPr>
              <w:spacing w:after="0"/>
              <w:rPr>
                <w:sz w:val="17"/>
                <w:szCs w:val="17"/>
                <w:color w:val="auto"/>
              </w:rPr>
            </w:pPr>
          </w:p>
        </w:tc>
        <w:tc>
          <w:tcPr>
            <w:tcW w:w="11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35,097,871</w:t>
            </w:r>
          </w:p>
        </w:tc>
        <w:tc>
          <w:tcPr>
            <w:tcW w:w="16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37,052,942</w:t>
            </w:r>
          </w:p>
        </w:tc>
        <w:tc>
          <w:tcPr>
            <w:tcW w:w="16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40,929,712</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1.00</w:t>
            </w:r>
          </w:p>
        </w:tc>
        <w:tc>
          <w:tcPr>
            <w:tcW w:w="160" w:type="dxa"/>
            <w:vAlign w:val="bottom"/>
          </w:tcPr>
          <w:p>
            <w:pPr>
              <w:spacing w:after="0"/>
              <w:rPr>
                <w:sz w:val="17"/>
                <w:szCs w:val="17"/>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1.00</w:t>
            </w:r>
          </w:p>
        </w:tc>
        <w:tc>
          <w:tcPr>
            <w:tcW w:w="160" w:type="dxa"/>
            <w:vAlign w:val="bottom"/>
          </w:tcPr>
          <w:p>
            <w:pPr>
              <w:spacing w:after="0"/>
              <w:rPr>
                <w:sz w:val="17"/>
                <w:szCs w:val="17"/>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0.75</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2780" w:type="dxa"/>
            <w:vAlign w:val="bottom"/>
            <w:gridSpan w:val="5"/>
            <w:shd w:val="clear" w:color="auto" w:fill="004483"/>
          </w:tcPr>
          <w:p>
            <w:pPr>
              <w:ind w:left="920"/>
              <w:spacing w:after="0"/>
              <w:rPr>
                <w:sz w:val="20"/>
                <w:szCs w:val="20"/>
                <w:color w:val="auto"/>
              </w:rPr>
            </w:pPr>
            <w:r>
              <w:rPr>
                <w:rFonts w:ascii="Arial" w:cs="Arial" w:eastAsia="Arial" w:hAnsi="Arial"/>
                <w:sz w:val="13"/>
                <w:szCs w:val="13"/>
                <w:b w:val="1"/>
                <w:bCs w:val="1"/>
                <w:color w:val="FFFFFF"/>
                <w:w w:val="96"/>
              </w:rPr>
              <w:t>For the Years Ended March 31,</w:t>
            </w:r>
          </w:p>
        </w:tc>
        <w:tc>
          <w:tcPr>
            <w:tcW w:w="400" w:type="dxa"/>
            <w:vAlign w:val="bottom"/>
            <w:shd w:val="clear" w:color="auto" w:fill="004483"/>
          </w:tcPr>
          <w:p>
            <w:pPr>
              <w:spacing w:after="0"/>
              <w:rPr>
                <w:sz w:val="14"/>
                <w:szCs w:val="14"/>
                <w:color w:val="auto"/>
              </w:rPr>
            </w:pPr>
          </w:p>
        </w:tc>
        <w:tc>
          <w:tcPr>
            <w:tcW w:w="102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65"/>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43"/>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7"/>
        </w:trPr>
        <w:tc>
          <w:tcPr>
            <w:tcW w:w="662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10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4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477,639</w:t>
            </w:r>
          </w:p>
        </w:tc>
        <w:tc>
          <w:tcPr>
            <w:tcW w:w="580" w:type="dxa"/>
            <w:vAlign w:val="bottom"/>
            <w:tcBorders>
              <w:bottom w:val="single" w:sz="8" w:color="A6A6A6"/>
            </w:tcBorders>
            <w:gridSpan w:val="2"/>
          </w:tcPr>
          <w:p>
            <w:pPr>
              <w:ind w:lef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461,540</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374,247</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4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20" w:type="dxa"/>
            <w:vAlign w:val="bottom"/>
          </w:tcPr>
          <w:p>
            <w:pPr>
              <w:ind w:left="200"/>
              <w:spacing w:after="0" w:line="183" w:lineRule="exact"/>
              <w:rPr>
                <w:sz w:val="20"/>
                <w:szCs w:val="20"/>
                <w:color w:val="auto"/>
              </w:rPr>
            </w:pPr>
            <w:r>
              <w:rPr>
                <w:rFonts w:ascii="Arial" w:cs="Arial" w:eastAsia="Arial" w:hAnsi="Arial"/>
                <w:sz w:val="16"/>
                <w:szCs w:val="16"/>
                <w:color w:val="004483"/>
              </w:rPr>
              <w:t>Unrealized (Loss) Gain During the Period, net of tax (benefit) expense</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of $(24), $(147), and $48</w:t>
            </w:r>
          </w:p>
        </w:tc>
        <w:tc>
          <w:tcPr>
            <w:tcW w:w="4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(53 )</w:t>
            </w: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(465 )</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3"/>
        </w:trPr>
        <w:tc>
          <w:tcPr>
            <w:tcW w:w="6620" w:type="dxa"/>
            <w:vAlign w:val="bottom"/>
          </w:tcPr>
          <w:p>
            <w:pPr>
              <w:ind w:left="200"/>
              <w:spacing w:after="0" w:line="183" w:lineRule="exact"/>
              <w:rPr>
                <w:sz w:val="20"/>
                <w:szCs w:val="20"/>
                <w:color w:val="auto"/>
              </w:rPr>
            </w:pPr>
            <w:r>
              <w:rPr>
                <w:rFonts w:ascii="Arial" w:cs="Arial" w:eastAsia="Arial" w:hAnsi="Arial"/>
                <w:sz w:val="16"/>
                <w:szCs w:val="16"/>
                <w:color w:val="004483"/>
              </w:rPr>
              <w:t>Amortization of Net Actuarial Gain (Loss), net of tax (expense) benefit</w:t>
            </w:r>
          </w:p>
        </w:tc>
        <w:tc>
          <w:tcPr>
            <w:tcW w:w="420" w:type="dxa"/>
            <w:vAlign w:val="bottom"/>
          </w:tcPr>
          <w:p>
            <w:pPr>
              <w:spacing w:after="0"/>
              <w:rPr>
                <w:sz w:val="15"/>
                <w:szCs w:val="15"/>
                <w:color w:val="auto"/>
              </w:rPr>
            </w:pPr>
          </w:p>
        </w:tc>
        <w:tc>
          <w:tcPr>
            <w:tcW w:w="1040" w:type="dxa"/>
            <w:vAlign w:val="bottom"/>
            <w:vMerge w:val="restart"/>
          </w:tcPr>
          <w:p>
            <w:pPr>
              <w:jc w:val="right"/>
              <w:ind w:right="65"/>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662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of $59, $30, and $39</w:t>
            </w:r>
          </w:p>
        </w:tc>
        <w:tc>
          <w:tcPr>
            <w:tcW w:w="42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vMerge w:val="continue"/>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vMerge w:val="continue"/>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477,778</w:t>
            </w:r>
          </w:p>
        </w:tc>
        <w:tc>
          <w:tcPr>
            <w:tcW w:w="160" w:type="dxa"/>
            <w:vAlign w:val="bottom"/>
          </w:tcPr>
          <w:p>
            <w:pPr>
              <w:spacing w:after="0"/>
              <w:rPr>
                <w:sz w:val="18"/>
                <w:szCs w:val="18"/>
                <w:color w:val="auto"/>
              </w:rPr>
            </w:pPr>
          </w:p>
        </w:tc>
        <w:tc>
          <w:tcPr>
            <w:tcW w:w="4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461,168</w:t>
            </w:r>
          </w:p>
        </w:tc>
        <w:tc>
          <w:tcPr>
            <w:tcW w:w="16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374,512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EAGLE MATERIALS INC. AND SUBSIDIARIES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040" w:type="dxa"/>
            <w:vAlign w:val="bottom"/>
            <w:gridSpan w:val="3"/>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March 31,</w:t>
            </w:r>
          </w:p>
        </w:tc>
        <w:tc>
          <w:tcPr>
            <w:tcW w:w="102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ind w:right="61"/>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460" w:type="dxa"/>
            <w:vAlign w:val="bottom"/>
            <w:tcBorders>
              <w:bottom w:val="single" w:sz="8" w:color="004483"/>
            </w:tcBorders>
          </w:tcPr>
          <w:p>
            <w:pPr>
              <w:spacing w:after="0"/>
              <w:rPr>
                <w:sz w:val="16"/>
                <w:szCs w:val="16"/>
                <w:color w:val="auto"/>
              </w:rPr>
            </w:pPr>
          </w:p>
        </w:tc>
        <w:tc>
          <w:tcPr>
            <w:tcW w:w="2040" w:type="dxa"/>
            <w:vAlign w:val="bottom"/>
            <w:tcBorders>
              <w:bottom w:val="single" w:sz="8" w:color="004483"/>
            </w:tcBorders>
            <w:gridSpan w:val="3"/>
          </w:tcPr>
          <w:p>
            <w:pPr>
              <w:jc w:val="right"/>
              <w:ind w:right="119"/>
              <w:spacing w:after="0"/>
              <w:rPr>
                <w:sz w:val="20"/>
                <w:szCs w:val="20"/>
                <w:color w:val="auto"/>
              </w:rPr>
            </w:pPr>
            <w:r>
              <w:rPr>
                <w:rFonts w:ascii="Arial" w:cs="Arial" w:eastAsia="Arial" w:hAnsi="Arial"/>
                <w:sz w:val="13"/>
                <w:szCs w:val="13"/>
                <w:color w:val="auto"/>
              </w:rPr>
              <w:t>(dollars in thousands)</w:t>
            </w:r>
          </w:p>
        </w:tc>
        <w:tc>
          <w:tcPr>
            <w:tcW w:w="102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34,925</w:t>
            </w:r>
          </w:p>
        </w:tc>
        <w:tc>
          <w:tcPr>
            <w:tcW w:w="820" w:type="dxa"/>
            <w:vAlign w:val="bottom"/>
            <w:tcBorders>
              <w:bottom w:val="single" w:sz="8" w:color="A6A6A6"/>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15,242</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202,985</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195,052</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373,923</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291,882</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 Receivable</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9,910</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16,267</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Prepaid and Other Assets</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5,950</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3,060</w:t>
            </w:r>
          </w:p>
        </w:tc>
      </w:tr>
      <w:tr>
        <w:trPr>
          <w:trHeight w:val="209"/>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Current Assets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627,693</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521,503</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 net</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1,676,217</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1,662,061</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Notes Receivable</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7,382</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Investment in Joint Venture</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113,478</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89,111</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 Right-of-Use Assets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19,373</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20,759</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 net</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486,117</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466,043</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Assets</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24,141</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14,143</w:t>
            </w: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004483"/>
              </w:rPr>
              <w:t>Total Assets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2,947,019</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2,781,002</w:t>
            </w: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772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spacing w:after="0"/>
              <w:rPr>
                <w:sz w:val="17"/>
                <w:szCs w:val="17"/>
                <w:color w:val="auto"/>
              </w:rPr>
            </w:pPr>
          </w:p>
        </w:tc>
        <w:tc>
          <w:tcPr>
            <w:tcW w:w="12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spacing w:after="0"/>
              <w:rPr>
                <w:sz w:val="17"/>
                <w:szCs w:val="17"/>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127,183</w:t>
            </w:r>
          </w:p>
        </w:tc>
        <w:tc>
          <w:tcPr>
            <w:tcW w:w="820" w:type="dxa"/>
            <w:vAlign w:val="bottom"/>
            <w:tcBorders>
              <w:bottom w:val="single" w:sz="8" w:color="A6A6A6"/>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110,408</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Accrued Liabilities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94,327</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86,472</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Operating Lease Liabilities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7,899</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6,009</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Current Portion of Long-term Debt</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10,000</w:t>
            </w:r>
          </w:p>
        </w:tc>
      </w:tr>
      <w:tr>
        <w:trPr>
          <w:trHeight w:val="209"/>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Current Liabilities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239,409</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212,889</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Long-term Debt</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1,083,299</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1,079,032</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19,037</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24,940</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Long-term Liabilities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51,942</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41,603</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Deferred Income Taxes</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244,797</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236,844</w:t>
            </w:r>
          </w:p>
        </w:tc>
      </w:tr>
      <w:tr>
        <w:trPr>
          <w:trHeight w:val="236"/>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Liabilities</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1,638,484</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1,595,308</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Stockholders’ Equity</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r>
      <w:tr>
        <w:trPr>
          <w:trHeight w:val="183"/>
        </w:trPr>
        <w:tc>
          <w:tcPr>
            <w:tcW w:w="7720" w:type="dxa"/>
            <w:vAlign w:val="bottom"/>
          </w:tcPr>
          <w:p>
            <w:pPr>
              <w:ind w:left="200"/>
              <w:spacing w:after="0" w:line="183" w:lineRule="exact"/>
              <w:rPr>
                <w:sz w:val="20"/>
                <w:szCs w:val="20"/>
                <w:color w:val="auto"/>
              </w:rPr>
            </w:pPr>
            <w:r>
              <w:rPr>
                <w:rFonts w:ascii="Arial" w:cs="Arial" w:eastAsia="Arial" w:hAnsi="Arial"/>
                <w:sz w:val="16"/>
                <w:szCs w:val="16"/>
                <w:color w:val="004483"/>
              </w:rPr>
              <w:t>Common Stock, Par Value $0.01; Authorized 100,000,000 Shares;</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772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Issued and Outstanding 34,143,945 and 35,768,376 Shares, respectively</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341</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358</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Capital in Excess of Par Value</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(3,373 )</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(3,547 )</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Retained Earnings</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1,311,567</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1,188,883</w:t>
            </w:r>
          </w:p>
        </w:tc>
      </w:tr>
      <w:tr>
        <w:trPr>
          <w:trHeight w:val="230"/>
        </w:trPr>
        <w:tc>
          <w:tcPr>
            <w:tcW w:w="7720" w:type="dxa"/>
            <w:vAlign w:val="bottom"/>
          </w:tcPr>
          <w:p>
            <w:pPr>
              <w:ind w:left="380"/>
              <w:spacing w:after="0"/>
              <w:rPr>
                <w:sz w:val="20"/>
                <w:szCs w:val="20"/>
                <w:color w:val="auto"/>
              </w:rPr>
            </w:pPr>
            <w:r>
              <w:rPr>
                <w:rFonts w:ascii="Arial" w:cs="Arial" w:eastAsia="Arial" w:hAnsi="Arial"/>
                <w:sz w:val="16"/>
                <w:szCs w:val="16"/>
                <w:color w:val="004483"/>
              </w:rPr>
              <w:t>Total Stockholders’ Equity</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1,308,535</w:t>
            </w:r>
          </w:p>
        </w:tc>
        <w:tc>
          <w:tcPr>
            <w:tcW w:w="180" w:type="dxa"/>
            <w:vAlign w:val="bottom"/>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1,185,694</w:t>
            </w:r>
          </w:p>
        </w:tc>
      </w:tr>
      <w:tr>
        <w:trPr>
          <w:trHeight w:val="216"/>
        </w:trPr>
        <w:tc>
          <w:tcPr>
            <w:tcW w:w="772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2,947,019</w:t>
            </w:r>
          </w:p>
        </w:tc>
        <w:tc>
          <w:tcPr>
            <w:tcW w:w="180" w:type="dxa"/>
            <w:vAlign w:val="bottom"/>
          </w:tcPr>
          <w:p>
            <w:pPr>
              <w:spacing w:after="0"/>
              <w:rPr>
                <w:sz w:val="18"/>
                <w:szCs w:val="18"/>
                <w:color w:val="auto"/>
              </w:rPr>
            </w:pPr>
          </w:p>
        </w:tc>
        <w:tc>
          <w:tcPr>
            <w:tcW w:w="64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2,781,002</w:t>
            </w:r>
          </w:p>
        </w:tc>
      </w:tr>
      <w:tr>
        <w:trPr>
          <w:trHeight w:val="20"/>
        </w:trPr>
        <w:tc>
          <w:tcPr>
            <w:tcW w:w="77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380" w:type="dxa"/>
            <w:vAlign w:val="bottom"/>
            <w:shd w:val="clear" w:color="auto" w:fill="004483"/>
          </w:tcPr>
          <w:p>
            <w:pPr>
              <w:spacing w:after="0"/>
              <w:rPr>
                <w:sz w:val="14"/>
                <w:szCs w:val="14"/>
                <w:color w:val="auto"/>
              </w:rPr>
            </w:pPr>
          </w:p>
        </w:tc>
        <w:tc>
          <w:tcPr>
            <w:tcW w:w="2760" w:type="dxa"/>
            <w:vAlign w:val="bottom"/>
            <w:gridSpan w:val="5"/>
            <w:shd w:val="clear" w:color="auto" w:fill="004483"/>
          </w:tcPr>
          <w:p>
            <w:pPr>
              <w:ind w:left="920"/>
              <w:spacing w:after="0"/>
              <w:rPr>
                <w:sz w:val="20"/>
                <w:szCs w:val="20"/>
                <w:color w:val="auto"/>
              </w:rPr>
            </w:pPr>
            <w:r>
              <w:rPr>
                <w:rFonts w:ascii="Arial" w:cs="Arial" w:eastAsia="Arial" w:hAnsi="Arial"/>
                <w:sz w:val="13"/>
                <w:szCs w:val="13"/>
                <w:b w:val="1"/>
                <w:bCs w:val="1"/>
                <w:color w:val="FFFFFF"/>
                <w:w w:val="95"/>
              </w:rPr>
              <w:t>For the Years Ended March 31,</w:t>
            </w:r>
          </w:p>
        </w:tc>
        <w:tc>
          <w:tcPr>
            <w:tcW w:w="380" w:type="dxa"/>
            <w:vAlign w:val="bottom"/>
            <w:shd w:val="clear" w:color="auto" w:fill="004483"/>
          </w:tcPr>
          <w:p>
            <w:pPr>
              <w:spacing w:after="0"/>
              <w:rPr>
                <w:sz w:val="14"/>
                <w:szCs w:val="14"/>
                <w:color w:val="auto"/>
              </w:rPr>
            </w:pPr>
          </w:p>
        </w:tc>
        <w:tc>
          <w:tcPr>
            <w:tcW w:w="1020" w:type="dxa"/>
            <w:vAlign w:val="bottom"/>
            <w:shd w:val="clear" w:color="auto" w:fill="004483"/>
          </w:tcPr>
          <w:p>
            <w:pPr>
              <w:spacing w:after="0"/>
              <w:rPr>
                <w:sz w:val="14"/>
                <w:szCs w:val="14"/>
                <w:color w:val="auto"/>
              </w:rPr>
            </w:pPr>
          </w:p>
        </w:tc>
      </w:tr>
      <w:tr>
        <w:trPr>
          <w:trHeight w:val="158"/>
        </w:trPr>
        <w:tc>
          <w:tcPr>
            <w:tcW w:w="6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b w:val="1"/>
                <w:bCs w:val="1"/>
                <w:color w:val="auto"/>
              </w:rPr>
              <w:t>2022</w:t>
            </w:r>
          </w:p>
        </w:tc>
      </w:tr>
      <w:tr>
        <w:trPr>
          <w:trHeight w:val="187"/>
        </w:trPr>
        <w:tc>
          <w:tcPr>
            <w:tcW w:w="670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106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40" w:type="dxa"/>
            <w:vAlign w:val="bottom"/>
            <w:tcBorders>
              <w:bottom w:val="single" w:sz="8" w:color="004483"/>
            </w:tcBorders>
            <w:gridSpan w:val="3"/>
          </w:tcPr>
          <w:p>
            <w:pPr>
              <w:ind w:left="20"/>
              <w:spacing w:after="0"/>
              <w:rPr>
                <w:sz w:val="20"/>
                <w:szCs w:val="20"/>
                <w:color w:val="auto"/>
              </w:rPr>
            </w:pPr>
            <w:r>
              <w:rPr>
                <w:rFonts w:ascii="Arial" w:cs="Arial" w:eastAsia="Arial" w:hAnsi="Arial"/>
                <w:sz w:val="13"/>
                <w:szCs w:val="13"/>
                <w:color w:val="auto"/>
              </w:rPr>
              <w:t>(dollars in thousands)</w:t>
            </w:r>
          </w:p>
        </w:tc>
        <w:tc>
          <w:tcPr>
            <w:tcW w:w="38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spacing w:after="0"/>
              <w:rPr>
                <w:sz w:val="16"/>
                <w:szCs w:val="16"/>
                <w:color w:val="auto"/>
              </w:rPr>
            </w:pPr>
          </w:p>
        </w:tc>
      </w:tr>
      <w:tr>
        <w:trPr>
          <w:trHeight w:val="216"/>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477,639</w:t>
            </w:r>
          </w:p>
        </w:tc>
        <w:tc>
          <w:tcPr>
            <w:tcW w:w="520" w:type="dxa"/>
            <w:vAlign w:val="bottom"/>
            <w:tcBorders>
              <w:bottom w:val="single" w:sz="8" w:color="A6A6A6"/>
            </w:tcBorders>
            <w:gridSpan w:val="2"/>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461,540</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374,247</w:t>
            </w:r>
          </w:p>
        </w:tc>
      </w:tr>
      <w:tr>
        <w:trPr>
          <w:trHeight w:val="183"/>
        </w:trPr>
        <w:tc>
          <w:tcPr>
            <w:tcW w:w="6700" w:type="dxa"/>
            <w:vAlign w:val="bottom"/>
          </w:tcPr>
          <w:p>
            <w:pPr>
              <w:ind w:left="20"/>
              <w:spacing w:after="0" w:line="183" w:lineRule="exact"/>
              <w:rPr>
                <w:sz w:val="20"/>
                <w:szCs w:val="20"/>
                <w:color w:val="auto"/>
              </w:rPr>
            </w:pPr>
            <w:r>
              <w:rPr>
                <w:rFonts w:ascii="Arial" w:cs="Arial" w:eastAsia="Arial" w:hAnsi="Arial"/>
                <w:sz w:val="16"/>
                <w:szCs w:val="16"/>
                <w:color w:val="004483"/>
              </w:rPr>
              <w:t>Adjustments to Reconcile Net Earnings to Net Cash Provided</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149,832</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138,554</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128,811</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Write-off of Debt Issuance Costs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6,101</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7,953</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4,475</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6,383</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19,900</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17,155</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14,264</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(31,581 )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(35,474 )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(32,488 )</w:t>
            </w:r>
          </w:p>
        </w:tc>
      </w:tr>
      <w:tr>
        <w:trPr>
          <w:trHeight w:val="210"/>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7,000</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27,000</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27,250</w:t>
            </w:r>
          </w:p>
        </w:tc>
      </w:tr>
      <w:tr>
        <w:trPr>
          <w:trHeight w:val="209"/>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(551 )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(12,035 )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(29,209 )</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(67,232 )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(47,946 )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(912 )</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13,794</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(7,797 )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27,192</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(20,468 )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4,955</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(1,331 )</w:t>
            </w:r>
          </w:p>
        </w:tc>
      </w:tr>
      <w:tr>
        <w:trPr>
          <w:trHeight w:val="237"/>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 Receivable</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7,652</w:t>
            </w: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(8,701 )</w:t>
            </w:r>
          </w:p>
        </w:tc>
        <w:tc>
          <w:tcPr>
            <w:tcW w:w="16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(3,137 )</w:t>
            </w:r>
          </w:p>
        </w:tc>
      </w:tr>
      <w:tr>
        <w:trPr>
          <w:trHeight w:val="236"/>
        </w:trPr>
        <w:tc>
          <w:tcPr>
            <w:tcW w:w="67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563,938</w:t>
            </w: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541,726</w:t>
            </w:r>
          </w:p>
        </w:tc>
        <w:tc>
          <w:tcPr>
            <w:tcW w:w="16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517,171</w:t>
            </w:r>
          </w:p>
        </w:tc>
      </w:tr>
      <w:tr>
        <w:trPr>
          <w:trHeight w:val="210"/>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(120,305 )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(110,143 )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(74,121 )</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(55,053 )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(158,451 )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Pr>
          <w:p>
            <w:pPr>
              <w:ind w:left="200"/>
              <w:spacing w:after="0"/>
              <w:rPr>
                <w:sz w:val="20"/>
                <w:szCs w:val="20"/>
                <w:color w:val="auto"/>
              </w:rPr>
            </w:pPr>
            <w:r>
              <w:rPr>
                <w:rFonts w:ascii="Arial" w:cs="Arial" w:eastAsia="Arial" w:hAnsi="Arial"/>
                <w:sz w:val="16"/>
                <w:szCs w:val="16"/>
                <w:color w:val="004483"/>
              </w:rPr>
              <w:t>Proceeds from Sale of Businesses</w:t>
            </w:r>
          </w:p>
        </w:tc>
        <w:tc>
          <w:tcPr>
            <w:tcW w:w="3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36"/>
        </w:trPr>
        <w:tc>
          <w:tcPr>
            <w:tcW w:w="670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(Used in) Investing Activities</w:t>
            </w:r>
          </w:p>
        </w:tc>
        <w:tc>
          <w:tcPr>
            <w:tcW w:w="380" w:type="dxa"/>
            <w:vAlign w:val="bottom"/>
            <w:tcBorders>
              <w:top w:val="single" w:sz="8" w:color="004483"/>
              <w:bottom w:val="single" w:sz="8" w:color="004483"/>
            </w:tcBorders>
          </w:tcPr>
          <w:p>
            <w:pPr>
              <w:spacing w:after="0"/>
              <w:rPr>
                <w:sz w:val="20"/>
                <w:szCs w:val="20"/>
                <w:color w:val="auto"/>
              </w:rPr>
            </w:pPr>
          </w:p>
        </w:tc>
        <w:tc>
          <w:tcPr>
            <w:tcW w:w="10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(175,358 )</w:t>
            </w:r>
          </w:p>
        </w:tc>
        <w:tc>
          <w:tcPr>
            <w:tcW w:w="160" w:type="dxa"/>
            <w:vAlign w:val="bottom"/>
            <w:tcBorders>
              <w:top w:val="single" w:sz="8" w:color="A6A6A6"/>
              <w:bottom w:val="single" w:sz="8" w:color="A6A6A6"/>
            </w:tcBorders>
          </w:tcPr>
          <w:p>
            <w:pPr>
              <w:spacing w:after="0"/>
              <w:rPr>
                <w:sz w:val="20"/>
                <w:szCs w:val="20"/>
                <w:color w:val="auto"/>
              </w:rPr>
            </w:pPr>
          </w:p>
        </w:tc>
        <w:tc>
          <w:tcPr>
            <w:tcW w:w="360" w:type="dxa"/>
            <w:vAlign w:val="bottom"/>
            <w:tcBorders>
              <w:top w:val="single" w:sz="8" w:color="004483"/>
              <w:bottom w:val="single" w:sz="8" w:color="004483"/>
            </w:tcBorders>
          </w:tcPr>
          <w:p>
            <w:pPr>
              <w:spacing w:after="0"/>
              <w:rPr>
                <w:sz w:val="20"/>
                <w:szCs w:val="20"/>
                <w:color w:val="auto"/>
              </w:rPr>
            </w:pP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(268,594 )</w:t>
            </w:r>
          </w:p>
        </w:tc>
        <w:tc>
          <w:tcPr>
            <w:tcW w:w="160" w:type="dxa"/>
            <w:vAlign w:val="bottom"/>
            <w:tcBorders>
              <w:top w:val="single" w:sz="8" w:color="A6A6A6"/>
              <w:bottom w:val="single" w:sz="8" w:color="A6A6A6"/>
            </w:tcBorders>
          </w:tcPr>
          <w:p>
            <w:pPr>
              <w:spacing w:after="0"/>
              <w:rPr>
                <w:sz w:val="20"/>
                <w:szCs w:val="20"/>
                <w:color w:val="auto"/>
              </w:rPr>
            </w:pPr>
          </w:p>
        </w:tc>
        <w:tc>
          <w:tcPr>
            <w:tcW w:w="380" w:type="dxa"/>
            <w:vAlign w:val="bottom"/>
            <w:tcBorders>
              <w:top w:val="single" w:sz="8" w:color="004483"/>
              <w:bottom w:val="single" w:sz="8" w:color="004483"/>
            </w:tcBorders>
          </w:tcPr>
          <w:p>
            <w:pPr>
              <w:spacing w:after="0"/>
              <w:rPr>
                <w:sz w:val="20"/>
                <w:szCs w:val="20"/>
                <w:color w:val="auto"/>
              </w:rPr>
            </w:pP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(74,121 )</w:t>
            </w:r>
          </w:p>
        </w:tc>
      </w:tr>
      <w:tr>
        <w:trPr>
          <w:trHeight w:val="210"/>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13,000</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200,000</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200,000</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(43,000 )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743,692</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(350,000 )</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(665,000 )</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(35,298 )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(37,496 )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(30,770 )</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(343,274 )</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(387,717 )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(589,742 )</w:t>
            </w:r>
          </w:p>
        </w:tc>
      </w:tr>
      <w:tr>
        <w:trPr>
          <w:trHeight w:val="209"/>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17,098</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5,418</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21,366</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r>
      <w:tr>
        <w:trPr>
          <w:trHeight w:val="210"/>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Payment of Debt Issuance Costs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(903 )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(7,985 )</w:t>
            </w:r>
          </w:p>
        </w:tc>
      </w:tr>
      <w:tr>
        <w:trPr>
          <w:trHeight w:val="237"/>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(10,423 )</w:t>
            </w: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(6,108 )</w:t>
            </w:r>
          </w:p>
        </w:tc>
        <w:tc>
          <w:tcPr>
            <w:tcW w:w="16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(5,308 )</w:t>
            </w:r>
          </w:p>
        </w:tc>
      </w:tr>
      <w:tr>
        <w:trPr>
          <w:trHeight w:val="237"/>
        </w:trPr>
        <w:tc>
          <w:tcPr>
            <w:tcW w:w="67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(368,897 )</w:t>
            </w: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(277,306 )</w:t>
            </w:r>
          </w:p>
        </w:tc>
        <w:tc>
          <w:tcPr>
            <w:tcW w:w="16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(692,154 )</w:t>
            </w:r>
          </w:p>
        </w:tc>
      </w:tr>
      <w:tr>
        <w:trPr>
          <w:trHeight w:val="209"/>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19,683</w:t>
            </w: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(4,174 )</w:t>
            </w:r>
          </w:p>
        </w:tc>
        <w:tc>
          <w:tcPr>
            <w:tcW w:w="1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(249,104 )</w:t>
            </w:r>
          </w:p>
        </w:tc>
      </w:tr>
      <w:tr>
        <w:trPr>
          <w:trHeight w:val="237"/>
        </w:trPr>
        <w:tc>
          <w:tcPr>
            <w:tcW w:w="6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15,242</w:t>
            </w: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19,416</w:t>
            </w:r>
          </w:p>
        </w:tc>
        <w:tc>
          <w:tcPr>
            <w:tcW w:w="16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268,520</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34,925</w:t>
            </w:r>
          </w:p>
        </w:tc>
        <w:tc>
          <w:tcPr>
            <w:tcW w:w="160" w:type="dxa"/>
            <w:vAlign w:val="bottom"/>
          </w:tcPr>
          <w:p>
            <w:pPr>
              <w:spacing w:after="0"/>
              <w:rPr>
                <w:sz w:val="18"/>
                <w:szCs w:val="18"/>
                <w:color w:val="auto"/>
              </w:rPr>
            </w:pPr>
          </w:p>
        </w:tc>
        <w:tc>
          <w:tcPr>
            <w:tcW w:w="3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15,242</w:t>
            </w:r>
          </w:p>
        </w:tc>
        <w:tc>
          <w:tcPr>
            <w:tcW w:w="160" w:type="dxa"/>
            <w:vAlign w:val="bottom"/>
          </w:tcPr>
          <w:p>
            <w:pPr>
              <w:spacing w:after="0"/>
              <w:rPr>
                <w:sz w:val="18"/>
                <w:szCs w:val="18"/>
                <w:color w:val="auto"/>
              </w:rPr>
            </w:pPr>
          </w:p>
        </w:tc>
        <w:tc>
          <w:tcPr>
            <w:tcW w:w="38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19,416</w:t>
            </w:r>
          </w:p>
        </w:tc>
      </w:tr>
      <w:tr>
        <w:trPr>
          <w:trHeight w:val="20"/>
        </w:trPr>
        <w:tc>
          <w:tcPr>
            <w:tcW w:w="670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Capital in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Comprehensi</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Excess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0"/>
              <w:spacing w:after="0"/>
              <w:rPr>
                <w:sz w:val="20"/>
                <w:szCs w:val="20"/>
                <w:color w:val="auto"/>
              </w:rPr>
            </w:pPr>
            <w:r>
              <w:rPr>
                <w:rFonts w:ascii="Arial" w:cs="Arial" w:eastAsia="Arial" w:hAnsi="Arial"/>
                <w:sz w:val="14"/>
                <w:szCs w:val="14"/>
                <w:b w:val="1"/>
                <w:bCs w:val="1"/>
                <w:color w:val="auto"/>
              </w:rPr>
              <w:t>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9"/>
              <w:spacing w:after="0"/>
              <w:rPr>
                <w:sz w:val="20"/>
                <w:szCs w:val="20"/>
                <w:color w:val="auto"/>
              </w:rPr>
            </w:pPr>
            <w:r>
              <w:rPr>
                <w:rFonts w:ascii="Arial" w:cs="Arial" w:eastAsia="Arial" w:hAnsi="Arial"/>
                <w:sz w:val="14"/>
                <w:szCs w:val="14"/>
                <w:b w:val="1"/>
                <w:bCs w:val="1"/>
                <w:color w:val="auto"/>
              </w:rPr>
              <w:t>Total</w:t>
            </w:r>
          </w:p>
        </w:tc>
      </w:tr>
      <w:tr>
        <w:trPr>
          <w:trHeight w:val="187"/>
        </w:trPr>
        <w:tc>
          <w:tcPr>
            <w:tcW w:w="514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90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22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w w:val="96"/>
              </w:rPr>
              <w:t>(dollars in thousands)</w:t>
            </w:r>
          </w:p>
        </w:tc>
        <w:tc>
          <w:tcPr>
            <w:tcW w:w="120" w:type="dxa"/>
            <w:vAlign w:val="bottom"/>
            <w:tcBorders>
              <w:bottom w:val="single" w:sz="8" w:color="004483"/>
            </w:tcBorders>
          </w:tcPr>
          <w:p>
            <w:pPr>
              <w:spacing w:after="0"/>
              <w:rPr>
                <w:sz w:val="16"/>
                <w:szCs w:val="16"/>
                <w:color w:val="auto"/>
              </w:rPr>
            </w:pPr>
          </w:p>
        </w:tc>
        <w:tc>
          <w:tcPr>
            <w:tcW w:w="30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920" w:type="dxa"/>
            <w:vAlign w:val="bottom"/>
            <w:tcBorders>
              <w:bottom w:val="single" w:sz="8" w:color="004483"/>
            </w:tcBorders>
          </w:tcPr>
          <w:p>
            <w:pPr>
              <w:spacing w:after="0"/>
              <w:rPr>
                <w:sz w:val="16"/>
                <w:szCs w:val="16"/>
                <w:color w:val="auto"/>
              </w:rPr>
            </w:pPr>
          </w:p>
        </w:tc>
      </w:tr>
      <w:tr>
        <w:trPr>
          <w:trHeight w:val="216"/>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424</w:t>
            </w:r>
          </w:p>
        </w:tc>
        <w:tc>
          <w:tcPr>
            <w:tcW w:w="36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62,497</w:t>
            </w:r>
          </w:p>
        </w:tc>
        <w:tc>
          <w:tcPr>
            <w:tcW w:w="34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1,299,509</w:t>
            </w:r>
          </w:p>
        </w:tc>
        <w:tc>
          <w:tcPr>
            <w:tcW w:w="420" w:type="dxa"/>
            <w:vAlign w:val="bottom"/>
            <w:tcBorders>
              <w:bottom w:val="single" w:sz="8" w:color="A6A6A6"/>
            </w:tcBorders>
            <w:gridSpan w:val="2"/>
          </w:tcPr>
          <w:p>
            <w:pPr>
              <w:jc w:val="right"/>
              <w:ind w:right="12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(3,440 )</w:t>
            </w:r>
          </w:p>
        </w:tc>
        <w:tc>
          <w:tcPr>
            <w:tcW w:w="3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1,358,990</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374,247</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374,247</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Vesting</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21,363</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21,366</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14,264</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14,264</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(5,308 )</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(5,308 )</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(40 )</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(92,816 )</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(496,886 )</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(589,742 )</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Stockholders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(40,526 )</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(40,526 )</w:t>
            </w:r>
          </w:p>
        </w:tc>
      </w:tr>
      <w:tr>
        <w:trPr>
          <w:trHeight w:val="237"/>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22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004483"/>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color w:val="auto"/>
              </w:rPr>
              <w:t>265</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b w:val="1"/>
                <w:bCs w:val="1"/>
                <w:color w:val="auto"/>
              </w:rPr>
              <w:t>387</w:t>
            </w:r>
          </w:p>
        </w:tc>
        <w:tc>
          <w:tcPr>
            <w:tcW w:w="140" w:type="dxa"/>
            <w:vAlign w:val="bottom"/>
          </w:tcPr>
          <w:p>
            <w:pPr>
              <w:spacing w:after="0"/>
              <w:rPr>
                <w:sz w:val="18"/>
                <w:szCs w:val="18"/>
                <w:color w:val="auto"/>
              </w:rPr>
            </w:pPr>
          </w:p>
        </w:tc>
        <w:tc>
          <w:tcPr>
            <w:tcW w:w="2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b w:val="1"/>
                <w:bCs w:val="1"/>
                <w:color w:val="auto"/>
              </w:rPr>
              <w:t>1,136,344</w:t>
            </w:r>
          </w:p>
        </w:tc>
        <w:tc>
          <w:tcPr>
            <w:tcW w:w="120" w:type="dxa"/>
            <w:vAlign w:val="bottom"/>
          </w:tcPr>
          <w:p>
            <w:pPr>
              <w:spacing w:after="0"/>
              <w:rPr>
                <w:sz w:val="18"/>
                <w:szCs w:val="18"/>
                <w:color w:val="auto"/>
              </w:rPr>
            </w:pPr>
          </w:p>
        </w:tc>
        <w:tc>
          <w:tcPr>
            <w:tcW w:w="300" w:type="dxa"/>
            <w:vAlign w:val="bottom"/>
            <w:tcBorders>
              <w:bottom w:val="single" w:sz="8" w:color="A6A6A6"/>
            </w:tcBorders>
          </w:tcPr>
          <w:p>
            <w:pPr>
              <w:jc w:val="right"/>
              <w:ind w:right="123"/>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(3,175 )</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1,133,556</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461,540</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461,540</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Vesting</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5,416</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5,418</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17,155</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17,155</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(6,108 )</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(6,108 )</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(31 )</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(16,463 )</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(371,961 )</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(388,455 )</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Stockholders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(37,040 )</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(37,040 )</w:t>
            </w:r>
          </w:p>
        </w:tc>
      </w:tr>
      <w:tr>
        <w:trPr>
          <w:trHeight w:val="237"/>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22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004483"/>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(372 )</w:t>
            </w: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(372 )</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b w:val="1"/>
                <w:bCs w:val="1"/>
                <w:color w:val="auto"/>
              </w:rPr>
              <w:t>358</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b w:val="1"/>
                <w:bCs w:val="1"/>
                <w:color w:val="auto"/>
              </w:rPr>
              <w:t>1,188,883</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jc w:val="right"/>
              <w:ind w:right="123"/>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(3,547 )</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1,185,694</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477,639</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477,639</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Vesting</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17,096</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17,098</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19,900</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19,900</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(1 )</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(10,422 )</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(10,423 )</w:t>
            </w: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(18 )</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(26,574 )</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(320,114 )</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(346,706 )</w:t>
            </w: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Stockholders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(34,841 )</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(34,841 )</w:t>
            </w:r>
          </w:p>
        </w:tc>
      </w:tr>
      <w:tr>
        <w:trPr>
          <w:trHeight w:val="237"/>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22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004483"/>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color w:val="auto"/>
              </w:rPr>
              <w:t>174</w:t>
            </w: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341</w:t>
            </w:r>
          </w:p>
        </w:tc>
        <w:tc>
          <w:tcPr>
            <w:tcW w:w="140" w:type="dxa"/>
            <w:vAlign w:val="bottom"/>
          </w:tcPr>
          <w:p>
            <w:pPr>
              <w:spacing w:after="0"/>
              <w:rPr>
                <w:sz w:val="18"/>
                <w:szCs w:val="18"/>
                <w:color w:val="auto"/>
              </w:rPr>
            </w:pPr>
          </w:p>
        </w:tc>
        <w:tc>
          <w:tcPr>
            <w:tcW w:w="2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004483"/>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1,311,567</w:t>
            </w:r>
          </w:p>
        </w:tc>
        <w:tc>
          <w:tcPr>
            <w:tcW w:w="120" w:type="dxa"/>
            <w:vAlign w:val="bottom"/>
          </w:tcPr>
          <w:p>
            <w:pPr>
              <w:spacing w:after="0"/>
              <w:rPr>
                <w:sz w:val="18"/>
                <w:szCs w:val="18"/>
                <w:color w:val="auto"/>
              </w:rPr>
            </w:pPr>
          </w:p>
        </w:tc>
        <w:tc>
          <w:tcPr>
            <w:tcW w:w="300" w:type="dxa"/>
            <w:vAlign w:val="bottom"/>
            <w:tcBorders>
              <w:bottom w:val="single" w:sz="8" w:color="004483"/>
            </w:tcBorders>
          </w:tcPr>
          <w:p>
            <w:pPr>
              <w:jc w:val="right"/>
              <w:ind w:right="123"/>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(3,373 )</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1,308,535</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1" w:name="page72"/>
    <w:bookmarkEnd w:id="71"/>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p>
      <w:pPr>
        <w:ind w:right="7240" w:firstLine="8"/>
        <w:spacing w:after="0" w:line="340" w:lineRule="auto"/>
        <w:tabs>
          <w:tab w:leader="none" w:pos="330" w:val="left"/>
        </w:tabs>
        <w:numPr>
          <w:ilvl w:val="0"/>
          <w:numId w:val="25"/>
        </w:numPr>
        <w:rPr>
          <w:rFonts w:ascii="Arial" w:cs="Arial" w:eastAsia="Arial" w:hAnsi="Arial"/>
          <w:sz w:val="20"/>
          <w:szCs w:val="20"/>
          <w:b w:val="1"/>
          <w:bCs w:val="1"/>
          <w:color w:val="004483"/>
        </w:rPr>
      </w:pPr>
      <w:r>
        <w:rPr>
          <w:rFonts w:ascii="Arial" w:cs="Arial" w:eastAsia="Arial" w:hAnsi="Arial"/>
          <w:sz w:val="20"/>
          <w:szCs w:val="20"/>
          <w:b w:val="1"/>
          <w:bCs w:val="1"/>
          <w:color w:val="004483"/>
        </w:rPr>
        <w:t xml:space="preserve">SIGNIFICANT ACCOUNTING POLICIES </w:t>
      </w:r>
      <w:r>
        <w:rPr>
          <w:rFonts w:ascii="Arial" w:cs="Arial" w:eastAsia="Arial" w:hAnsi="Arial"/>
          <w:sz w:val="20"/>
          <w:szCs w:val="20"/>
          <w:b w:val="1"/>
          <w:bCs w:val="1"/>
          <w:u w:val="single" w:color="auto"/>
          <w:color w:val="004483"/>
        </w:rPr>
        <w:t>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a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7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and Cash Equivalents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Cash Equivalents include short-term, highly liquid investments with original maturities of three months or less and are recorded at cost, which approximates market value.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Accounts and Notes Receivable</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Accounts and Notes Receivable have been shown net of the allowance for doubtful accounts of $6.7 million and $6.9 million at March 31, 2024 and 2023, respectively. We perform ongoing credit evaluations of our customers’ financial condition and generally require no collateral from our customers. The allowance for non-collection of receivables is based on our assessment of the collectability of outstanding accounts receivable, and includes a provision for probable losses based on historical write-offs, adjusted for current economic trends in the construction industry, and a specific reserve for accounts deemed at risk. We have no significant credit risk concentration among our diversified customer bases. Bad debt expense was approximately $0.3 million, $0.3 million, and $0.3 million for the fiscal years ended March 31, 2024, 2023, and 2022, respectively. Write-offs of accounts receivable were approximately $0.6 million, $0.1 million, and $1.6 million for the fiscal years ended March 31, 2024, 2023, and 2022, respectively.</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had Notes Receivable totaling approximately $8.5 million at March 31, 2023, of which $1.1 million was classified as current. On April 28, 2023, we collected the entire $8.5 million balance owed under the Notes Receivable. From time to time, we lend funds to certain companies in the ordinary course of business. The notes are generally collateralized by certain assets of the borrowers, namely property and equipment. We monitor the credit risk of each borrower by focusing on the timeliness of payments, credit history review, credit metrics, and interaction with the borrowers.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Inventories</w:t>
      </w:r>
    </w:p>
    <w:p>
      <w:pPr>
        <w:spacing w:after="0" w:line="9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540" w:type="dxa"/>
            <w:vAlign w:val="bottom"/>
            <w:shd w:val="clear" w:color="auto" w:fill="004483"/>
          </w:tcPr>
          <w:p>
            <w:pPr>
              <w:spacing w:after="0"/>
              <w:rPr>
                <w:sz w:val="14"/>
                <w:szCs w:val="14"/>
                <w:color w:val="auto"/>
              </w:rPr>
            </w:pPr>
          </w:p>
        </w:tc>
        <w:tc>
          <w:tcPr>
            <w:tcW w:w="2020" w:type="dxa"/>
            <w:vAlign w:val="bottom"/>
            <w:gridSpan w:val="3"/>
            <w:shd w:val="clear" w:color="auto" w:fill="004483"/>
          </w:tcPr>
          <w:p>
            <w:pPr>
              <w:jc w:val="right"/>
              <w:ind w:right="479"/>
              <w:spacing w:after="0"/>
              <w:rPr>
                <w:sz w:val="20"/>
                <w:szCs w:val="20"/>
                <w:color w:val="auto"/>
              </w:rPr>
            </w:pPr>
            <w:r>
              <w:rPr>
                <w:rFonts w:ascii="Arial" w:cs="Arial" w:eastAsia="Arial" w:hAnsi="Arial"/>
                <w:sz w:val="13"/>
                <w:szCs w:val="13"/>
                <w:b w:val="1"/>
                <w:bCs w:val="1"/>
                <w:color w:val="FFFFFF"/>
              </w:rPr>
              <w:t>March 31,</w:t>
            </w:r>
          </w:p>
        </w:tc>
        <w:tc>
          <w:tcPr>
            <w:tcW w:w="96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64"/>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540" w:type="dxa"/>
            <w:vAlign w:val="bottom"/>
            <w:tcBorders>
              <w:bottom w:val="single" w:sz="8" w:color="004483"/>
            </w:tcBorders>
          </w:tcPr>
          <w:p>
            <w:pPr>
              <w:spacing w:after="0"/>
              <w:rPr>
                <w:sz w:val="16"/>
                <w:szCs w:val="16"/>
                <w:color w:val="auto"/>
              </w:rPr>
            </w:pPr>
          </w:p>
        </w:tc>
        <w:tc>
          <w:tcPr>
            <w:tcW w:w="2020" w:type="dxa"/>
            <w:vAlign w:val="bottom"/>
            <w:tcBorders>
              <w:bottom w:val="single" w:sz="8" w:color="004483"/>
            </w:tcBorders>
            <w:gridSpan w:val="3"/>
          </w:tcPr>
          <w:p>
            <w:pPr>
              <w:jc w:val="right"/>
              <w:ind w:right="179"/>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Raw Materials and Materials-in-Progress</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122,772</w:t>
            </w:r>
          </w:p>
        </w:tc>
        <w:tc>
          <w:tcPr>
            <w:tcW w:w="880" w:type="dxa"/>
            <w:vAlign w:val="bottom"/>
            <w:tcBorders>
              <w:bottom w:val="single" w:sz="8" w:color="A6A6A6"/>
            </w:tcBorders>
            <w:gridSpan w:val="2"/>
          </w:tcPr>
          <w:p>
            <w:pPr>
              <w:jc w:val="right"/>
              <w:ind w:right="5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96,880</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386191"/>
              </w:rPr>
              <w:t>Finished Cement</w:t>
            </w:r>
          </w:p>
        </w:tc>
        <w:tc>
          <w:tcPr>
            <w:tcW w:w="54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71,396</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46,364</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3983C5"/>
              </w:rPr>
              <w:t>Aggregates</w:t>
            </w:r>
          </w:p>
        </w:tc>
        <w:tc>
          <w:tcPr>
            <w:tcW w:w="54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12,149</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8,309</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Wallboard</w:t>
            </w:r>
          </w:p>
        </w:tc>
        <w:tc>
          <w:tcPr>
            <w:tcW w:w="54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5,242</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4,244</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EB949"/>
              </w:rPr>
              <w:t>Paperboard</w:t>
            </w:r>
          </w:p>
        </w:tc>
        <w:tc>
          <w:tcPr>
            <w:tcW w:w="54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14,278</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8,651</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Repair Parts and Supplies</w:t>
            </w:r>
          </w:p>
        </w:tc>
        <w:tc>
          <w:tcPr>
            <w:tcW w:w="54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127,511</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112,885</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Fuel and Coal</w:t>
            </w:r>
          </w:p>
        </w:tc>
        <w:tc>
          <w:tcPr>
            <w:tcW w:w="54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20,575</w:t>
            </w: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14,549</w:t>
            </w:r>
          </w:p>
        </w:tc>
      </w:tr>
      <w:tr>
        <w:trPr>
          <w:trHeight w:val="209"/>
        </w:trPr>
        <w:tc>
          <w:tcPr>
            <w:tcW w:w="77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373,923</w:t>
            </w: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291,882</w:t>
            </w:r>
          </w:p>
        </w:tc>
      </w:tr>
      <w:tr>
        <w:trPr>
          <w:trHeight w:val="20"/>
        </w:trPr>
        <w:tc>
          <w:tcPr>
            <w:tcW w:w="77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Property, Plant, and Equipment</w:t>
      </w:r>
    </w:p>
    <w:p>
      <w:pPr>
        <w:spacing w:after="0" w:line="99"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$139.5 million, $129.6 million, and $122.4 million, for the fiscal years ended March 31, 2024, 2023, and 2022,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Plants</w:t>
            </w:r>
          </w:p>
        </w:tc>
        <w:tc>
          <w:tcPr>
            <w:tcW w:w="5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8"/>
                <w:szCs w:val="18"/>
                <w:color w:val="auto"/>
              </w:rPr>
              <w:t>20 to 30 years</w:t>
            </w:r>
          </w:p>
        </w:tc>
      </w:tr>
      <w:tr>
        <w:trPr>
          <w:trHeight w:val="223"/>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Buildings</w:t>
            </w:r>
          </w:p>
        </w:tc>
        <w:tc>
          <w:tcPr>
            <w:tcW w:w="50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20 to 40 years</w:t>
            </w:r>
          </w:p>
        </w:tc>
      </w:tr>
      <w:tr>
        <w:trPr>
          <w:trHeight w:val="223"/>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Machinery and Equipment</w:t>
            </w:r>
          </w:p>
        </w:tc>
        <w:tc>
          <w:tcPr>
            <w:tcW w:w="50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 to 25 years</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 expenses are included in each segment’s costs and expenses. We incurred $220.1 million, $173.4 million, and</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$147.8 million of maintenance and repair expenses in the fiscal years ended March 31, 2024, 2023, and 2022, respectively, which is included in Cost of Goods Sold on the Consolidated Statement of Earnings.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 and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analysis considers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6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quantitative test and the carrying value of the reporting unit exceeds its fair value, then an impairment charge equal to the difference, not to exceed the total amount of Goodwill, is recorded.</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in order to test the reasonableness of our fair value calculations.</w:t>
      </w:r>
    </w:p>
    <w:p>
      <w:pPr>
        <w:spacing w:after="0" w:line="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elected to perform a Step 1 quantitative test on all of our reporting units with Goodwill during the fourth quarter of fiscal 2024. We estimated the fair value of the reporting unit using a discounted cash flow model as well as a market analysis. Key assumptions in the model included estimated average net sales prices, sales volumes, and the estimated weighted average cost of capital specific to each industry. Based on the results of the Step 1 quantitative analysis, we concluded that the fair values of the reporting units substantially exceeded their carrying values, and therefore no impairment was recognized.</w:t>
      </w:r>
    </w:p>
    <w:p>
      <w:pPr>
        <w:spacing w:after="0" w:line="68"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We performed qualitative assessments on all of our reporting units in the fourth quarter of fiscal years 2023 and 2022. As a result of these qualitative assessments, we determined it was not more likely than not that an impairment existed; therefore, we did not perform a Step 1 quantitative test in either fiscal 2023 or fiscal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 AND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at March 31, 2024 and 2023,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26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800" w:type="dxa"/>
            <w:vAlign w:val="bottom"/>
            <w:shd w:val="clear" w:color="auto" w:fill="004483"/>
          </w:tcPr>
          <w:p>
            <w:pPr>
              <w:spacing w:after="0"/>
              <w:rPr>
                <w:sz w:val="14"/>
                <w:szCs w:val="14"/>
                <w:color w:val="auto"/>
              </w:rPr>
            </w:pPr>
          </w:p>
        </w:tc>
        <w:tc>
          <w:tcPr>
            <w:tcW w:w="8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100" w:type="dxa"/>
            <w:vAlign w:val="bottom"/>
            <w:gridSpan w:val="2"/>
            <w:shd w:val="clear" w:color="auto" w:fill="004483"/>
          </w:tcPr>
          <w:p>
            <w:pPr>
              <w:spacing w:after="0"/>
              <w:rPr>
                <w:sz w:val="20"/>
                <w:szCs w:val="20"/>
                <w:color w:val="auto"/>
              </w:rPr>
            </w:pPr>
            <w:r>
              <w:rPr>
                <w:rFonts w:ascii="Arial" w:cs="Arial" w:eastAsia="Arial" w:hAnsi="Arial"/>
                <w:sz w:val="13"/>
                <w:szCs w:val="13"/>
                <w:b w:val="1"/>
                <w:bCs w:val="1"/>
                <w:color w:val="FFFFFF"/>
              </w:rPr>
              <w:t>March 31, 2024</w:t>
            </w:r>
          </w:p>
        </w:tc>
        <w:tc>
          <w:tcPr>
            <w:tcW w:w="120" w:type="dxa"/>
            <w:vAlign w:val="bottom"/>
            <w:shd w:val="clear" w:color="auto" w:fill="004483"/>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96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260" w:type="dxa"/>
            <w:vAlign w:val="bottom"/>
          </w:tcPr>
          <w:p>
            <w:pPr>
              <w:jc w:val="right"/>
              <w:ind w:right="86"/>
              <w:spacing w:after="0" w:line="131" w:lineRule="exact"/>
              <w:rPr>
                <w:sz w:val="20"/>
                <w:szCs w:val="20"/>
                <w:color w:val="auto"/>
              </w:rPr>
            </w:pPr>
            <w:r>
              <w:rPr>
                <w:rFonts w:ascii="Arial" w:cs="Arial" w:eastAsia="Arial" w:hAnsi="Arial"/>
                <w:sz w:val="13"/>
                <w:szCs w:val="13"/>
                <w:b w:val="1"/>
                <w:bCs w:val="1"/>
                <w:color w:val="auto"/>
              </w:rPr>
              <w:t>Amortization</w:t>
            </w: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Additions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44"/>
              <w:spacing w:after="0" w:line="131"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260" w:type="dxa"/>
            <w:vAlign w:val="bottom"/>
          </w:tcPr>
          <w:p>
            <w:pPr>
              <w:jc w:val="right"/>
              <w:ind w:right="86"/>
              <w:spacing w:after="0"/>
              <w:rPr>
                <w:sz w:val="20"/>
                <w:szCs w:val="20"/>
                <w:color w:val="auto"/>
              </w:rPr>
            </w:pPr>
            <w:r>
              <w:rPr>
                <w:rFonts w:ascii="Arial" w:cs="Arial" w:eastAsia="Arial" w:hAnsi="Arial"/>
                <w:sz w:val="13"/>
                <w:szCs w:val="13"/>
                <w:b w:val="1"/>
                <w:bCs w:val="1"/>
                <w:color w:val="auto"/>
              </w:rPr>
              <w:t>Period</w:t>
            </w: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44"/>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4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32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w:t>
            </w:r>
          </w:p>
        </w:tc>
        <w:tc>
          <w:tcPr>
            <w:tcW w:w="126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Customer Contracts and Relationships</w:t>
            </w:r>
          </w:p>
        </w:tc>
        <w:tc>
          <w:tcPr>
            <w:tcW w:w="1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141,194</w:t>
            </w:r>
          </w:p>
        </w:tc>
        <w:tc>
          <w:tcPr>
            <w:tcW w:w="480" w:type="dxa"/>
            <w:vAlign w:val="bottom"/>
            <w:tcBorders>
              <w:bottom w:val="single" w:sz="8" w:color="A6A6A6"/>
            </w:tcBorders>
            <w:gridSpan w:val="3"/>
          </w:tcPr>
          <w:p>
            <w:pPr>
              <w:ind w:lef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16,100</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(82,077 )</w:t>
            </w:r>
          </w:p>
        </w:tc>
        <w:tc>
          <w:tcPr>
            <w:tcW w:w="36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75,217</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Permits</w:t>
            </w:r>
          </w:p>
        </w:tc>
        <w:tc>
          <w:tcPr>
            <w:tcW w:w="1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25-40 years</w:t>
            </w: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30,760</w:t>
            </w:r>
          </w:p>
        </w:tc>
        <w:tc>
          <w:tcPr>
            <w:tcW w:w="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(13,413 )</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Trade Name</w:t>
            </w:r>
          </w:p>
        </w:tc>
        <w:tc>
          <w:tcPr>
            <w:tcW w:w="1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1,900</w:t>
            </w:r>
          </w:p>
        </w:tc>
        <w:tc>
          <w:tcPr>
            <w:tcW w:w="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(916 )</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126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380,711</w:t>
            </w:r>
          </w:p>
        </w:tc>
        <w:tc>
          <w:tcPr>
            <w:tcW w:w="80" w:type="dxa"/>
            <w:vAlign w:val="bottom"/>
            <w:tcBorders>
              <w:bottom w:val="single" w:sz="8" w:color="004483"/>
            </w:tcBorders>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11,858</w:t>
            </w:r>
          </w:p>
        </w:tc>
        <w:tc>
          <w:tcPr>
            <w:tcW w:w="120" w:type="dxa"/>
            <w:vAlign w:val="bottom"/>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24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392,569</w:t>
            </w:r>
          </w:p>
        </w:tc>
        <w:tc>
          <w:tcPr>
            <w:tcW w:w="0" w:type="dxa"/>
            <w:vAlign w:val="bottom"/>
          </w:tcPr>
          <w:p>
            <w:pPr>
              <w:spacing w:after="0"/>
              <w:rPr>
                <w:sz w:val="1"/>
                <w:szCs w:val="1"/>
                <w:color w:val="auto"/>
              </w:rPr>
            </w:pPr>
          </w:p>
        </w:tc>
      </w:tr>
      <w:tr>
        <w:trPr>
          <w:trHeight w:val="210"/>
        </w:trPr>
        <w:tc>
          <w:tcPr>
            <w:tcW w:w="5140" w:type="dxa"/>
            <w:vAlign w:val="bottom"/>
          </w:tcPr>
          <w:p>
            <w:pPr>
              <w:ind w:left="200"/>
              <w:spacing w:after="0"/>
              <w:rPr>
                <w:sz w:val="20"/>
                <w:szCs w:val="20"/>
                <w:color w:val="auto"/>
              </w:rPr>
            </w:pPr>
            <w:r>
              <w:rPr>
                <w:rFonts w:ascii="Arial" w:cs="Arial" w:eastAsia="Arial" w:hAnsi="Arial"/>
                <w:sz w:val="16"/>
                <w:szCs w:val="16"/>
                <w:b w:val="1"/>
                <w:bCs w:val="1"/>
                <w:color w:val="auto"/>
              </w:rPr>
              <w:t>Total Goodwill and Intangible Assets</w:t>
            </w:r>
          </w:p>
        </w:tc>
        <w:tc>
          <w:tcPr>
            <w:tcW w:w="1260" w:type="dxa"/>
            <w:vAlign w:val="bottom"/>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554,565</w:t>
            </w:r>
          </w:p>
        </w:tc>
        <w:tc>
          <w:tcPr>
            <w:tcW w:w="80" w:type="dxa"/>
            <w:vAlign w:val="bottom"/>
            <w:tcBorders>
              <w:bottom w:val="single" w:sz="8" w:color="004483"/>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27,958</w:t>
            </w:r>
          </w:p>
        </w:tc>
        <w:tc>
          <w:tcPr>
            <w:tcW w:w="12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(96,406 )</w:t>
            </w: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486,117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26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800" w:type="dxa"/>
            <w:vAlign w:val="bottom"/>
            <w:shd w:val="clear" w:color="auto" w:fill="004483"/>
          </w:tcPr>
          <w:p>
            <w:pPr>
              <w:spacing w:after="0"/>
              <w:rPr>
                <w:sz w:val="14"/>
                <w:szCs w:val="14"/>
                <w:color w:val="auto"/>
              </w:rPr>
            </w:pPr>
          </w:p>
        </w:tc>
        <w:tc>
          <w:tcPr>
            <w:tcW w:w="8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100" w:type="dxa"/>
            <w:vAlign w:val="bottom"/>
            <w:gridSpan w:val="2"/>
            <w:shd w:val="clear" w:color="auto" w:fill="004483"/>
          </w:tcPr>
          <w:p>
            <w:pPr>
              <w:spacing w:after="0"/>
              <w:rPr>
                <w:sz w:val="20"/>
                <w:szCs w:val="20"/>
                <w:color w:val="auto"/>
              </w:rPr>
            </w:pPr>
            <w:r>
              <w:rPr>
                <w:rFonts w:ascii="Arial" w:cs="Arial" w:eastAsia="Arial" w:hAnsi="Arial"/>
                <w:sz w:val="13"/>
                <w:szCs w:val="13"/>
                <w:b w:val="1"/>
                <w:bCs w:val="1"/>
                <w:color w:val="FFFFFF"/>
              </w:rPr>
              <w:t>March 31, 2023</w:t>
            </w:r>
          </w:p>
        </w:tc>
        <w:tc>
          <w:tcPr>
            <w:tcW w:w="120" w:type="dxa"/>
            <w:vAlign w:val="bottom"/>
            <w:shd w:val="clear" w:color="auto" w:fill="004483"/>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96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260" w:type="dxa"/>
            <w:vAlign w:val="bottom"/>
          </w:tcPr>
          <w:p>
            <w:pPr>
              <w:jc w:val="right"/>
              <w:ind w:right="86"/>
              <w:spacing w:after="0" w:line="131" w:lineRule="exact"/>
              <w:rPr>
                <w:sz w:val="20"/>
                <w:szCs w:val="20"/>
                <w:color w:val="auto"/>
              </w:rPr>
            </w:pPr>
            <w:r>
              <w:rPr>
                <w:rFonts w:ascii="Arial" w:cs="Arial" w:eastAsia="Arial" w:hAnsi="Arial"/>
                <w:sz w:val="13"/>
                <w:szCs w:val="13"/>
                <w:b w:val="1"/>
                <w:bCs w:val="1"/>
                <w:color w:val="auto"/>
              </w:rPr>
              <w:t>Amortization</w:t>
            </w: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Additions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44"/>
              <w:spacing w:after="0" w:line="131"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260" w:type="dxa"/>
            <w:vAlign w:val="bottom"/>
          </w:tcPr>
          <w:p>
            <w:pPr>
              <w:jc w:val="right"/>
              <w:ind w:right="86"/>
              <w:spacing w:after="0"/>
              <w:rPr>
                <w:sz w:val="20"/>
                <w:szCs w:val="20"/>
                <w:color w:val="auto"/>
              </w:rPr>
            </w:pPr>
            <w:r>
              <w:rPr>
                <w:rFonts w:ascii="Arial" w:cs="Arial" w:eastAsia="Arial" w:hAnsi="Arial"/>
                <w:sz w:val="13"/>
                <w:szCs w:val="13"/>
                <w:b w:val="1"/>
                <w:bCs w:val="1"/>
                <w:color w:val="auto"/>
              </w:rPr>
              <w:t>Period</w:t>
            </w: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44"/>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4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32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w:t>
            </w:r>
          </w:p>
        </w:tc>
        <w:tc>
          <w:tcPr>
            <w:tcW w:w="126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Customer Contracts and Relationships</w:t>
            </w:r>
          </w:p>
        </w:tc>
        <w:tc>
          <w:tcPr>
            <w:tcW w:w="1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108,610</w:t>
            </w:r>
          </w:p>
        </w:tc>
        <w:tc>
          <w:tcPr>
            <w:tcW w:w="480" w:type="dxa"/>
            <w:vAlign w:val="bottom"/>
            <w:tcBorders>
              <w:bottom w:val="single" w:sz="8" w:color="A6A6A6"/>
            </w:tcBorders>
            <w:gridSpan w:val="3"/>
          </w:tcPr>
          <w:p>
            <w:pPr>
              <w:ind w:lef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32,584</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(75,413 )</w:t>
            </w:r>
          </w:p>
        </w:tc>
        <w:tc>
          <w:tcPr>
            <w:tcW w:w="36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65,781</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Permits</w:t>
            </w:r>
          </w:p>
        </w:tc>
        <w:tc>
          <w:tcPr>
            <w:tcW w:w="1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25-40 years</w:t>
            </w: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30,410</w:t>
            </w:r>
          </w:p>
        </w:tc>
        <w:tc>
          <w:tcPr>
            <w:tcW w:w="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(12,519 )</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18,241</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Trade Name</w:t>
            </w:r>
          </w:p>
        </w:tc>
        <w:tc>
          <w:tcPr>
            <w:tcW w:w="1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(590 )</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126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329,137</w:t>
            </w:r>
          </w:p>
        </w:tc>
        <w:tc>
          <w:tcPr>
            <w:tcW w:w="80" w:type="dxa"/>
            <w:vAlign w:val="bottom"/>
            <w:tcBorders>
              <w:bottom w:val="single" w:sz="8" w:color="004483"/>
            </w:tcBorders>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51,574</w:t>
            </w:r>
          </w:p>
        </w:tc>
        <w:tc>
          <w:tcPr>
            <w:tcW w:w="120" w:type="dxa"/>
            <w:vAlign w:val="bottom"/>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24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380,711</w:t>
            </w:r>
          </w:p>
        </w:tc>
        <w:tc>
          <w:tcPr>
            <w:tcW w:w="0" w:type="dxa"/>
            <w:vAlign w:val="bottom"/>
          </w:tcPr>
          <w:p>
            <w:pPr>
              <w:spacing w:after="0"/>
              <w:rPr>
                <w:sz w:val="1"/>
                <w:szCs w:val="1"/>
                <w:color w:val="auto"/>
              </w:rPr>
            </w:pPr>
          </w:p>
        </w:tc>
      </w:tr>
      <w:tr>
        <w:trPr>
          <w:trHeight w:val="210"/>
        </w:trPr>
        <w:tc>
          <w:tcPr>
            <w:tcW w:w="5140" w:type="dxa"/>
            <w:vAlign w:val="bottom"/>
          </w:tcPr>
          <w:p>
            <w:pPr>
              <w:ind w:left="200"/>
              <w:spacing w:after="0"/>
              <w:rPr>
                <w:sz w:val="20"/>
                <w:szCs w:val="20"/>
                <w:color w:val="auto"/>
              </w:rPr>
            </w:pPr>
            <w:r>
              <w:rPr>
                <w:rFonts w:ascii="Arial" w:cs="Arial" w:eastAsia="Arial" w:hAnsi="Arial"/>
                <w:sz w:val="16"/>
                <w:szCs w:val="16"/>
                <w:b w:val="1"/>
                <w:bCs w:val="1"/>
                <w:color w:val="auto"/>
              </w:rPr>
              <w:t>Total Goodwill and Intangible Assets</w:t>
            </w:r>
          </w:p>
        </w:tc>
        <w:tc>
          <w:tcPr>
            <w:tcW w:w="1260" w:type="dxa"/>
            <w:vAlign w:val="bottom"/>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469,657</w:t>
            </w:r>
          </w:p>
        </w:tc>
        <w:tc>
          <w:tcPr>
            <w:tcW w:w="80" w:type="dxa"/>
            <w:vAlign w:val="bottom"/>
            <w:tcBorders>
              <w:bottom w:val="single" w:sz="8" w:color="004483"/>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84,908</w:t>
            </w:r>
          </w:p>
        </w:tc>
        <w:tc>
          <w:tcPr>
            <w:tcW w:w="12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(88,522 )</w:t>
            </w: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466,043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Amortization expense of intangibles was $7.9 million, $6.8 million, and $4.4 million for the fiscal years ended March 31, 2024, 2023, and 2022, respectively. Amortization expense is expected to be approximately $7.7 million in fiscal 2025, $7.6 million in fiscal 2026, $7.5 million in fiscal 2027, $7.4 million in fiscal 2028, and $7.1 million in fiscal 2029.</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or Disposal of Long-Lived and Intangible Assets</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 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primarily composed of financing costs related to our Revolving Credit Facility, deferred expenses, and deposits.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Income Taxes</w:t>
      </w:r>
    </w:p>
    <w:p>
      <w:pPr>
        <w:spacing w:after="0" w:line="9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 See Footnote (I)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Stock Repurchases</w:t>
      </w:r>
    </w:p>
    <w:p>
      <w:pPr>
        <w:spacing w:after="0" w:line="9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Shares repurchased by the Company are considered retired and available for future issuance. When shares are repurchased, the Company first reduces Capital in Excess of Par Value, and if there is no balance in this account, the purchases are recorded as a reduction of Retained Earnings.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75" w:name="page76"/>
    <w:bookmarkEnd w:id="75"/>
    <w:p>
      <w:pPr>
        <w:spacing w:after="0" w:line="8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On May 17, 2022, the Board authorized the Company to repurchase an additional 7,500,000 shares. During fiscal years 2024, 2023, and 2022, we repurchased 1,863,534, 3,075,788, and 3,982,657 shares, respectively, at average prices of $243.02, $126.05, and $148.08, respectively. At March 31, 2024, the remaining authorized shares for repurchase totaled 5,883,670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Revenue Recognition</w:t>
      </w:r>
    </w:p>
    <w:p>
      <w:pPr>
        <w:spacing w:after="0" w:line="9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majority of Revenue from the sale of concrete, aggregates, and gypsum wallboard is originated by purchase orders from our customers, who are mainly third-party contractors and suppliers. Revenue from the sale of cement is sold point-of-sale to customers under sales orders. Revenue from our Recycled Paperboard segment is generated mostly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occurs at the time the product is shipped from the production facility. Our long-term supply agreements with customers define, among other commitments, the volume of product we must provide and the volume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billed to the customer are recorded as Revenue, while costs incurred for shipping and handling are recorded as expenses and included in Cost of Goods Sold.</w:t>
      </w:r>
    </w:p>
    <w:p>
      <w:pPr>
        <w:spacing w:after="0" w:line="6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Approximately $215.3 million, $229.6 million, and $199.1 million of freight for the fiscal years ended March 31, 2024, 2023, and 2022, respectively, were included in both Revenue and Cost of Goods Sold in our Consolidated Statement of Earnings.</w:t>
      </w:r>
    </w:p>
    <w:p>
      <w:pPr>
        <w:spacing w:after="0" w:line="4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Footnote (H) for disaggregation of Revenue by segment.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Comprehensive Income/Losses</w:t>
      </w:r>
    </w:p>
    <w:p>
      <w:pPr>
        <w:spacing w:after="0" w:line="9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As of March 31, 2024, we have an Accumulated Other Comprehensive Loss of $3.4 million, which is net of income taxes of $1.1 million, in connection with recognizing the difference between the fair value of the pension assets and the projected benefit obligation.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Consolidated Cash Flows – Supplemental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0" w:type="dxa"/>
            <w:vAlign w:val="bottom"/>
            <w:shd w:val="clear" w:color="auto" w:fill="004483"/>
          </w:tcPr>
          <w:p>
            <w:pPr>
              <w:spacing w:after="0"/>
              <w:rPr>
                <w:sz w:val="19"/>
                <w:szCs w:val="19"/>
                <w:color w:val="auto"/>
              </w:rPr>
            </w:pPr>
          </w:p>
        </w:tc>
        <w:tc>
          <w:tcPr>
            <w:tcW w:w="1000" w:type="dxa"/>
            <w:vAlign w:val="bottom"/>
            <w:shd w:val="clear" w:color="auto" w:fill="004483"/>
          </w:tcPr>
          <w:p>
            <w:pPr>
              <w:spacing w:after="0"/>
              <w:rPr>
                <w:sz w:val="19"/>
                <w:szCs w:val="19"/>
                <w:color w:val="auto"/>
              </w:rPr>
            </w:pPr>
          </w:p>
        </w:tc>
        <w:tc>
          <w:tcPr>
            <w:tcW w:w="1960" w:type="dxa"/>
            <w:vAlign w:val="bottom"/>
            <w:gridSpan w:val="5"/>
            <w:shd w:val="clear" w:color="auto" w:fill="004483"/>
          </w:tcPr>
          <w:p>
            <w:pPr>
              <w:jc w:val="center"/>
              <w:spacing w:after="0"/>
              <w:rPr>
                <w:sz w:val="20"/>
                <w:szCs w:val="20"/>
                <w:color w:val="auto"/>
              </w:rPr>
            </w:pPr>
            <w:r>
              <w:rPr>
                <w:rFonts w:ascii="Arial" w:cs="Arial" w:eastAsia="Arial" w:hAnsi="Arial"/>
                <w:sz w:val="13"/>
                <w:szCs w:val="13"/>
                <w:b w:val="1"/>
                <w:bCs w:val="1"/>
                <w:color w:val="FFFFFF"/>
                <w:w w:val="95"/>
              </w:rPr>
              <w:t>For the Years Ended March 31,</w:t>
            </w:r>
          </w:p>
        </w:tc>
        <w:tc>
          <w:tcPr>
            <w:tcW w:w="580" w:type="dxa"/>
            <w:vAlign w:val="bottom"/>
            <w:shd w:val="clear" w:color="auto" w:fill="004483"/>
          </w:tcPr>
          <w:p>
            <w:pPr>
              <w:spacing w:after="0"/>
              <w:rPr>
                <w:sz w:val="19"/>
                <w:szCs w:val="19"/>
                <w:color w:val="auto"/>
              </w:rPr>
            </w:pPr>
          </w:p>
        </w:tc>
        <w:tc>
          <w:tcPr>
            <w:tcW w:w="94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58"/>
        </w:trPr>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7"/>
        </w:trPr>
        <w:tc>
          <w:tcPr>
            <w:tcW w:w="6160" w:type="dxa"/>
            <w:vAlign w:val="bottom"/>
            <w:tcBorders>
              <w:bottom w:val="single" w:sz="8" w:color="004483"/>
            </w:tcBorders>
          </w:tcPr>
          <w:p>
            <w:pPr>
              <w:spacing w:after="0"/>
              <w:rPr>
                <w:sz w:val="16"/>
                <w:szCs w:val="16"/>
                <w:color w:val="auto"/>
              </w:rPr>
            </w:pPr>
          </w:p>
        </w:tc>
        <w:tc>
          <w:tcPr>
            <w:tcW w:w="500" w:type="dxa"/>
            <w:vAlign w:val="bottom"/>
            <w:tcBorders>
              <w:bottom w:val="single" w:sz="8" w:color="004483"/>
            </w:tcBorders>
          </w:tcPr>
          <w:p>
            <w:pPr>
              <w:spacing w:after="0"/>
              <w:rPr>
                <w:sz w:val="16"/>
                <w:szCs w:val="16"/>
                <w:color w:val="auto"/>
              </w:rPr>
            </w:pPr>
          </w:p>
        </w:tc>
        <w:tc>
          <w:tcPr>
            <w:tcW w:w="10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jc w:val="center"/>
              <w:ind w:right="360"/>
              <w:spacing w:after="0"/>
              <w:rPr>
                <w:sz w:val="20"/>
                <w:szCs w:val="20"/>
                <w:color w:val="auto"/>
              </w:rPr>
            </w:pPr>
            <w:r>
              <w:rPr>
                <w:rFonts w:ascii="Arial" w:cs="Arial" w:eastAsia="Arial" w:hAnsi="Arial"/>
                <w:sz w:val="13"/>
                <w:szCs w:val="13"/>
                <w:color w:val="auto"/>
                <w:w w:val="98"/>
              </w:rPr>
              <w:t>(dollars in thousands)</w:t>
            </w:r>
          </w:p>
        </w:tc>
        <w:tc>
          <w:tcPr>
            <w:tcW w:w="580" w:type="dxa"/>
            <w:vAlign w:val="bottom"/>
            <w:tcBorders>
              <w:bottom w:val="single" w:sz="8" w:color="004483"/>
            </w:tcBorders>
          </w:tcPr>
          <w:p>
            <w:pPr>
              <w:spacing w:after="0"/>
              <w:rPr>
                <w:sz w:val="16"/>
                <w:szCs w:val="16"/>
                <w:color w:val="auto"/>
              </w:rPr>
            </w:pPr>
          </w:p>
        </w:tc>
        <w:tc>
          <w:tcPr>
            <w:tcW w:w="9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Cash Payments:</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16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136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A6A6A6"/>
            </w:tcBorders>
          </w:tcPr>
          <w:p>
            <w:pPr>
              <w:spacing w:after="0" w:line="20" w:lineRule="exact"/>
              <w:rPr>
                <w:sz w:val="1"/>
                <w:szCs w:val="1"/>
                <w:color w:val="auto"/>
              </w:rPr>
            </w:pPr>
          </w:p>
        </w:tc>
        <w:tc>
          <w:tcPr>
            <w:tcW w:w="9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6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43,663</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31,596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21,298</w:t>
            </w:r>
          </w:p>
        </w:tc>
        <w:tc>
          <w:tcPr>
            <w:tcW w:w="100" w:type="dxa"/>
            <w:vAlign w:val="bottom"/>
          </w:tcPr>
          <w:p>
            <w:pPr>
              <w:spacing w:after="0"/>
              <w:rPr>
                <w:sz w:val="20"/>
                <w:szCs w:val="20"/>
                <w:color w:val="auto"/>
              </w:rPr>
            </w:pPr>
          </w:p>
        </w:tc>
      </w:tr>
      <w:tr>
        <w:trPr>
          <w:trHeight w:val="236"/>
        </w:trPr>
        <w:tc>
          <w:tcPr>
            <w:tcW w:w="61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500" w:type="dxa"/>
            <w:vAlign w:val="bottom"/>
            <w:tcBorders>
              <w:top w:val="single" w:sz="8" w:color="A6A6A6"/>
              <w:bottom w:val="single" w:sz="8" w:color="A6A6A6"/>
            </w:tcBorders>
          </w:tcPr>
          <w:p>
            <w:pPr>
              <w:spacing w:after="0"/>
              <w:rPr>
                <w:sz w:val="20"/>
                <w:szCs w:val="20"/>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124,482</w:t>
            </w:r>
          </w:p>
        </w:tc>
        <w:tc>
          <w:tcPr>
            <w:tcW w:w="120" w:type="dxa"/>
            <w:vAlign w:val="bottom"/>
          </w:tcPr>
          <w:p>
            <w:pPr>
              <w:spacing w:after="0"/>
              <w:rPr>
                <w:sz w:val="20"/>
                <w:szCs w:val="20"/>
                <w:color w:val="auto"/>
              </w:rPr>
            </w:pPr>
          </w:p>
        </w:tc>
        <w:tc>
          <w:tcPr>
            <w:tcW w:w="260" w:type="dxa"/>
            <w:vAlign w:val="bottom"/>
            <w:tcBorders>
              <w:top w:val="single" w:sz="8" w:color="A6A6A6"/>
              <w:bottom w:val="single" w:sz="8" w:color="A6A6A6"/>
            </w:tcBorders>
          </w:tcPr>
          <w:p>
            <w:pPr>
              <w:spacing w:after="0"/>
              <w:rPr>
                <w:sz w:val="20"/>
                <w:szCs w:val="20"/>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131,512</w:t>
            </w:r>
          </w:p>
        </w:tc>
        <w:tc>
          <w:tcPr>
            <w:tcW w:w="12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580" w:type="dxa"/>
            <w:vAlign w:val="bottom"/>
            <w:tcBorders>
              <w:top w:val="single" w:sz="8" w:color="A6A6A6"/>
              <w:bottom w:val="single" w:sz="8" w:color="A6A6A6"/>
            </w:tcBorders>
          </w:tcPr>
          <w:p>
            <w:pPr>
              <w:spacing w:after="0"/>
              <w:rPr>
                <w:sz w:val="20"/>
                <w:szCs w:val="20"/>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86,407</w:t>
            </w:r>
          </w:p>
        </w:tc>
        <w:tc>
          <w:tcPr>
            <w:tcW w:w="100" w:type="dxa"/>
            <w:vAlign w:val="bottom"/>
          </w:tcPr>
          <w:p>
            <w:pPr>
              <w:spacing w:after="0"/>
              <w:rPr>
                <w:sz w:val="20"/>
                <w:szCs w:val="20"/>
                <w:color w:val="auto"/>
              </w:rPr>
            </w:pPr>
          </w:p>
        </w:tc>
      </w:tr>
      <w:tr>
        <w:trPr>
          <w:trHeight w:val="237"/>
        </w:trPr>
        <w:tc>
          <w:tcPr>
            <w:tcW w:w="61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500" w:type="dxa"/>
            <w:vAlign w:val="bottom"/>
            <w:tcBorders>
              <w:bottom w:val="single" w:sz="8" w:color="A6A6A6"/>
            </w:tcBorders>
          </w:tcPr>
          <w:p>
            <w:pPr>
              <w:spacing w:after="0"/>
              <w:rPr>
                <w:sz w:val="20"/>
                <w:szCs w:val="20"/>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9,286</w:t>
            </w:r>
          </w:p>
        </w:tc>
        <w:tc>
          <w:tcPr>
            <w:tcW w:w="12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8,314</w:t>
            </w:r>
          </w:p>
        </w:tc>
        <w:tc>
          <w:tcPr>
            <w:tcW w:w="1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8,141</w:t>
            </w:r>
          </w:p>
        </w:tc>
        <w:tc>
          <w:tcPr>
            <w:tcW w:w="100" w:type="dxa"/>
            <w:vAlign w:val="bottom"/>
          </w:tcPr>
          <w:p>
            <w:pPr>
              <w:spacing w:after="0"/>
              <w:rPr>
                <w:sz w:val="20"/>
                <w:szCs w:val="20"/>
                <w:color w:val="auto"/>
              </w:rPr>
            </w:pPr>
          </w:p>
        </w:tc>
      </w:tr>
      <w:tr>
        <w:trPr>
          <w:trHeight w:val="237"/>
        </w:trPr>
        <w:tc>
          <w:tcPr>
            <w:tcW w:w="6160" w:type="dxa"/>
            <w:vAlign w:val="bottom"/>
            <w:tcBorders>
              <w:bottom w:val="single" w:sz="8" w:color="A6A6A6"/>
            </w:tcBorders>
          </w:tcPr>
          <w:p>
            <w:pPr>
              <w:spacing w:after="0"/>
              <w:rPr>
                <w:sz w:val="20"/>
                <w:szCs w:val="20"/>
                <w:color w:val="auto"/>
              </w:rPr>
            </w:pPr>
          </w:p>
        </w:tc>
        <w:tc>
          <w:tcPr>
            <w:tcW w:w="500" w:type="dxa"/>
            <w:vAlign w:val="bottom"/>
            <w:tcBorders>
              <w:bottom w:val="single" w:sz="8" w:color="A6A6A6"/>
            </w:tcBorders>
          </w:tcPr>
          <w:p>
            <w:pPr>
              <w:spacing w:after="0"/>
              <w:rPr>
                <w:sz w:val="20"/>
                <w:szCs w:val="20"/>
                <w:color w:val="auto"/>
              </w:rPr>
            </w:pPr>
          </w:p>
        </w:tc>
        <w:tc>
          <w:tcPr>
            <w:tcW w:w="100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94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Right-of-Use Assets Obtained for Capitalized Operating Leases</w:t>
            </w:r>
          </w:p>
        </w:tc>
        <w:tc>
          <w:tcPr>
            <w:tcW w:w="500" w:type="dxa"/>
            <w:vAlign w:val="bottom"/>
            <w:tcBorders>
              <w:top w:val="single" w:sz="8" w:color="A6A6A6"/>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18"/>
                <w:szCs w:val="18"/>
                <w:color w:val="auto"/>
              </w:rPr>
            </w:pPr>
          </w:p>
        </w:tc>
        <w:tc>
          <w:tcPr>
            <w:tcW w:w="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r>
      <w:tr>
        <w:trPr>
          <w:trHeight w:val="210"/>
        </w:trPr>
        <w:tc>
          <w:tcPr>
            <w:tcW w:w="61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Excise Tax on Share Repurchases</w:t>
            </w:r>
          </w:p>
        </w:tc>
        <w:tc>
          <w:tcPr>
            <w:tcW w:w="50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Selling, General, and Administrative Expenses</w:t>
      </w:r>
    </w:p>
    <w:p>
      <w:pPr>
        <w:spacing w:after="0" w:line="9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Selling, General, and Administrative Expenses of the operating units are included in Cost of Goods Sold on the Consolidated Statements of Earnings. Corporate General and Administrative (Corporate G&amp;A) Expenses include administration, financial, legal, employee benefits, and other corporate activities, and are shown separately in the Consolidated Statements of Earnings. Corporate G&amp;A also includes stock compensation expense. See Footnote (K)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Total Selling, General, and Administrative Expenses for each of the periods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920" w:type="dxa"/>
            <w:vAlign w:val="bottom"/>
            <w:shd w:val="clear" w:color="auto" w:fill="004483"/>
          </w:tcPr>
          <w:p>
            <w:pPr>
              <w:spacing w:after="0"/>
              <w:rPr>
                <w:sz w:val="14"/>
                <w:szCs w:val="14"/>
                <w:color w:val="auto"/>
              </w:rPr>
            </w:pPr>
          </w:p>
        </w:tc>
        <w:tc>
          <w:tcPr>
            <w:tcW w:w="1860" w:type="dxa"/>
            <w:vAlign w:val="bottom"/>
            <w:gridSpan w:val="5"/>
            <w:shd w:val="clear" w:color="auto" w:fill="004483"/>
          </w:tcPr>
          <w:p>
            <w:pPr>
              <w:spacing w:after="0"/>
              <w:rPr>
                <w:sz w:val="20"/>
                <w:szCs w:val="20"/>
                <w:color w:val="auto"/>
              </w:rPr>
            </w:pPr>
            <w:r>
              <w:rPr>
                <w:rFonts w:ascii="Arial" w:cs="Arial" w:eastAsia="Arial" w:hAnsi="Arial"/>
                <w:sz w:val="13"/>
                <w:szCs w:val="13"/>
                <w:b w:val="1"/>
                <w:bCs w:val="1"/>
                <w:color w:val="FFFFFF"/>
                <w:w w:val="96"/>
              </w:rPr>
              <w:t>For the Years Ended March 31,</w:t>
            </w:r>
          </w:p>
        </w:tc>
        <w:tc>
          <w:tcPr>
            <w:tcW w:w="400" w:type="dxa"/>
            <w:vAlign w:val="bottom"/>
            <w:shd w:val="clear" w:color="auto" w:fill="004483"/>
          </w:tcPr>
          <w:p>
            <w:pPr>
              <w:spacing w:after="0"/>
              <w:rPr>
                <w:sz w:val="14"/>
                <w:szCs w:val="14"/>
                <w:color w:val="auto"/>
              </w:rPr>
            </w:pPr>
          </w:p>
        </w:tc>
        <w:tc>
          <w:tcPr>
            <w:tcW w:w="102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44"/>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9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4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Units Selling, G&amp;A</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75,001</w:t>
            </w:r>
          </w:p>
        </w:tc>
        <w:tc>
          <w:tcPr>
            <w:tcW w:w="700" w:type="dxa"/>
            <w:vAlign w:val="bottom"/>
            <w:tcBorders>
              <w:bottom w:val="single" w:sz="8" w:color="A6A6A6"/>
            </w:tcBorders>
            <w:gridSpan w:val="3"/>
          </w:tcPr>
          <w:p>
            <w:pPr>
              <w:ind w:left="3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65,468</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56,561</w:t>
            </w:r>
          </w:p>
        </w:tc>
      </w:tr>
      <w:tr>
        <w:trPr>
          <w:trHeight w:val="23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Corporate G&amp;A</w:t>
            </w:r>
          </w:p>
        </w:tc>
        <w:tc>
          <w:tcPr>
            <w:tcW w:w="42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59,795</w:t>
            </w:r>
          </w:p>
        </w:tc>
        <w:tc>
          <w:tcPr>
            <w:tcW w:w="12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44"/>
              <w:spacing w:after="0"/>
              <w:rPr>
                <w:sz w:val="20"/>
                <w:szCs w:val="20"/>
                <w:color w:val="auto"/>
              </w:rPr>
            </w:pPr>
            <w:r>
              <w:rPr>
                <w:rFonts w:ascii="Arial" w:cs="Arial" w:eastAsia="Arial" w:hAnsi="Arial"/>
                <w:sz w:val="16"/>
                <w:szCs w:val="16"/>
                <w:color w:val="auto"/>
              </w:rPr>
              <w:t>53,630</w:t>
            </w:r>
          </w:p>
        </w:tc>
        <w:tc>
          <w:tcPr>
            <w:tcW w:w="16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4"/>
              <w:spacing w:after="0"/>
              <w:rPr>
                <w:sz w:val="20"/>
                <w:szCs w:val="20"/>
                <w:color w:val="auto"/>
              </w:rPr>
            </w:pPr>
            <w:r>
              <w:rPr>
                <w:rFonts w:ascii="Arial" w:cs="Arial" w:eastAsia="Arial" w:hAnsi="Arial"/>
                <w:sz w:val="16"/>
                <w:szCs w:val="16"/>
                <w:color w:val="auto"/>
              </w:rPr>
              <w:t>46,801</w:t>
            </w:r>
          </w:p>
        </w:tc>
      </w:tr>
      <w:tr>
        <w:trPr>
          <w:trHeight w:val="210"/>
        </w:trPr>
        <w:tc>
          <w:tcPr>
            <w:tcW w:w="662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134,796</w:t>
            </w:r>
          </w:p>
        </w:tc>
        <w:tc>
          <w:tcPr>
            <w:tcW w:w="12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44"/>
              <w:spacing w:after="0"/>
              <w:rPr>
                <w:sz w:val="20"/>
                <w:szCs w:val="20"/>
                <w:color w:val="auto"/>
              </w:rPr>
            </w:pPr>
            <w:r>
              <w:rPr>
                <w:rFonts w:ascii="Arial" w:cs="Arial" w:eastAsia="Arial" w:hAnsi="Arial"/>
                <w:sz w:val="16"/>
                <w:szCs w:val="16"/>
                <w:b w:val="1"/>
                <w:bCs w:val="1"/>
                <w:color w:val="auto"/>
              </w:rPr>
              <w:t>119,098</w:t>
            </w:r>
          </w:p>
        </w:tc>
        <w:tc>
          <w:tcPr>
            <w:tcW w:w="16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4"/>
              <w:spacing w:after="0"/>
              <w:rPr>
                <w:sz w:val="20"/>
                <w:szCs w:val="20"/>
                <w:color w:val="auto"/>
              </w:rPr>
            </w:pPr>
            <w:r>
              <w:rPr>
                <w:rFonts w:ascii="Arial" w:cs="Arial" w:eastAsia="Arial" w:hAnsi="Arial"/>
                <w:sz w:val="16"/>
                <w:szCs w:val="16"/>
                <w:b w:val="1"/>
                <w:bCs w:val="1"/>
                <w:color w:val="auto"/>
              </w:rPr>
              <w:t>103,362</w:t>
            </w:r>
          </w:p>
        </w:tc>
      </w:tr>
      <w:tr>
        <w:trPr>
          <w:trHeight w:val="20"/>
        </w:trPr>
        <w:tc>
          <w:tcPr>
            <w:tcW w:w="66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Earnings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200" w:type="dxa"/>
            <w:vAlign w:val="bottom"/>
            <w:gridSpan w:val="4"/>
            <w:shd w:val="clear" w:color="auto" w:fill="004483"/>
          </w:tcPr>
          <w:p>
            <w:pPr>
              <w:ind w:left="1340"/>
              <w:spacing w:after="0"/>
              <w:rPr>
                <w:sz w:val="20"/>
                <w:szCs w:val="20"/>
                <w:color w:val="auto"/>
              </w:rPr>
            </w:pPr>
            <w:r>
              <w:rPr>
                <w:rFonts w:ascii="Arial" w:cs="Arial" w:eastAsia="Arial" w:hAnsi="Arial"/>
                <w:sz w:val="13"/>
                <w:szCs w:val="13"/>
                <w:b w:val="1"/>
                <w:bCs w:val="1"/>
                <w:color w:val="FFFFFF"/>
                <w:w w:val="96"/>
              </w:rPr>
              <w:t>For the Years Ended March 31,</w:t>
            </w:r>
          </w:p>
        </w:tc>
        <w:tc>
          <w:tcPr>
            <w:tcW w:w="1420" w:type="dxa"/>
            <w:vAlign w:val="bottom"/>
            <w:shd w:val="clear" w:color="auto" w:fill="004483"/>
          </w:tcPr>
          <w:p>
            <w:pPr>
              <w:spacing w:after="0"/>
              <w:rPr>
                <w:sz w:val="14"/>
                <w:szCs w:val="14"/>
                <w:color w:val="auto"/>
              </w:rPr>
            </w:pPr>
          </w:p>
        </w:tc>
      </w:tr>
      <w:tr>
        <w:trPr>
          <w:trHeight w:val="183"/>
        </w:trPr>
        <w:tc>
          <w:tcPr>
            <w:tcW w:w="6620" w:type="dxa"/>
            <w:vAlign w:val="bottom"/>
            <w:tcBorders>
              <w:bottom w:val="single" w:sz="8" w:color="004483"/>
            </w:tcBorders>
          </w:tcPr>
          <w:p>
            <w:pPr>
              <w:spacing w:after="0"/>
              <w:rPr>
                <w:sz w:val="15"/>
                <w:szCs w:val="15"/>
                <w:color w:val="auto"/>
              </w:rPr>
            </w:pPr>
          </w:p>
        </w:tc>
        <w:tc>
          <w:tcPr>
            <w:tcW w:w="1460" w:type="dxa"/>
            <w:vAlign w:val="bottom"/>
            <w:tcBorders>
              <w:bottom w:val="single" w:sz="8" w:color="004483"/>
            </w:tcBorders>
          </w:tcPr>
          <w:p>
            <w:pPr>
              <w:jc w:val="right"/>
              <w:ind w:right="64"/>
              <w:spacing w:after="0"/>
              <w:rPr>
                <w:sz w:val="20"/>
                <w:szCs w:val="20"/>
                <w:color w:val="auto"/>
              </w:rPr>
            </w:pPr>
            <w:r>
              <w:rPr>
                <w:rFonts w:ascii="Arial" w:cs="Arial" w:eastAsia="Arial" w:hAnsi="Arial"/>
                <w:sz w:val="13"/>
                <w:szCs w:val="13"/>
                <w:b w:val="1"/>
                <w:bCs w:val="1"/>
                <w:color w:val="auto"/>
              </w:rPr>
              <w:t>2024</w:t>
            </w:r>
          </w:p>
        </w:tc>
        <w:tc>
          <w:tcPr>
            <w:tcW w:w="1580" w:type="dxa"/>
            <w:vAlign w:val="bottom"/>
            <w:tcBorders>
              <w:bottom w:val="single" w:sz="8" w:color="004483"/>
            </w:tcBorders>
            <w:gridSpan w:val="2"/>
          </w:tcPr>
          <w:p>
            <w:pPr>
              <w:jc w:val="right"/>
              <w:ind w:right="39"/>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004483"/>
            </w:tcBorders>
          </w:tcPr>
          <w:p>
            <w:pPr>
              <w:spacing w:after="0"/>
              <w:rPr>
                <w:sz w:val="15"/>
                <w:szCs w:val="15"/>
                <w:color w:val="auto"/>
              </w:rPr>
            </w:pPr>
          </w:p>
        </w:tc>
        <w:tc>
          <w:tcPr>
            <w:tcW w:w="1420" w:type="dxa"/>
            <w:vAlign w:val="bottom"/>
            <w:tcBorders>
              <w:bottom w:val="single" w:sz="8" w:color="004483"/>
            </w:tcBorders>
          </w:tcPr>
          <w:p>
            <w:pPr>
              <w:jc w:val="right"/>
              <w:ind w:right="42"/>
              <w:spacing w:after="0"/>
              <w:rPr>
                <w:sz w:val="20"/>
                <w:szCs w:val="20"/>
                <w:color w:val="auto"/>
              </w:rPr>
            </w:pPr>
            <w:r>
              <w:rPr>
                <w:rFonts w:ascii="Arial" w:cs="Arial" w:eastAsia="Arial" w:hAnsi="Arial"/>
                <w:sz w:val="13"/>
                <w:szCs w:val="13"/>
                <w:b w:val="1"/>
                <w:bCs w:val="1"/>
                <w:color w:val="auto"/>
              </w:rPr>
              <w:t>2022</w:t>
            </w:r>
          </w:p>
        </w:tc>
      </w:tr>
      <w:tr>
        <w:trPr>
          <w:trHeight w:val="215"/>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Weighted-Average Shares of Common Stock Outstanding</w:t>
            </w:r>
          </w:p>
        </w:tc>
        <w:tc>
          <w:tcPr>
            <w:tcW w:w="14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34,811,560</w:t>
            </w:r>
          </w:p>
        </w:tc>
        <w:tc>
          <w:tcPr>
            <w:tcW w:w="158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6"/>
                <w:szCs w:val="16"/>
                <w:color w:val="auto"/>
              </w:rPr>
              <w:t>36,798,354</w:t>
            </w:r>
          </w:p>
        </w:tc>
        <w:tc>
          <w:tcPr>
            <w:tcW w:w="160" w:type="dxa"/>
            <w:vAlign w:val="bottom"/>
            <w:tcBorders>
              <w:bottom w:val="single" w:sz="8" w:color="A6A6A6"/>
            </w:tcBorders>
          </w:tcPr>
          <w:p>
            <w:pPr>
              <w:spacing w:after="0"/>
              <w:rPr>
                <w:sz w:val="18"/>
                <w:szCs w:val="18"/>
                <w:color w:val="auto"/>
              </w:rPr>
            </w:pPr>
          </w:p>
        </w:tc>
        <w:tc>
          <w:tcPr>
            <w:tcW w:w="14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40,547,048</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46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4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420" w:type="dxa"/>
            <w:vAlign w:val="bottom"/>
            <w:tcBorders>
              <w:bottom w:val="single" w:sz="8" w:color="A6A6A6"/>
            </w:tcBorders>
          </w:tcPr>
          <w:p>
            <w:pPr>
              <w:spacing w:after="0"/>
              <w:rPr>
                <w:sz w:val="18"/>
                <w:szCs w:val="18"/>
                <w:color w:val="auto"/>
              </w:rPr>
            </w:pP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Assumed Exercise of Outstanding Dilutive Options</w:t>
            </w:r>
          </w:p>
        </w:tc>
        <w:tc>
          <w:tcPr>
            <w:tcW w:w="14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304,889</w:t>
            </w:r>
          </w:p>
        </w:tc>
        <w:tc>
          <w:tcPr>
            <w:tcW w:w="158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6"/>
                <w:szCs w:val="16"/>
                <w:color w:val="auto"/>
              </w:rPr>
              <w:t>418,659</w:t>
            </w:r>
          </w:p>
        </w:tc>
        <w:tc>
          <w:tcPr>
            <w:tcW w:w="160" w:type="dxa"/>
            <w:vAlign w:val="bottom"/>
            <w:tcBorders>
              <w:bottom w:val="single" w:sz="8" w:color="A6A6A6"/>
            </w:tcBorders>
          </w:tcPr>
          <w:p>
            <w:pPr>
              <w:spacing w:after="0"/>
              <w:rPr>
                <w:sz w:val="18"/>
                <w:szCs w:val="18"/>
                <w:color w:val="auto"/>
              </w:rPr>
            </w:pPr>
          </w:p>
        </w:tc>
        <w:tc>
          <w:tcPr>
            <w:tcW w:w="14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539,309</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Shares Repurchased from Proceeds of Assumed Exercised Options</w:t>
            </w: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(157,457 )</w:t>
            </w:r>
          </w:p>
        </w:tc>
        <w:tc>
          <w:tcPr>
            <w:tcW w:w="15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(290,590 )</w:t>
            </w:r>
          </w:p>
        </w:tc>
        <w:tc>
          <w:tcPr>
            <w:tcW w:w="160" w:type="dxa"/>
            <w:vAlign w:val="bottom"/>
            <w:tcBorders>
              <w:bottom w:val="single" w:sz="8" w:color="A6A6A6"/>
            </w:tcBorders>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(343,917 )</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004483"/>
              </w:rPr>
              <w:t>Restricted Stock Units</w:t>
            </w: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138,879</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color w:val="auto"/>
              </w:rPr>
              <w:t>126,519</w:t>
            </w:r>
          </w:p>
        </w:tc>
        <w:tc>
          <w:tcPr>
            <w:tcW w:w="160" w:type="dxa"/>
            <w:vAlign w:val="bottom"/>
          </w:tcPr>
          <w:p>
            <w:pPr>
              <w:spacing w:after="0"/>
              <w:rPr>
                <w:sz w:val="20"/>
                <w:szCs w:val="20"/>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187,272</w:t>
            </w:r>
          </w:p>
        </w:tc>
      </w:tr>
      <w:tr>
        <w:trPr>
          <w:trHeight w:val="210"/>
        </w:trPr>
        <w:tc>
          <w:tcPr>
            <w:tcW w:w="66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Common Stock and Dilutive Securities Outstanding</w:t>
            </w:r>
          </w:p>
        </w:tc>
        <w:tc>
          <w:tcPr>
            <w:tcW w:w="1460" w:type="dxa"/>
            <w:vAlign w:val="bottom"/>
            <w:tcBorders>
              <w:top w:val="single" w:sz="8" w:color="004483"/>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35,097,871</w:t>
            </w:r>
          </w:p>
        </w:tc>
        <w:tc>
          <w:tcPr>
            <w:tcW w:w="160" w:type="dxa"/>
            <w:vAlign w:val="bottom"/>
            <w:tcBorders>
              <w:top w:val="single" w:sz="8" w:color="A6A6A6"/>
            </w:tcBorders>
          </w:tcPr>
          <w:p>
            <w:pPr>
              <w:spacing w:after="0"/>
              <w:rPr>
                <w:sz w:val="18"/>
                <w:szCs w:val="18"/>
                <w:color w:val="auto"/>
              </w:rPr>
            </w:pPr>
          </w:p>
        </w:tc>
        <w:tc>
          <w:tcPr>
            <w:tcW w:w="1420" w:type="dxa"/>
            <w:vAlign w:val="bottom"/>
            <w:tcBorders>
              <w:top w:val="single" w:sz="8" w:color="004483"/>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37,052,942</w:t>
            </w:r>
          </w:p>
        </w:tc>
        <w:tc>
          <w:tcPr>
            <w:tcW w:w="160" w:type="dxa"/>
            <w:vAlign w:val="bottom"/>
            <w:tcBorders>
              <w:top w:val="single" w:sz="8" w:color="A6A6A6"/>
            </w:tcBorders>
          </w:tcPr>
          <w:p>
            <w:pPr>
              <w:spacing w:after="0"/>
              <w:rPr>
                <w:sz w:val="18"/>
                <w:szCs w:val="18"/>
                <w:color w:val="auto"/>
              </w:rPr>
            </w:pPr>
          </w:p>
        </w:tc>
        <w:tc>
          <w:tcPr>
            <w:tcW w:w="1420" w:type="dxa"/>
            <w:vAlign w:val="bottom"/>
            <w:tcBorders>
              <w:top w:val="single" w:sz="8" w:color="004483"/>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40,929,712</w:t>
            </w:r>
          </w:p>
        </w:tc>
      </w:tr>
      <w:tr>
        <w:trPr>
          <w:trHeight w:val="20"/>
        </w:trPr>
        <w:tc>
          <w:tcPr>
            <w:tcW w:w="6620" w:type="dxa"/>
            <w:vAlign w:val="bottom"/>
          </w:tcPr>
          <w:p>
            <w:pPr>
              <w:spacing w:after="0" w:line="20" w:lineRule="exact"/>
              <w:rPr>
                <w:sz w:val="1"/>
                <w:szCs w:val="1"/>
                <w:color w:val="auto"/>
              </w:rPr>
            </w:pPr>
          </w:p>
        </w:tc>
        <w:tc>
          <w:tcPr>
            <w:tcW w:w="14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line Less Shares Repurchased from Proceeds of Assumed Exercised Options includes unearned compensation related to outstanding stock options.</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There were 16,609, 52,375, and 6,053 stock options at an average exercise price of $133.91 per share, $127.06 per share, and $139.80 per share, respectively, that were excluded from the computation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the fiscal years ended March 31, 2024, 2023, and 2022, because such inclusion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Share-Based Compensation</w:t>
      </w:r>
    </w:p>
    <w:p>
      <w:pPr>
        <w:spacing w:after="0" w:line="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Fair Value Measures</w:t>
      </w:r>
    </w:p>
    <w:p>
      <w:pPr>
        <w:spacing w:after="0" w:line="9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and liabilities in active markets;</w:t>
      </w:r>
    </w:p>
    <w:p>
      <w:pPr>
        <w:spacing w:after="0" w:line="10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quoted prices for identical or similar assets and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and</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November 2023, the Financial Accounting Standards Board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ASU 2023-07 will become effective for public companies during annual reporting periods beginning after December 15, 2023, and interim reporting periods beginning after December 15, 2024, with early adoption permitted. The Company is currently evaluating the impact of adopting this guidance on its Consolidated Financial Statements.</w:t>
      </w:r>
    </w:p>
    <w:p>
      <w:pPr>
        <w:spacing w:after="0" w:line="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broken out by nature and jurisdiction to the extent those items exceed a specified threshold. Additionally, all entities are required to disclose income taxes paid, net of refunds received, disaggregated by federal, state, and local, and by individual jurisdiction if the amount is at least 5% of the total income tax payments, net of refunds received. ASU 2023-09 is effective prospectively for annual periods beginning after December 15, 2024. Early adoption and retrospective application are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permitted. ASU 2023-09 will not have any impact on the Company's results of operations, cash flows,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(B) ACQUISITION</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Stockton Terminal Acquisition</w:t>
      </w:r>
    </w:p>
    <w:p>
      <w:pPr>
        <w:spacing w:after="0" w:line="9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May 3, 2023, we purchased the assets of a cement import terminal in Stockton, California (the Stockton Terminal Acquisition), which was accounted for under the acquisition method. The purchase price of the Stockton Terminal Acquisition was approximately $55.1 million. The purchase price was funded primarily through borrowings under our Revolving Credit Facility. Operations related to the Stockton Terminal Acquisition are included in the Cement business in our segment reporting from May 3, 2023 through March 31,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Purchase Price to assets acquired and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right"/>
              <w:ind w:right="499"/>
              <w:spacing w:after="0"/>
              <w:rPr>
                <w:sz w:val="20"/>
                <w:szCs w:val="20"/>
                <w:color w:val="auto"/>
              </w:rPr>
            </w:pPr>
            <w:r>
              <w:rPr>
                <w:rFonts w:ascii="Arial" w:cs="Arial" w:eastAsia="Arial" w:hAnsi="Arial"/>
                <w:sz w:val="13"/>
                <w:szCs w:val="13"/>
                <w:color w:val="auto"/>
              </w:rPr>
              <w:t>(dollars in thousands)</w:t>
            </w:r>
          </w:p>
        </w:tc>
      </w:tr>
      <w:tr>
        <w:trPr>
          <w:trHeight w:val="215"/>
        </w:trPr>
        <w:tc>
          <w:tcPr>
            <w:tcW w:w="89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Inventory</w:t>
            </w:r>
          </w:p>
        </w:tc>
        <w:tc>
          <w:tcPr>
            <w:tcW w:w="300" w:type="dxa"/>
            <w:vAlign w:val="bottom"/>
            <w:tcBorders>
              <w:top w:val="single" w:sz="8" w:color="004483"/>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14,809</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Prepaid and Other Assets</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12,737</w:t>
            </w:r>
          </w:p>
        </w:tc>
        <w:tc>
          <w:tcPr>
            <w:tcW w:w="6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Lease Right-of-Use Assets</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1,646</w:t>
            </w:r>
          </w:p>
        </w:tc>
        <w:tc>
          <w:tcPr>
            <w:tcW w:w="6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16,100</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Lease Obligations</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Long-term Liabilities</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300" w:type="dxa"/>
            <w:vAlign w:val="bottom"/>
            <w:tcBorders>
              <w:bottom w:val="single" w:sz="8" w:color="004483"/>
            </w:tcBorders>
          </w:tcPr>
          <w:p>
            <w:pPr>
              <w:spacing w:after="0"/>
              <w:rPr>
                <w:sz w:val="20"/>
                <w:szCs w:val="20"/>
                <w:color w:val="auto"/>
              </w:rPr>
            </w:pPr>
          </w:p>
        </w:tc>
        <w:tc>
          <w:tcPr>
            <w:tcW w:w="1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11,858</w:t>
            </w:r>
          </w:p>
        </w:tc>
        <w:tc>
          <w:tcPr>
            <w:tcW w:w="60" w:type="dxa"/>
            <w:vAlign w:val="bottom"/>
          </w:tcPr>
          <w:p>
            <w:pPr>
              <w:spacing w:after="0"/>
              <w:rPr>
                <w:sz w:val="20"/>
                <w:szCs w:val="20"/>
                <w:color w:val="auto"/>
              </w:rPr>
            </w:pPr>
          </w:p>
        </w:tc>
      </w:tr>
      <w:tr>
        <w:trPr>
          <w:trHeight w:val="209"/>
        </w:trPr>
        <w:tc>
          <w:tcPr>
            <w:tcW w:w="8900" w:type="dxa"/>
            <w:vAlign w:val="bottom"/>
          </w:tcPr>
          <w:p>
            <w:pPr>
              <w:ind w:left="200"/>
              <w:spacing w:after="0"/>
              <w:rPr>
                <w:sz w:val="20"/>
                <w:szCs w:val="20"/>
                <w:color w:val="auto"/>
              </w:rPr>
            </w:pPr>
            <w:r>
              <w:rPr>
                <w:rFonts w:ascii="Arial" w:cs="Arial" w:eastAsia="Arial" w:hAnsi="Arial"/>
                <w:sz w:val="16"/>
                <w:szCs w:val="16"/>
                <w:b w:val="1"/>
                <w:bCs w:val="1"/>
                <w:color w:val="auto"/>
              </w:rPr>
              <w:t>Total Purchase Price</w:t>
            </w: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55,053</w:t>
            </w:r>
          </w:p>
        </w:tc>
        <w:tc>
          <w:tcPr>
            <w:tcW w:w="6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94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estimated useful lives assigned to Property, Plant, and Equipment range from 5 to 15 years, while the estimated useful lives assigned to Intangible Assets are 15 years.</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the Revenue and Operating Earnings related to the Stockton Terminal Acquisition that have been included in our Consolidated Statement of Earnings from May 3, 2023 through March 31, 2024.</w:t>
      </w:r>
    </w:p>
    <w:p>
      <w:pPr>
        <w:spacing w:after="0" w:line="262"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For the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-91440</wp:posOffset>
            </wp:positionV>
            <wp:extent cx="151701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17015" cy="102870"/>
                    </a:xfrm>
                    <a:prstGeom prst="rect">
                      <a:avLst/>
                    </a:prstGeom>
                    <a:noFill/>
                  </pic:spPr>
                </pic:pic>
              </a:graphicData>
            </a:graphic>
          </wp:anchor>
        </w:drawing>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2024</w:t>
      </w:r>
    </w:p>
    <w:p>
      <w:pPr>
        <w:spacing w:after="0" w:line="13"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4580" w:type="dxa"/>
            <w:vAlign w:val="bottom"/>
            <w:tcBorders>
              <w:top w:val="single" w:sz="8" w:color="004483"/>
              <w:bottom w:val="single" w:sz="8" w:color="A6A6A6"/>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39,345</w:t>
            </w:r>
          </w:p>
        </w:tc>
        <w:tc>
          <w:tcPr>
            <w:tcW w:w="60" w:type="dxa"/>
            <w:vAlign w:val="bottom"/>
          </w:tcPr>
          <w:p>
            <w:pPr>
              <w:spacing w:after="0"/>
              <w:rPr>
                <w:sz w:val="20"/>
                <w:szCs w:val="20"/>
                <w:color w:val="auto"/>
              </w:rPr>
            </w:pPr>
          </w:p>
        </w:tc>
      </w:tr>
      <w:tr>
        <w:trPr>
          <w:trHeight w:val="210"/>
        </w:trPr>
        <w:tc>
          <w:tcPr>
            <w:tcW w:w="5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Earnings</w:t>
            </w:r>
          </w:p>
        </w:tc>
        <w:tc>
          <w:tcPr>
            <w:tcW w:w="4580" w:type="dxa"/>
            <w:vAlign w:val="bottom"/>
            <w:tcBorders>
              <w:bottom w:val="single" w:sz="8" w:color="A6A6A6"/>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(2,420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Included in Operating Earnings shown above is approximately $2.6 million and $3.9 million related to depreciation and amortization and the recording of inventories at fair value, respectively.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 PROPERTY, PLANT, AND EQUIPMENT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Cost by major category and Accumulated Depreciation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020" w:type="dxa"/>
            <w:vAlign w:val="bottom"/>
            <w:gridSpan w:val="3"/>
            <w:shd w:val="clear" w:color="auto" w:fill="004483"/>
          </w:tcPr>
          <w:p>
            <w:pPr>
              <w:jc w:val="right"/>
              <w:ind w:right="379"/>
              <w:spacing w:after="0"/>
              <w:rPr>
                <w:sz w:val="20"/>
                <w:szCs w:val="20"/>
                <w:color w:val="auto"/>
              </w:rPr>
            </w:pPr>
            <w:r>
              <w:rPr>
                <w:rFonts w:ascii="Arial" w:cs="Arial" w:eastAsia="Arial" w:hAnsi="Arial"/>
                <w:sz w:val="13"/>
                <w:szCs w:val="13"/>
                <w:b w:val="1"/>
                <w:bCs w:val="1"/>
                <w:color w:val="FFFFFF"/>
              </w:rPr>
              <w:t>March 31,</w:t>
            </w:r>
          </w:p>
        </w:tc>
        <w:tc>
          <w:tcPr>
            <w:tcW w:w="106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ind w:right="64"/>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020" w:type="dxa"/>
            <w:vAlign w:val="bottom"/>
            <w:tcBorders>
              <w:bottom w:val="single" w:sz="8" w:color="004483"/>
            </w:tcBorders>
            <w:gridSpan w:val="3"/>
          </w:tcPr>
          <w:p>
            <w:pPr>
              <w:jc w:val="right"/>
              <w:ind w:right="79"/>
              <w:spacing w:after="0"/>
              <w:rPr>
                <w:sz w:val="20"/>
                <w:szCs w:val="20"/>
                <w:color w:val="auto"/>
              </w:rPr>
            </w:pPr>
            <w:r>
              <w:rPr>
                <w:rFonts w:ascii="Arial" w:cs="Arial" w:eastAsia="Arial" w:hAnsi="Arial"/>
                <w:sz w:val="13"/>
                <w:szCs w:val="13"/>
                <w:color w:val="auto"/>
              </w:rPr>
              <w:t>(dollars in thousands)</w:t>
            </w:r>
          </w:p>
        </w:tc>
        <w:tc>
          <w:tcPr>
            <w:tcW w:w="106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Land and Quarries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330,874</w:t>
            </w:r>
          </w:p>
        </w:tc>
        <w:tc>
          <w:tcPr>
            <w:tcW w:w="78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311,743</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Plants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2,501,627</w:t>
            </w:r>
          </w:p>
        </w:tc>
        <w:tc>
          <w:tcPr>
            <w:tcW w:w="1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2,423,426</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Buildings, Machinery, and Equipment</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264,180</w:t>
            </w:r>
          </w:p>
        </w:tc>
        <w:tc>
          <w:tcPr>
            <w:tcW w:w="1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226,018</w:t>
            </w:r>
          </w:p>
        </w:tc>
      </w:tr>
      <w:tr>
        <w:trPr>
          <w:trHeight w:val="23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Construction in Progress</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68,136</w:t>
            </w:r>
          </w:p>
        </w:tc>
        <w:tc>
          <w:tcPr>
            <w:tcW w:w="18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65,455</w:t>
            </w:r>
          </w:p>
        </w:tc>
      </w:tr>
      <w:tr>
        <w:trPr>
          <w:trHeight w:val="209"/>
        </w:trPr>
        <w:tc>
          <w:tcPr>
            <w:tcW w:w="77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3,164,817</w:t>
            </w:r>
          </w:p>
        </w:tc>
        <w:tc>
          <w:tcPr>
            <w:tcW w:w="1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3,026,642</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Accumulated Depreciation</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(1,488,600 )</w:t>
            </w:r>
          </w:p>
        </w:tc>
        <w:tc>
          <w:tcPr>
            <w:tcW w:w="18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(1,364,581 )</w:t>
            </w:r>
          </w:p>
        </w:tc>
      </w:tr>
      <w:tr>
        <w:trPr>
          <w:trHeight w:val="209"/>
        </w:trPr>
        <w:tc>
          <w:tcPr>
            <w:tcW w:w="772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1,676,217</w:t>
            </w:r>
          </w:p>
        </w:tc>
        <w:tc>
          <w:tcPr>
            <w:tcW w:w="18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1,662,061</w:t>
            </w:r>
          </w:p>
        </w:tc>
      </w:tr>
      <w:tr>
        <w:trPr>
          <w:trHeight w:val="20"/>
        </w:trPr>
        <w:tc>
          <w:tcPr>
            <w:tcW w:w="77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(D) ACCRUED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020" w:type="dxa"/>
            <w:vAlign w:val="bottom"/>
            <w:gridSpan w:val="3"/>
            <w:shd w:val="clear" w:color="auto" w:fill="004483"/>
          </w:tcPr>
          <w:p>
            <w:pPr>
              <w:jc w:val="right"/>
              <w:ind w:right="519"/>
              <w:spacing w:after="0"/>
              <w:rPr>
                <w:sz w:val="20"/>
                <w:szCs w:val="20"/>
                <w:color w:val="auto"/>
              </w:rPr>
            </w:pPr>
            <w:r>
              <w:rPr>
                <w:rFonts w:ascii="Arial" w:cs="Arial" w:eastAsia="Arial" w:hAnsi="Arial"/>
                <w:sz w:val="13"/>
                <w:szCs w:val="13"/>
                <w:b w:val="1"/>
                <w:bCs w:val="1"/>
                <w:color w:val="FFFFFF"/>
              </w:rPr>
              <w:t>March 31,</w:t>
            </w:r>
          </w:p>
        </w:tc>
        <w:tc>
          <w:tcPr>
            <w:tcW w:w="920" w:type="dxa"/>
            <w:vAlign w:val="bottom"/>
            <w:shd w:val="clear" w:color="auto" w:fill="004483"/>
          </w:tcPr>
          <w:p>
            <w:pPr>
              <w:spacing w:after="0"/>
              <w:rPr>
                <w:sz w:val="13"/>
                <w:szCs w:val="13"/>
                <w:color w:val="auto"/>
              </w:rPr>
            </w:pPr>
          </w:p>
        </w:tc>
      </w:tr>
      <w:tr>
        <w:trPr>
          <w:trHeight w:val="158"/>
        </w:trPr>
        <w:tc>
          <w:tcPr>
            <w:tcW w:w="7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ind w:right="63"/>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580" w:type="dxa"/>
            <w:vAlign w:val="bottom"/>
            <w:tcBorders>
              <w:bottom w:val="single" w:sz="8" w:color="004483"/>
            </w:tcBorders>
          </w:tcPr>
          <w:p>
            <w:pPr>
              <w:spacing w:after="0"/>
              <w:rPr>
                <w:sz w:val="16"/>
                <w:szCs w:val="16"/>
                <w:color w:val="auto"/>
              </w:rPr>
            </w:pPr>
          </w:p>
        </w:tc>
        <w:tc>
          <w:tcPr>
            <w:tcW w:w="2020" w:type="dxa"/>
            <w:vAlign w:val="bottom"/>
            <w:tcBorders>
              <w:bottom w:val="single" w:sz="8" w:color="004483"/>
            </w:tcBorders>
            <w:gridSpan w:val="3"/>
          </w:tcPr>
          <w:p>
            <w:pPr>
              <w:jc w:val="right"/>
              <w:ind w:right="21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6"/>
                <w:szCs w:val="16"/>
                <w:color w:val="auto"/>
              </w:rPr>
            </w:pPr>
          </w:p>
        </w:tc>
      </w:tr>
      <w:tr>
        <w:trPr>
          <w:trHeight w:val="215"/>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34,274</w:t>
            </w:r>
          </w:p>
        </w:tc>
        <w:tc>
          <w:tcPr>
            <w:tcW w:w="920" w:type="dxa"/>
            <w:vAlign w:val="bottom"/>
            <w:tcBorders>
              <w:bottom w:val="single" w:sz="8" w:color="A6A6A6"/>
            </w:tcBorders>
            <w:gridSpan w:val="2"/>
          </w:tcPr>
          <w:p>
            <w:pPr>
              <w:jc w:val="right"/>
              <w:ind w:right="5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32,742</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17,507</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16,130</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6,374</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7,163</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8,729</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9,186</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5,921</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6,671</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2,993</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3,051</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2,893</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1,663</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Excise Tax</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4,170</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732</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2,602</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1,691</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1,372</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1,452</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58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7,492</w:t>
            </w:r>
          </w:p>
        </w:tc>
        <w:tc>
          <w:tcPr>
            <w:tcW w:w="180" w:type="dxa"/>
            <w:vAlign w:val="bottom"/>
            <w:tcBorders>
              <w:bottom w:val="single" w:sz="8" w:color="A6A6A6"/>
            </w:tcBorders>
          </w:tcPr>
          <w:p>
            <w:pPr>
              <w:spacing w:after="0"/>
              <w:rPr>
                <w:sz w:val="20"/>
                <w:szCs w:val="20"/>
                <w:color w:val="auto"/>
              </w:rPr>
            </w:pPr>
          </w:p>
        </w:tc>
        <w:tc>
          <w:tcPr>
            <w:tcW w:w="74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5,991</w:t>
            </w:r>
          </w:p>
        </w:tc>
      </w:tr>
      <w:tr>
        <w:trPr>
          <w:trHeight w:val="210"/>
        </w:trPr>
        <w:tc>
          <w:tcPr>
            <w:tcW w:w="77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94,327</w:t>
            </w:r>
          </w:p>
        </w:tc>
        <w:tc>
          <w:tcPr>
            <w:tcW w:w="180" w:type="dxa"/>
            <w:vAlign w:val="bottom"/>
          </w:tcPr>
          <w:p>
            <w:pPr>
              <w:spacing w:after="0"/>
              <w:rPr>
                <w:sz w:val="18"/>
                <w:szCs w:val="18"/>
                <w:color w:val="auto"/>
              </w:rPr>
            </w:pPr>
          </w:p>
        </w:tc>
        <w:tc>
          <w:tcPr>
            <w:tcW w:w="740" w:type="dxa"/>
            <w:vAlign w:val="bottom"/>
            <w:tcBorders>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86,472</w:t>
            </w:r>
          </w:p>
        </w:tc>
      </w:tr>
      <w:tr>
        <w:trPr>
          <w:trHeight w:val="20"/>
        </w:trPr>
        <w:tc>
          <w:tcPr>
            <w:tcW w:w="77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 LEASES</w:t>
      </w:r>
    </w:p>
    <w:p>
      <w:pPr>
        <w:spacing w:after="0" w:line="9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These short-term equipment leases are not recorded on the balance sheet.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480" w:type="dxa"/>
            <w:vAlign w:val="bottom"/>
            <w:shd w:val="clear" w:color="auto" w:fill="004483"/>
          </w:tcPr>
          <w:p>
            <w:pPr>
              <w:spacing w:after="0"/>
              <w:rPr>
                <w:sz w:val="14"/>
                <w:szCs w:val="14"/>
                <w:color w:val="auto"/>
              </w:rPr>
            </w:pPr>
          </w:p>
        </w:tc>
        <w:tc>
          <w:tcPr>
            <w:tcW w:w="1860" w:type="dxa"/>
            <w:vAlign w:val="bottom"/>
            <w:gridSpan w:val="4"/>
            <w:shd w:val="clear" w:color="auto" w:fill="004483"/>
          </w:tcPr>
          <w:p>
            <w:pPr>
              <w:spacing w:after="0"/>
              <w:rPr>
                <w:sz w:val="20"/>
                <w:szCs w:val="20"/>
                <w:color w:val="auto"/>
              </w:rPr>
            </w:pPr>
            <w:r>
              <w:rPr>
                <w:rFonts w:ascii="Arial" w:cs="Arial" w:eastAsia="Arial" w:hAnsi="Arial"/>
                <w:sz w:val="13"/>
                <w:szCs w:val="13"/>
                <w:b w:val="1"/>
                <w:bCs w:val="1"/>
                <w:color w:val="FFFFFF"/>
                <w:w w:val="96"/>
              </w:rPr>
              <w:t>For the Years Ended March 31,</w:t>
            </w:r>
          </w:p>
        </w:tc>
        <w:tc>
          <w:tcPr>
            <w:tcW w:w="320" w:type="dxa"/>
            <w:vAlign w:val="bottom"/>
            <w:shd w:val="clear" w:color="auto" w:fill="004483"/>
          </w:tcPr>
          <w:p>
            <w:pPr>
              <w:spacing w:after="0"/>
              <w:rPr>
                <w:sz w:val="14"/>
                <w:szCs w:val="14"/>
                <w:color w:val="auto"/>
              </w:rPr>
            </w:pPr>
          </w:p>
        </w:tc>
        <w:tc>
          <w:tcPr>
            <w:tcW w:w="10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71"/>
        </w:trPr>
        <w:tc>
          <w:tcPr>
            <w:tcW w:w="6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7"/>
        </w:trPr>
        <w:tc>
          <w:tcPr>
            <w:tcW w:w="662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480" w:type="dxa"/>
            <w:vAlign w:val="bottom"/>
            <w:tcBorders>
              <w:bottom w:val="single" w:sz="8" w:color="004483"/>
            </w:tcBorders>
          </w:tcPr>
          <w:p>
            <w:pPr>
              <w:spacing w:after="0"/>
              <w:rPr>
                <w:sz w:val="16"/>
                <w:szCs w:val="16"/>
                <w:color w:val="auto"/>
              </w:rPr>
            </w:pPr>
          </w:p>
        </w:tc>
        <w:tc>
          <w:tcPr>
            <w:tcW w:w="28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320" w:type="dxa"/>
            <w:vAlign w:val="bottom"/>
            <w:tcBorders>
              <w:bottom w:val="single" w:sz="8" w:color="004483"/>
            </w:tcBorders>
          </w:tcPr>
          <w:p>
            <w:pPr>
              <w:spacing w:after="0"/>
              <w:rPr>
                <w:sz w:val="16"/>
                <w:szCs w:val="16"/>
                <w:color w:val="auto"/>
              </w:rPr>
            </w:pPr>
          </w:p>
        </w:tc>
        <w:tc>
          <w:tcPr>
            <w:tcW w:w="10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8,030</w:t>
            </w: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7,339</w:t>
            </w:r>
          </w:p>
        </w:tc>
        <w:tc>
          <w:tcPr>
            <w:tcW w:w="2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6,543</w:t>
            </w:r>
          </w:p>
        </w:tc>
        <w:tc>
          <w:tcPr>
            <w:tcW w:w="100" w:type="dxa"/>
            <w:vAlign w:val="bottom"/>
          </w:tcPr>
          <w:p>
            <w:pPr>
              <w:spacing w:after="0"/>
              <w:rPr>
                <w:sz w:val="18"/>
                <w:szCs w:val="18"/>
                <w:color w:val="auto"/>
              </w:rPr>
            </w:pPr>
          </w:p>
        </w:tc>
      </w:tr>
      <w:tr>
        <w:trPr>
          <w:trHeight w:val="237"/>
        </w:trPr>
        <w:tc>
          <w:tcPr>
            <w:tcW w:w="6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860" w:type="dxa"/>
            <w:vAlign w:val="bottom"/>
            <w:tcBorders>
              <w:top w:val="single" w:sz="8" w:color="A6A6A6"/>
              <w:bottom w:val="single" w:sz="8" w:color="004483"/>
            </w:tcBorders>
          </w:tcPr>
          <w:p>
            <w:pPr>
              <w:spacing w:after="0"/>
              <w:rPr>
                <w:sz w:val="20"/>
                <w:szCs w:val="20"/>
                <w:color w:val="auto"/>
              </w:rPr>
            </w:pPr>
          </w:p>
        </w:tc>
        <w:tc>
          <w:tcPr>
            <w:tcW w:w="4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691</w:t>
            </w:r>
          </w:p>
        </w:tc>
        <w:tc>
          <w:tcPr>
            <w:tcW w:w="280" w:type="dxa"/>
            <w:vAlign w:val="bottom"/>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593</w:t>
            </w:r>
          </w:p>
        </w:tc>
        <w:tc>
          <w:tcPr>
            <w:tcW w:w="260" w:type="dxa"/>
            <w:vAlign w:val="bottom"/>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0"/>
                <w:szCs w:val="20"/>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860" w:type="dxa"/>
            <w:vAlign w:val="bottom"/>
            <w:tcBorders>
              <w:bottom w:val="single" w:sz="8" w:color="004483"/>
            </w:tcBorders>
          </w:tcPr>
          <w:p>
            <w:pPr>
              <w:jc w:val="right"/>
              <w:ind w:right="685"/>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8,721</w:t>
            </w:r>
          </w:p>
        </w:tc>
        <w:tc>
          <w:tcPr>
            <w:tcW w:w="280" w:type="dxa"/>
            <w:vAlign w:val="bottom"/>
          </w:tcPr>
          <w:p>
            <w:pPr>
              <w:spacing w:after="0"/>
              <w:rPr>
                <w:sz w:val="18"/>
                <w:szCs w:val="18"/>
                <w:color w:val="auto"/>
              </w:rPr>
            </w:pPr>
          </w:p>
        </w:tc>
        <w:tc>
          <w:tcPr>
            <w:tcW w:w="3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7,932</w:t>
            </w:r>
          </w:p>
        </w:tc>
        <w:tc>
          <w:tcPr>
            <w:tcW w:w="260" w:type="dxa"/>
            <w:vAlign w:val="bottom"/>
          </w:tcPr>
          <w:p>
            <w:pPr>
              <w:spacing w:after="0"/>
              <w:rPr>
                <w:sz w:val="18"/>
                <w:szCs w:val="18"/>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7,804</w:t>
            </w:r>
          </w:p>
        </w:tc>
        <w:tc>
          <w:tcPr>
            <w:tcW w:w="100" w:type="dxa"/>
            <w:vAlign w:val="bottom"/>
          </w:tcPr>
          <w:p>
            <w:pPr>
              <w:spacing w:after="0"/>
              <w:rPr>
                <w:sz w:val="18"/>
                <w:szCs w:val="18"/>
                <w:color w:val="auto"/>
              </w:rPr>
            </w:pP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12"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FFFFFF"/>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-91440</wp:posOffset>
            </wp:positionV>
            <wp:extent cx="2383155"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3155" cy="102870"/>
                    </a:xfrm>
                    <a:prstGeom prst="rect">
                      <a:avLst/>
                    </a:prstGeom>
                    <a:noFill/>
                  </pic:spPr>
                </pic:pic>
              </a:graphicData>
            </a:graphic>
          </wp:anchor>
        </w:drawing>
      </w:r>
    </w:p>
    <w:p>
      <w:pPr>
        <w:spacing w:after="0" w:line="2" w:lineRule="exact"/>
        <w:rPr>
          <w:sz w:val="20"/>
          <w:szCs w:val="20"/>
          <w:color w:val="auto"/>
        </w:rPr>
      </w:pPr>
    </w:p>
    <w:p>
      <w:pPr>
        <w:jc w:val="both"/>
        <w:ind w:left="8120"/>
        <w:spacing w:after="0"/>
        <w:tabs>
          <w:tab w:leader="none" w:pos="1006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2023</w:t>
      </w:r>
    </w:p>
    <w:p>
      <w:pPr>
        <w:spacing w:after="0" w:line="13" w:lineRule="exact"/>
        <w:rPr>
          <w:sz w:val="20"/>
          <w:szCs w:val="20"/>
          <w:color w:val="auto"/>
        </w:rPr>
      </w:pPr>
    </w:p>
    <w:p>
      <w:pPr>
        <w:ind w:left="870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6374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8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80" w:type="dxa"/>
            <w:vAlign w:val="bottom"/>
            <w:tcBorders>
              <w:top w:val="single" w:sz="8" w:color="A6A6A6"/>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19,373</w:t>
            </w:r>
          </w:p>
        </w:tc>
      </w:tr>
      <w:tr>
        <w:trPr>
          <w:trHeight w:val="20"/>
        </w:trPr>
        <w:tc>
          <w:tcPr>
            <w:tcW w:w="748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210"/>
        </w:trPr>
        <w:tc>
          <w:tcPr>
            <w:tcW w:w="748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r>
      <w:tr>
        <w:trPr>
          <w:trHeight w:val="222"/>
        </w:trPr>
        <w:tc>
          <w:tcPr>
            <w:tcW w:w="74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80" w:type="dxa"/>
            <w:vAlign w:val="bottom"/>
            <w:tcBorders>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7,899</w:t>
            </w:r>
          </w:p>
        </w:tc>
      </w:tr>
      <w:tr>
        <w:trPr>
          <w:trHeight w:val="238"/>
        </w:trPr>
        <w:tc>
          <w:tcPr>
            <w:tcW w:w="74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8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19,037</w:t>
            </w: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58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26,936</w:t>
            </w:r>
          </w:p>
        </w:tc>
      </w:tr>
      <w:tr>
        <w:trPr>
          <w:trHeight w:val="20"/>
        </w:trPr>
        <w:tc>
          <w:tcPr>
            <w:tcW w:w="748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1297" w:hanging="1297"/>
        <w:spacing w:after="0"/>
        <w:tabs>
          <w:tab w:leader="none" w:pos="1297"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20,759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-124460</wp:posOffset>
            </wp:positionV>
            <wp:extent cx="11569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20955</wp:posOffset>
            </wp:positionV>
            <wp:extent cx="11569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11569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192405</wp:posOffset>
            </wp:positionV>
            <wp:extent cx="1156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309" w:lineRule="exact"/>
        <w:rPr>
          <w:sz w:val="20"/>
          <w:szCs w:val="20"/>
          <w:color w:val="auto"/>
        </w:rPr>
      </w:pPr>
    </w:p>
    <w:p>
      <w:pPr>
        <w:ind w:left="1397" w:hanging="1397"/>
        <w:spacing w:after="0"/>
        <w:tabs>
          <w:tab w:leader="none" w:pos="1397" w:val="left"/>
        </w:tabs>
        <w:numPr>
          <w:ilvl w:val="0"/>
          <w:numId w:val="27"/>
        </w:numPr>
        <w:rPr>
          <w:rFonts w:ascii="Arial" w:cs="Arial" w:eastAsia="Arial" w:hAnsi="Arial"/>
          <w:sz w:val="15"/>
          <w:szCs w:val="15"/>
          <w:color w:val="auto"/>
        </w:rPr>
      </w:pPr>
      <w:r>
        <w:rPr>
          <w:rFonts w:ascii="Arial" w:cs="Arial" w:eastAsia="Arial" w:hAnsi="Arial"/>
          <w:sz w:val="15"/>
          <w:szCs w:val="15"/>
          <w:color w:val="auto"/>
        </w:rPr>
        <w:t>6,009</w:t>
      </w:r>
    </w:p>
    <w:p>
      <w:pPr>
        <w:spacing w:after="0" w:line="57" w:lineRule="exact"/>
        <w:rPr>
          <w:rFonts w:ascii="Arial" w:cs="Arial" w:eastAsia="Arial" w:hAnsi="Arial"/>
          <w:sz w:val="15"/>
          <w:szCs w:val="15"/>
          <w:color w:val="auto"/>
        </w:rPr>
      </w:pPr>
    </w:p>
    <w:p>
      <w:pPr>
        <w:ind w:left="1297"/>
        <w:spacing w:after="0"/>
        <w:rPr>
          <w:rFonts w:ascii="Arial" w:cs="Arial" w:eastAsia="Arial" w:hAnsi="Arial"/>
          <w:sz w:val="15"/>
          <w:szCs w:val="15"/>
          <w:color w:val="auto"/>
        </w:rPr>
      </w:pPr>
      <w:r>
        <w:rPr>
          <w:rFonts w:ascii="Arial" w:cs="Arial" w:eastAsia="Arial" w:hAnsi="Arial"/>
          <w:sz w:val="16"/>
          <w:szCs w:val="16"/>
          <w:color w:val="auto"/>
        </w:rPr>
        <w:t>24,940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-124460</wp:posOffset>
            </wp:positionV>
            <wp:extent cx="11569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20955</wp:posOffset>
            </wp:positionV>
            <wp:extent cx="11569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56970" cy="26035"/>
                    </a:xfrm>
                    <a:prstGeom prst="rect">
                      <a:avLst/>
                    </a:prstGeom>
                    <a:noFill/>
                  </pic:spPr>
                </pic:pic>
              </a:graphicData>
            </a:graphic>
          </wp:anchor>
        </w:drawing>
      </w:r>
    </w:p>
    <w:p>
      <w:pPr>
        <w:spacing w:after="0" w:line="53" w:lineRule="exact"/>
        <w:rPr>
          <w:sz w:val="20"/>
          <w:szCs w:val="20"/>
          <w:color w:val="auto"/>
        </w:rPr>
      </w:pPr>
    </w:p>
    <w:p>
      <w:pPr>
        <w:ind w:left="1297" w:hanging="1297"/>
        <w:spacing w:after="0"/>
        <w:tabs>
          <w:tab w:leader="none" w:pos="129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30,949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1569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11569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020" w:space="303"/>
            <w:col w:w="1957"/>
          </w:cols>
          <w:pgMar w:left="320" w:top="1440" w:right="299" w:bottom="1440" w:gutter="0" w:footer="0" w:header="0"/>
          <w:type w:val="continuous"/>
        </w:sectPr>
      </w:pPr>
    </w:p>
    <w:p>
      <w:pPr>
        <w:spacing w:after="0"/>
        <w:rPr>
          <w:sz w:val="20"/>
          <w:szCs w:val="20"/>
          <w:color w:val="auto"/>
        </w:rPr>
      </w:pPr>
      <w:r>
        <w:rPr>
          <w:rFonts w:ascii="Arial" w:cs="Arial" w:eastAsia="Arial" w:hAnsi="Arial"/>
          <w:sz w:val="18"/>
          <w:szCs w:val="18"/>
          <w:color w:val="auto"/>
        </w:rPr>
        <w:t>Future payments for operating leases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Amount</w:t>
            </w:r>
          </w:p>
        </w:tc>
      </w:tr>
      <w:tr>
        <w:trPr>
          <w:trHeight w:val="166"/>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3"/>
                <w:szCs w:val="13"/>
                <w:color w:val="auto"/>
                <w:w w:val="96"/>
              </w:rPr>
              <w:t>(dollars in thousands)</w:t>
            </w:r>
          </w:p>
        </w:tc>
      </w:tr>
      <w:tr>
        <w:trPr>
          <w:trHeight w:val="209"/>
        </w:trPr>
        <w:tc>
          <w:tcPr>
            <w:tcW w:w="77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460" w:type="dxa"/>
            <w:vAlign w:val="bottom"/>
            <w:tcBorders>
              <w:top w:val="single" w:sz="8" w:color="004483"/>
              <w:bottom w:val="single" w:sz="8" w:color="A6A6A6"/>
            </w:tcBorders>
          </w:tcPr>
          <w:p>
            <w:pPr>
              <w:spacing w:after="0"/>
              <w:rPr>
                <w:sz w:val="18"/>
                <w:szCs w:val="18"/>
                <w:color w:val="auto"/>
              </w:rPr>
            </w:pPr>
          </w:p>
        </w:tc>
        <w:tc>
          <w:tcPr>
            <w:tcW w:w="1220" w:type="dxa"/>
            <w:vAlign w:val="bottom"/>
            <w:tcBorders>
              <w:top w:val="single" w:sz="8" w:color="004483"/>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4483"/>
              <w:bottom w:val="single" w:sz="8" w:color="A6A6A6"/>
            </w:tcBorders>
          </w:tcPr>
          <w:p>
            <w:pPr>
              <w:spacing w:after="0"/>
              <w:rPr>
                <w:sz w:val="18"/>
                <w:szCs w:val="18"/>
                <w:color w:val="auto"/>
              </w:rPr>
            </w:pPr>
          </w:p>
        </w:tc>
        <w:tc>
          <w:tcPr>
            <w:tcW w:w="32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8,650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2028</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2029</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460" w:type="dxa"/>
            <w:vAlign w:val="bottom"/>
            <w:tcBorders>
              <w:bottom w:val="single" w:sz="8" w:color="A6A6A6"/>
            </w:tcBorders>
          </w:tcPr>
          <w:p>
            <w:pPr>
              <w:spacing w:after="0"/>
              <w:rPr>
                <w:sz w:val="20"/>
                <w:szCs w:val="20"/>
                <w:color w:val="auto"/>
              </w:rPr>
            </w:pPr>
          </w:p>
        </w:tc>
        <w:tc>
          <w:tcPr>
            <w:tcW w:w="8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11,006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33,487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Imputed Interest</w:t>
            </w:r>
          </w:p>
        </w:tc>
        <w:tc>
          <w:tcPr>
            <w:tcW w:w="460" w:type="dxa"/>
            <w:vAlign w:val="bottom"/>
            <w:tcBorders>
              <w:bottom w:val="single" w:sz="8" w:color="A6A6A6"/>
            </w:tcBorders>
          </w:tcPr>
          <w:p>
            <w:pPr>
              <w:spacing w:after="0"/>
              <w:rPr>
                <w:sz w:val="20"/>
                <w:szCs w:val="20"/>
                <w:color w:val="auto"/>
              </w:rPr>
            </w:pPr>
          </w:p>
        </w:tc>
        <w:tc>
          <w:tcPr>
            <w:tcW w:w="8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(6,551</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004483"/>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26,936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72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4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4.16</w:t>
            </w:r>
          </w:p>
        </w:tc>
        <w:tc>
          <w:tcPr>
            <w:tcW w:w="140" w:type="dxa"/>
            <w:vAlign w:val="bottom"/>
            <w:gridSpan w:val="2"/>
          </w:tcPr>
          <w:p>
            <w:pPr>
              <w:spacing w:after="0"/>
              <w:rPr>
                <w:sz w:val="20"/>
                <w:szCs w:val="20"/>
                <w:color w:val="auto"/>
              </w:rPr>
            </w:pPr>
            <w:r>
              <w:rPr>
                <w:rFonts w:ascii="Arial" w:cs="Arial" w:eastAsia="Arial" w:hAnsi="Arial"/>
                <w:sz w:val="16"/>
                <w:szCs w:val="16"/>
                <w:b w:val="1"/>
                <w:bCs w:val="1"/>
                <w:color w:val="auto"/>
                <w:w w:val="84"/>
              </w:rPr>
              <w:t>%</w:t>
            </w:r>
          </w:p>
        </w:tc>
      </w:tr>
      <w:tr>
        <w:trPr>
          <w:trHeight w:val="459"/>
        </w:trPr>
        <w:tc>
          <w:tcPr>
            <w:tcW w:w="7720" w:type="dxa"/>
            <w:vAlign w:val="bottom"/>
          </w:tcPr>
          <w:p>
            <w:pPr>
              <w:spacing w:after="0"/>
              <w:rPr>
                <w:sz w:val="20"/>
                <w:szCs w:val="20"/>
                <w:color w:val="auto"/>
              </w:rPr>
            </w:pPr>
            <w:r>
              <w:rPr>
                <w:rFonts w:ascii="Arial" w:cs="Arial" w:eastAsia="Arial" w:hAnsi="Arial"/>
                <w:sz w:val="20"/>
                <w:szCs w:val="20"/>
                <w:b w:val="1"/>
                <w:bCs w:val="1"/>
                <w:color w:val="004483"/>
              </w:rPr>
              <w:t>(F) INDEBTEDNESS</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4"/>
        </w:trPr>
        <w:tc>
          <w:tcPr>
            <w:tcW w:w="772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7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77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1720" w:type="dxa"/>
            <w:vAlign w:val="bottom"/>
            <w:gridSpan w:val="4"/>
            <w:shd w:val="clear" w:color="auto" w:fill="004483"/>
          </w:tcPr>
          <w:p>
            <w:pPr>
              <w:jc w:val="center"/>
              <w:ind w:left="684"/>
              <w:spacing w:after="0"/>
              <w:rPr>
                <w:sz w:val="20"/>
                <w:szCs w:val="20"/>
                <w:color w:val="auto"/>
              </w:rPr>
            </w:pPr>
            <w:r>
              <w:rPr>
                <w:rFonts w:ascii="Arial" w:cs="Arial" w:eastAsia="Arial" w:hAnsi="Arial"/>
                <w:sz w:val="13"/>
                <w:szCs w:val="13"/>
                <w:b w:val="1"/>
                <w:bCs w:val="1"/>
                <w:color w:val="FFFFFF"/>
                <w:w w:val="95"/>
              </w:rPr>
              <w:t>As of March 31,</w:t>
            </w:r>
          </w:p>
        </w:tc>
        <w:tc>
          <w:tcPr>
            <w:tcW w:w="124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7"/>
          </w:tcPr>
          <w:p>
            <w:pPr>
              <w:jc w:val="center"/>
              <w:ind w:right="620"/>
              <w:spacing w:after="0"/>
              <w:rPr>
                <w:sz w:val="20"/>
                <w:szCs w:val="20"/>
                <w:color w:val="auto"/>
              </w:rPr>
            </w:pPr>
            <w:r>
              <w:rPr>
                <w:rFonts w:ascii="Arial" w:cs="Arial" w:eastAsia="Arial" w:hAnsi="Arial"/>
                <w:sz w:val="13"/>
                <w:szCs w:val="13"/>
                <w:color w:val="auto"/>
                <w:w w:val="96"/>
              </w:rPr>
              <w:t>(dollars in thousands)</w:t>
            </w:r>
          </w:p>
        </w:tc>
      </w:tr>
      <w:tr>
        <w:trPr>
          <w:trHeight w:val="216"/>
        </w:trPr>
        <w:tc>
          <w:tcPr>
            <w:tcW w:w="77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Revolving Credit Facility</w:t>
            </w:r>
          </w:p>
        </w:tc>
        <w:tc>
          <w:tcPr>
            <w:tcW w:w="460" w:type="dxa"/>
            <w:vAlign w:val="bottom"/>
            <w:tcBorders>
              <w:top w:val="single" w:sz="8" w:color="004483"/>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004483"/>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170,000</w:t>
            </w:r>
          </w:p>
        </w:tc>
        <w:tc>
          <w:tcPr>
            <w:tcW w:w="500" w:type="dxa"/>
            <w:vAlign w:val="bottom"/>
            <w:tcBorders>
              <w:top w:val="single" w:sz="8" w:color="004483"/>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157,000</w:t>
            </w:r>
          </w:p>
        </w:tc>
        <w:tc>
          <w:tcPr>
            <w:tcW w:w="100" w:type="dxa"/>
            <w:vAlign w:val="bottom"/>
            <w:tcBorders>
              <w:top w:val="single" w:sz="8" w:color="004483"/>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2.500% Senior Unsecured Notes Due 2031</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750,000</w:t>
            </w: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Term Loan</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gridSpan w:val="2"/>
          </w:tcPr>
          <w:p>
            <w:pPr>
              <w:jc w:val="right"/>
              <w:ind w:right="59"/>
              <w:spacing w:after="0"/>
              <w:rPr>
                <w:sz w:val="20"/>
                <w:szCs w:val="20"/>
                <w:color w:val="auto"/>
              </w:rPr>
            </w:pPr>
            <w:r>
              <w:rPr>
                <w:rFonts w:ascii="Arial" w:cs="Arial" w:eastAsia="Arial" w:hAnsi="Arial"/>
                <w:sz w:val="16"/>
                <w:szCs w:val="16"/>
                <w:color w:val="auto"/>
              </w:rPr>
              <w:t>182,500</w:t>
            </w:r>
          </w:p>
        </w:tc>
        <w:tc>
          <w:tcPr>
            <w:tcW w:w="180" w:type="dxa"/>
            <w:vAlign w:val="bottom"/>
            <w:tcBorders>
              <w:bottom w:val="single" w:sz="8" w:color="A6A6A6"/>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192,500</w:t>
            </w:r>
          </w:p>
        </w:tc>
        <w:tc>
          <w:tcPr>
            <w:tcW w:w="100" w:type="dxa"/>
            <w:vAlign w:val="bottom"/>
            <w:tcBorders>
              <w:bottom w:val="single" w:sz="8" w:color="004483"/>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b w:val="1"/>
                <w:bCs w:val="1"/>
                <w:color w:val="004483"/>
              </w:rPr>
              <w:t>Total Debt</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1,102,500</w:t>
            </w: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1,099,500</w:t>
            </w:r>
          </w:p>
        </w:tc>
        <w:tc>
          <w:tcPr>
            <w:tcW w:w="10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Less: Current Portion of Long-term Debt</w:t>
            </w:r>
          </w:p>
        </w:tc>
        <w:tc>
          <w:tcPr>
            <w:tcW w:w="46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(10,000 )</w:t>
            </w:r>
          </w:p>
        </w:tc>
        <w:tc>
          <w:tcPr>
            <w:tcW w:w="18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(10,000 )</w:t>
            </w:r>
          </w:p>
        </w:tc>
        <w:tc>
          <w:tcPr>
            <w:tcW w:w="40" w:type="dxa"/>
            <w:vAlign w:val="bottom"/>
          </w:tcPr>
          <w:p>
            <w:pPr>
              <w:spacing w:after="0"/>
              <w:rPr>
                <w:sz w:val="18"/>
                <w:szCs w:val="18"/>
                <w:color w:val="auto"/>
              </w:rPr>
            </w:pPr>
          </w:p>
        </w:tc>
      </w:tr>
      <w:tr>
        <w:trPr>
          <w:trHeight w:val="23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Less: Unamortized Discount and Debt Issuance Costs</w:t>
            </w:r>
          </w:p>
        </w:tc>
        <w:tc>
          <w:tcPr>
            <w:tcW w:w="46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(9,201 )</w:t>
            </w:r>
          </w:p>
        </w:tc>
        <w:tc>
          <w:tcPr>
            <w:tcW w:w="180" w:type="dxa"/>
            <w:vAlign w:val="bottom"/>
            <w:tcBorders>
              <w:bottom w:val="single" w:sz="8" w:color="A6A6A6"/>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(10,468 )</w:t>
            </w:r>
          </w:p>
        </w:tc>
        <w:tc>
          <w:tcPr>
            <w:tcW w:w="40" w:type="dxa"/>
            <w:vAlign w:val="bottom"/>
          </w:tcPr>
          <w:p>
            <w:pPr>
              <w:spacing w:after="0"/>
              <w:rPr>
                <w:sz w:val="20"/>
                <w:szCs w:val="20"/>
                <w:color w:val="auto"/>
              </w:rPr>
            </w:pPr>
          </w:p>
        </w:tc>
      </w:tr>
      <w:tr>
        <w:trPr>
          <w:trHeight w:val="210"/>
        </w:trPr>
        <w:tc>
          <w:tcPr>
            <w:tcW w:w="7720" w:type="dxa"/>
            <w:vAlign w:val="bottom"/>
          </w:tcPr>
          <w:p>
            <w:pPr>
              <w:ind w:left="200"/>
              <w:spacing w:after="0"/>
              <w:rPr>
                <w:sz w:val="20"/>
                <w:szCs w:val="20"/>
                <w:color w:val="auto"/>
              </w:rPr>
            </w:pPr>
            <w:r>
              <w:rPr>
                <w:rFonts w:ascii="Arial" w:cs="Arial" w:eastAsia="Arial" w:hAnsi="Arial"/>
                <w:sz w:val="16"/>
                <w:szCs w:val="16"/>
                <w:b w:val="1"/>
                <w:bCs w:val="1"/>
                <w:color w:val="auto"/>
              </w:rPr>
              <w:t>Long-term Debt</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gridSpan w:val="2"/>
          </w:tcPr>
          <w:p>
            <w:pPr>
              <w:jc w:val="right"/>
              <w:ind w:right="59"/>
              <w:spacing w:after="0"/>
              <w:rPr>
                <w:sz w:val="20"/>
                <w:szCs w:val="20"/>
                <w:color w:val="auto"/>
              </w:rPr>
            </w:pPr>
            <w:r>
              <w:rPr>
                <w:rFonts w:ascii="Arial" w:cs="Arial" w:eastAsia="Arial" w:hAnsi="Arial"/>
                <w:sz w:val="16"/>
                <w:szCs w:val="16"/>
                <w:b w:val="1"/>
                <w:bCs w:val="1"/>
                <w:color w:val="auto"/>
              </w:rPr>
              <w:t>1,083,299</w:t>
            </w:r>
          </w:p>
        </w:tc>
        <w:tc>
          <w:tcPr>
            <w:tcW w:w="180" w:type="dxa"/>
            <w:vAlign w:val="bottom"/>
          </w:tcPr>
          <w:p>
            <w:pPr>
              <w:spacing w:after="0"/>
              <w:rPr>
                <w:sz w:val="18"/>
                <w:szCs w:val="18"/>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1,079,032</w:t>
            </w:r>
          </w:p>
        </w:tc>
        <w:tc>
          <w:tcPr>
            <w:tcW w:w="100" w:type="dxa"/>
            <w:vAlign w:val="bottom"/>
            <w:tcBorders>
              <w:bottom w:val="single" w:sz="8" w:color="004483"/>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weighted-average interest rate of borrowings under our Revolving Credit Facility during fiscal years 2024, 2023, and 2022 was approximately 6.6%, 3.7%, and 1.5%, respectively. The weighted-average interest rate on our Term Loan was approximately 6.6% and 4.4% during fiscal years 2024 and 2023, respectively. The interest rate on the Revolving Credit Facility and Term Loan was approximately 6.7% and 6.0% at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type w:val="continuous"/>
        </w:sectPr>
      </w:pPr>
    </w:p>
    <w:bookmarkStart w:id="81" w:name="page82"/>
    <w:bookmarkEnd w:id="81"/>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Revolving Credit Facility</w:t>
      </w:r>
    </w:p>
    <w:p>
      <w:pPr>
        <w:spacing w:after="0" w:line="9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have an unsecured $750.0 million revolving credit facility that was amended on May 5, 2022 (such facility, as amended, the Revolving Credit Facility). The Revolving Credit Facility includes a separate $200.0 million term loan facility (the Term Loan) and also provides the Company the option to increase the borrowing capacity by up to $375.0 million (for a total borrowing capacity of $1,125.0 million, excluding the Term Loan), provided that the existing lenders, or new lenders, agree to such increase. The Revolving Credit Facility includes a $40.0 million letter of credit facility and a swingline loan sub-facility of $25.0 million, and expires on May 5, 2027.</w:t>
      </w:r>
    </w:p>
    <w:p>
      <w:pPr>
        <w:spacing w:after="0" w:line="6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7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Company pays each lender a participation fee with respect to such lender’s participation in letters of credit, and the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7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There was $170.0 million of outstanding borrowings under the Revolving Credit Facility, plus $8.3 million of outstanding letters of credit as of March 31, 2024, leaving us with $571.7 million of available borrowings under the Revolving Credit Facility, net of outstanding letters of credit. We were in compliance with all covenants at March 31, 2024; therefore, all $571.7 million is available for future borrowings.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Term Loan</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2.500% Senior Unsecured Notes Due 2031</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the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Our maturities of long-term debt during the next five fiscal years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Fiscal Year</w:t>
            </w:r>
          </w:p>
        </w:tc>
        <w:tc>
          <w:tcPr>
            <w:tcW w:w="64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21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2025</w:t>
            </w:r>
          </w:p>
        </w:tc>
        <w:tc>
          <w:tcPr>
            <w:tcW w:w="6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2026</w:t>
            </w:r>
          </w:p>
        </w:tc>
        <w:tc>
          <w:tcPr>
            <w:tcW w:w="6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2027</w:t>
            </w:r>
          </w:p>
        </w:tc>
        <w:tc>
          <w:tcPr>
            <w:tcW w:w="6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2028</w:t>
            </w:r>
          </w:p>
        </w:tc>
        <w:tc>
          <w:tcPr>
            <w:tcW w:w="6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322,500</w:t>
            </w: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2029</w:t>
            </w:r>
          </w:p>
        </w:tc>
        <w:tc>
          <w:tcPr>
            <w:tcW w:w="6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Thereafter</w:t>
            </w:r>
          </w:p>
        </w:tc>
        <w:tc>
          <w:tcPr>
            <w:tcW w:w="640" w:type="dxa"/>
            <w:vAlign w:val="bottom"/>
            <w:tcBorders>
              <w:bottom w:val="single" w:sz="8" w:color="17385E"/>
            </w:tcBorders>
          </w:tcPr>
          <w:p>
            <w:pPr>
              <w:spacing w:after="0"/>
              <w:rPr>
                <w:sz w:val="20"/>
                <w:szCs w:val="20"/>
                <w:color w:val="auto"/>
              </w:rPr>
            </w:pPr>
          </w:p>
        </w:tc>
        <w:tc>
          <w:tcPr>
            <w:tcW w:w="1260" w:type="dxa"/>
            <w:vAlign w:val="bottom"/>
            <w:tcBorders>
              <w:bottom w:val="single" w:sz="8" w:color="17385E"/>
            </w:tcBorders>
          </w:tcPr>
          <w:p>
            <w:pPr>
              <w:jc w:val="right"/>
              <w:spacing w:after="0"/>
              <w:rPr>
                <w:sz w:val="20"/>
                <w:szCs w:val="20"/>
                <w:color w:val="auto"/>
              </w:rPr>
            </w:pPr>
            <w:r>
              <w:rPr>
                <w:rFonts w:ascii="Arial" w:cs="Arial" w:eastAsia="Arial" w:hAnsi="Arial"/>
                <w:sz w:val="16"/>
                <w:szCs w:val="16"/>
                <w:color w:val="auto"/>
              </w:rPr>
              <w:t>750,000</w:t>
            </w:r>
          </w:p>
        </w:tc>
      </w:tr>
      <w:tr>
        <w:trPr>
          <w:trHeight w:val="210"/>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1,102,500</w:t>
            </w:r>
          </w:p>
        </w:tc>
      </w:tr>
      <w:tr>
        <w:trPr>
          <w:trHeight w:val="20"/>
        </w:trPr>
        <w:tc>
          <w:tcPr>
            <w:tcW w:w="924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Retirement of Debt</w:t>
      </w:r>
    </w:p>
    <w:p>
      <w:pPr>
        <w:spacing w:after="0" w:line="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and terminated our $665.0 million term loan credit agreement (the Term Loan Facility). The Term Loan Facility was used to pay a portion of the purchase price for the Kosmos Acquisition, and fees and expenses incurred in connection with the Kosmos Acquisition in March 2020.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8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 FAIR VALUE OF FINANCIAL INSTRUMENTS</w:t>
      </w:r>
    </w:p>
    <w:p>
      <w:pPr>
        <w:spacing w:after="0" w:line="99"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The fair value of our senior notes has been estimated based upon our current incremental borrowing rates for similar types of borrowing arrangements. The fair value of our Senior Unsecured Notes at March 31, 2024 is as follows:</w:t>
      </w:r>
    </w:p>
    <w:tbl>
      <w:tblPr>
        <w:tblLayout w:type="fixed"/>
        <w:tblInd w:w="0" w:type="dxa"/>
        <w:tblCellMar>
          <w:top w:w="0" w:type="dxa"/>
          <w:left w:w="0" w:type="dxa"/>
          <w:bottom w:w="0" w:type="dxa"/>
          <w:right w:w="0" w:type="dxa"/>
        </w:tblCellMar>
      </w:tblPr>
      <w:tr>
        <w:trPr>
          <w:trHeight w:val="150"/>
        </w:trPr>
        <w:tc>
          <w:tcPr>
            <w:tcW w:w="62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60" w:type="dxa"/>
            <w:vAlign w:val="bottom"/>
          </w:tcPr>
          <w:p>
            <w:pPr>
              <w:jc w:val="right"/>
              <w:ind w:right="51"/>
              <w:spacing w:after="0"/>
              <w:rPr>
                <w:sz w:val="20"/>
                <w:szCs w:val="20"/>
                <w:color w:val="auto"/>
              </w:rPr>
            </w:pPr>
            <w:r>
              <w:rPr>
                <w:rFonts w:ascii="Arial" w:cs="Arial" w:eastAsia="Arial" w:hAnsi="Arial"/>
                <w:sz w:val="13"/>
                <w:szCs w:val="13"/>
                <w:b w:val="1"/>
                <w:bCs w:val="1"/>
                <w:color w:val="auto"/>
              </w:rPr>
              <w:t>Fair Value</w:t>
            </w:r>
          </w:p>
        </w:tc>
      </w:tr>
      <w:tr>
        <w:trPr>
          <w:trHeight w:val="187"/>
        </w:trPr>
        <w:tc>
          <w:tcPr>
            <w:tcW w:w="6200" w:type="dxa"/>
            <w:vAlign w:val="bottom"/>
            <w:tcBorders>
              <w:bottom w:val="single" w:sz="8" w:color="004483"/>
            </w:tcBorders>
          </w:tcPr>
          <w:p>
            <w:pPr>
              <w:spacing w:after="0"/>
              <w:rPr>
                <w:sz w:val="16"/>
                <w:szCs w:val="16"/>
                <w:color w:val="auto"/>
              </w:rPr>
            </w:pPr>
          </w:p>
        </w:tc>
        <w:tc>
          <w:tcPr>
            <w:tcW w:w="3380" w:type="dxa"/>
            <w:vAlign w:val="bottom"/>
            <w:tcBorders>
              <w:bottom w:val="single" w:sz="8" w:color="004483"/>
            </w:tcBorders>
          </w:tcPr>
          <w:p>
            <w:pPr>
              <w:spacing w:after="0"/>
              <w:rPr>
                <w:sz w:val="16"/>
                <w:szCs w:val="16"/>
                <w:color w:val="auto"/>
              </w:rPr>
            </w:pPr>
          </w:p>
        </w:tc>
        <w:tc>
          <w:tcPr>
            <w:tcW w:w="1660" w:type="dxa"/>
            <w:vAlign w:val="bottom"/>
            <w:tcBorders>
              <w:bottom w:val="single" w:sz="8" w:color="004483"/>
            </w:tcBorders>
          </w:tcPr>
          <w:p>
            <w:pPr>
              <w:jc w:val="right"/>
              <w:ind w:right="51"/>
              <w:spacing w:after="0"/>
              <w:rPr>
                <w:sz w:val="20"/>
                <w:szCs w:val="20"/>
                <w:color w:val="auto"/>
              </w:rPr>
            </w:pPr>
            <w:r>
              <w:rPr>
                <w:rFonts w:ascii="Arial" w:cs="Arial" w:eastAsia="Arial" w:hAnsi="Arial"/>
                <w:sz w:val="13"/>
                <w:szCs w:val="13"/>
                <w:color w:val="auto"/>
              </w:rPr>
              <w:t>(dollars in thousands)</w:t>
            </w:r>
          </w:p>
        </w:tc>
      </w:tr>
      <w:tr>
        <w:trPr>
          <w:trHeight w:val="242"/>
        </w:trPr>
        <w:tc>
          <w:tcPr>
            <w:tcW w:w="6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2.500% Senior Unsecured Notes Due 2031</w:t>
            </w:r>
          </w:p>
        </w:tc>
        <w:tc>
          <w:tcPr>
            <w:tcW w:w="338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6A6A6"/>
            </w:tcBorders>
          </w:tcPr>
          <w:p>
            <w:pPr>
              <w:jc w:val="right"/>
              <w:ind w:right="51"/>
              <w:spacing w:after="0"/>
              <w:rPr>
                <w:sz w:val="20"/>
                <w:szCs w:val="20"/>
                <w:color w:val="auto"/>
              </w:rPr>
            </w:pPr>
            <w:r>
              <w:rPr>
                <w:rFonts w:ascii="Arial" w:cs="Arial" w:eastAsia="Arial" w:hAnsi="Arial"/>
                <w:sz w:val="16"/>
                <w:szCs w:val="16"/>
                <w:color w:val="auto"/>
              </w:rPr>
              <w:t>628,000</w:t>
            </w:r>
          </w:p>
        </w:tc>
      </w:tr>
    </w:tbl>
    <w:p>
      <w:pPr>
        <w:spacing w:after="0" w:line="18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estimated fair value of our long-term debt was based on publicly quoted prices of these debt instruments (level 1 input). The carrying values of cash and cash equivalents, accounts and notes receivable, accounts payable, and accrued liabilities approximate their fair values at March 31, 2024, due to the short-term maturities of these assets and liabilities. The fair value of our Revolving Credit Facility and Term Loan also approximates its carrying values at March 31, 2024.</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(H) BUSINESS SEGMENTS</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6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to build, expand, and repair roads and highways; and repair and remodel activities.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over 30 cement distribution terminals, including terminals acquired in the Stockton Terminal Acquisition. Our cement companies focus on the U.S. heartland and operate as an integrated network selling product primarily in California, Colorado, Illinois, Indiana, Iowa, Kansas, Kentucky, Missouri, Nebraska, Nevada, Ohio, Oklahoma, Tennessee, and Texas. We operate over 25 readymix concrete batch plants and five aggregates processing plants in markets that are complementary to our cement network.</w:t>
      </w:r>
    </w:p>
    <w:p>
      <w:pPr>
        <w:spacing w:after="0" w:line="6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4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tables set forth certain financial information relating to our operations by segment. We do not allocate interest or taxes at the segment level, only at the consolidated company level.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2840" w:type="dxa"/>
            <w:vAlign w:val="bottom"/>
            <w:gridSpan w:val="5"/>
            <w:shd w:val="clear" w:color="auto" w:fill="004483"/>
          </w:tcPr>
          <w:p>
            <w:pPr>
              <w:ind w:left="980"/>
              <w:spacing w:after="0"/>
              <w:rPr>
                <w:sz w:val="20"/>
                <w:szCs w:val="20"/>
                <w:color w:val="auto"/>
              </w:rPr>
            </w:pPr>
            <w:r>
              <w:rPr>
                <w:rFonts w:ascii="Arial" w:cs="Arial" w:eastAsia="Arial" w:hAnsi="Arial"/>
                <w:sz w:val="13"/>
                <w:szCs w:val="13"/>
                <w:b w:val="1"/>
                <w:bCs w:val="1"/>
                <w:color w:val="FFFFFF"/>
                <w:w w:val="96"/>
              </w:rPr>
              <w:t>For the Years Ended March 31,</w:t>
            </w:r>
          </w:p>
        </w:tc>
        <w:tc>
          <w:tcPr>
            <w:tcW w:w="340" w:type="dxa"/>
            <w:vAlign w:val="bottom"/>
            <w:shd w:val="clear" w:color="auto" w:fill="004483"/>
          </w:tcPr>
          <w:p>
            <w:pPr>
              <w:spacing w:after="0"/>
              <w:rPr>
                <w:sz w:val="14"/>
                <w:szCs w:val="14"/>
                <w:color w:val="auto"/>
              </w:rPr>
            </w:pPr>
          </w:p>
        </w:tc>
        <w:tc>
          <w:tcPr>
            <w:tcW w:w="108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63"/>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110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340" w:type="dxa"/>
            <w:vAlign w:val="bottom"/>
            <w:tcBorders>
              <w:bottom w:val="single" w:sz="8" w:color="004483"/>
            </w:tcBorders>
          </w:tcPr>
          <w:p>
            <w:pPr>
              <w:spacing w:after="0"/>
              <w:rPr>
                <w:sz w:val="16"/>
                <w:szCs w:val="16"/>
                <w:color w:val="auto"/>
              </w:rPr>
            </w:pPr>
          </w:p>
        </w:tc>
        <w:tc>
          <w:tcPr>
            <w:tcW w:w="108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1,226,017</w:t>
            </w:r>
          </w:p>
        </w:tc>
        <w:tc>
          <w:tcPr>
            <w:tcW w:w="500" w:type="dxa"/>
            <w:vAlign w:val="bottom"/>
            <w:tcBorders>
              <w:bottom w:val="single" w:sz="8" w:color="A6A6A6"/>
            </w:tcBorders>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1,074,070</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1,007,094</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252,952</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239,516</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177,122</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839,530</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872,471</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692,152</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184,188</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201,280</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194,054</w:t>
            </w:r>
          </w:p>
        </w:tc>
      </w:tr>
      <w:tr>
        <w:trPr>
          <w:trHeight w:val="209"/>
        </w:trPr>
        <w:tc>
          <w:tcPr>
            <w:tcW w:w="662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2,502,687</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2,387,337</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2,070,422</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Intersegment Revenue</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(130,654 )</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(125,750 )</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(105,001 )</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Joint Venture Revenue</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(112,736 )</w:t>
            </w:r>
          </w:p>
        </w:tc>
        <w:tc>
          <w:tcPr>
            <w:tcW w:w="160" w:type="dxa"/>
            <w:vAlign w:val="bottom"/>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(113,518 )</w:t>
            </w:r>
          </w:p>
        </w:tc>
        <w:tc>
          <w:tcPr>
            <w:tcW w:w="160" w:type="dxa"/>
            <w:vAlign w:val="bottom"/>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(103,899 )</w:t>
            </w:r>
          </w:p>
        </w:tc>
      </w:tr>
      <w:tr>
        <w:trPr>
          <w:trHeight w:val="210"/>
        </w:trPr>
        <w:tc>
          <w:tcPr>
            <w:tcW w:w="662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2,259,297</w:t>
            </w:r>
          </w:p>
        </w:tc>
        <w:tc>
          <w:tcPr>
            <w:tcW w:w="160" w:type="dxa"/>
            <w:vAlign w:val="bottom"/>
          </w:tcPr>
          <w:p>
            <w:pPr>
              <w:spacing w:after="0"/>
              <w:rPr>
                <w:sz w:val="18"/>
                <w:szCs w:val="18"/>
                <w:color w:val="auto"/>
              </w:rPr>
            </w:pPr>
          </w:p>
        </w:tc>
        <w:tc>
          <w:tcPr>
            <w:tcW w:w="34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2,148,069</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1,861,522</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00448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70"/>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662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2840" w:type="dxa"/>
            <w:vAlign w:val="bottom"/>
            <w:gridSpan w:val="5"/>
            <w:shd w:val="clear" w:color="auto" w:fill="004483"/>
          </w:tcPr>
          <w:p>
            <w:pPr>
              <w:ind w:left="980"/>
              <w:spacing w:after="0"/>
              <w:rPr>
                <w:sz w:val="20"/>
                <w:szCs w:val="20"/>
                <w:color w:val="auto"/>
              </w:rPr>
            </w:pPr>
            <w:r>
              <w:rPr>
                <w:rFonts w:ascii="Arial" w:cs="Arial" w:eastAsia="Arial" w:hAnsi="Arial"/>
                <w:sz w:val="13"/>
                <w:szCs w:val="13"/>
                <w:b w:val="1"/>
                <w:bCs w:val="1"/>
                <w:color w:val="FFFFFF"/>
                <w:w w:val="96"/>
              </w:rPr>
              <w:t>For the Years Ended March 31,</w:t>
            </w:r>
          </w:p>
        </w:tc>
        <w:tc>
          <w:tcPr>
            <w:tcW w:w="340" w:type="dxa"/>
            <w:vAlign w:val="bottom"/>
            <w:shd w:val="clear" w:color="auto" w:fill="004483"/>
          </w:tcPr>
          <w:p>
            <w:pPr>
              <w:spacing w:after="0"/>
              <w:rPr>
                <w:sz w:val="14"/>
                <w:szCs w:val="14"/>
                <w:color w:val="auto"/>
              </w:rPr>
            </w:pPr>
          </w:p>
        </w:tc>
        <w:tc>
          <w:tcPr>
            <w:tcW w:w="108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63"/>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110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340" w:type="dxa"/>
            <w:vAlign w:val="bottom"/>
            <w:tcBorders>
              <w:bottom w:val="single" w:sz="8" w:color="004483"/>
            </w:tcBorders>
          </w:tcPr>
          <w:p>
            <w:pPr>
              <w:spacing w:after="0"/>
              <w:rPr>
                <w:sz w:val="16"/>
                <w:szCs w:val="16"/>
                <w:color w:val="auto"/>
              </w:rPr>
            </w:pPr>
          </w:p>
        </w:tc>
        <w:tc>
          <w:tcPr>
            <w:tcW w:w="108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Intersegment Revenue</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35,363</w:t>
            </w:r>
          </w:p>
        </w:tc>
        <w:tc>
          <w:tcPr>
            <w:tcW w:w="500" w:type="dxa"/>
            <w:vAlign w:val="bottom"/>
            <w:tcBorders>
              <w:bottom w:val="single" w:sz="8" w:color="A6A6A6"/>
            </w:tcBorders>
            <w:gridSpan w:val="2"/>
          </w:tcPr>
          <w:p>
            <w:pPr>
              <w:ind w:lef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32,915</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22,915</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12,940</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82,351</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92,835</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82,086</w:t>
            </w:r>
          </w:p>
        </w:tc>
      </w:tr>
      <w:tr>
        <w:trPr>
          <w:trHeight w:val="210"/>
        </w:trPr>
        <w:tc>
          <w:tcPr>
            <w:tcW w:w="662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130,654</w:t>
            </w:r>
          </w:p>
        </w:tc>
        <w:tc>
          <w:tcPr>
            <w:tcW w:w="160" w:type="dxa"/>
            <w:vAlign w:val="bottom"/>
          </w:tcPr>
          <w:p>
            <w:pPr>
              <w:spacing w:after="0"/>
              <w:rPr>
                <w:sz w:val="18"/>
                <w:szCs w:val="18"/>
                <w:color w:val="auto"/>
              </w:rPr>
            </w:pPr>
          </w:p>
        </w:tc>
        <w:tc>
          <w:tcPr>
            <w:tcW w:w="34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125,750</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105,001</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9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Cement Sales Volume (M tons)</w:t>
            </w:r>
          </w:p>
        </w:tc>
        <w:tc>
          <w:tcPr>
            <w:tcW w:w="3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6,610</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6,399</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6,711</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679</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734</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823</w:t>
            </w:r>
          </w:p>
        </w:tc>
      </w:tr>
      <w:tr>
        <w:trPr>
          <w:trHeight w:val="209"/>
        </w:trPr>
        <w:tc>
          <w:tcPr>
            <w:tcW w:w="6620" w:type="dxa"/>
            <w:vAlign w:val="bottom"/>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7,289</w:t>
            </w:r>
          </w:p>
        </w:tc>
        <w:tc>
          <w:tcPr>
            <w:tcW w:w="160" w:type="dxa"/>
            <w:vAlign w:val="bottom"/>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7,133</w:t>
            </w:r>
          </w:p>
        </w:tc>
        <w:tc>
          <w:tcPr>
            <w:tcW w:w="160" w:type="dxa"/>
            <w:vAlign w:val="bottom"/>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7,534</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2840" w:type="dxa"/>
            <w:vAlign w:val="bottom"/>
            <w:gridSpan w:val="5"/>
            <w:shd w:val="clear" w:color="auto" w:fill="004483"/>
          </w:tcPr>
          <w:p>
            <w:pPr>
              <w:jc w:val="center"/>
              <w:ind w:left="881"/>
              <w:spacing w:after="0"/>
              <w:rPr>
                <w:sz w:val="20"/>
                <w:szCs w:val="20"/>
                <w:color w:val="auto"/>
              </w:rPr>
            </w:pPr>
            <w:r>
              <w:rPr>
                <w:rFonts w:ascii="Arial" w:cs="Arial" w:eastAsia="Arial" w:hAnsi="Arial"/>
                <w:sz w:val="13"/>
                <w:szCs w:val="13"/>
                <w:b w:val="1"/>
                <w:bCs w:val="1"/>
                <w:color w:val="FFFFFF"/>
                <w:w w:val="96"/>
              </w:rPr>
              <w:t>For the Years Ended March 31,</w:t>
            </w:r>
          </w:p>
        </w:tc>
        <w:tc>
          <w:tcPr>
            <w:tcW w:w="340" w:type="dxa"/>
            <w:vAlign w:val="bottom"/>
            <w:shd w:val="clear" w:color="auto" w:fill="004483"/>
          </w:tcPr>
          <w:p>
            <w:pPr>
              <w:spacing w:after="0"/>
              <w:rPr>
                <w:sz w:val="14"/>
                <w:szCs w:val="14"/>
                <w:color w:val="auto"/>
              </w:rPr>
            </w:pPr>
          </w:p>
        </w:tc>
        <w:tc>
          <w:tcPr>
            <w:tcW w:w="108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61"/>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0"/>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110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480" w:type="dxa"/>
            <w:vAlign w:val="bottom"/>
            <w:tcBorders>
              <w:bottom w:val="single" w:sz="8" w:color="004483"/>
            </w:tcBorders>
            <w:gridSpan w:val="2"/>
          </w:tcPr>
          <w:p>
            <w:pPr>
              <w:spacing w:after="0"/>
              <w:rPr>
                <w:sz w:val="20"/>
                <w:szCs w:val="20"/>
                <w:color w:val="auto"/>
              </w:rPr>
            </w:pPr>
            <w:r>
              <w:rPr>
                <w:rFonts w:ascii="Arial" w:cs="Arial" w:eastAsia="Arial" w:hAnsi="Arial"/>
                <w:sz w:val="13"/>
                <w:szCs w:val="13"/>
                <w:color w:val="auto"/>
              </w:rPr>
              <w:t>(dollars in thousands)</w:t>
            </w:r>
          </w:p>
        </w:tc>
        <w:tc>
          <w:tcPr>
            <w:tcW w:w="340" w:type="dxa"/>
            <w:vAlign w:val="bottom"/>
            <w:tcBorders>
              <w:bottom w:val="single" w:sz="8" w:color="004483"/>
            </w:tcBorders>
          </w:tcPr>
          <w:p>
            <w:pPr>
              <w:spacing w:after="0"/>
              <w:rPr>
                <w:sz w:val="16"/>
                <w:szCs w:val="16"/>
                <w:color w:val="auto"/>
              </w:rPr>
            </w:pPr>
          </w:p>
        </w:tc>
        <w:tc>
          <w:tcPr>
            <w:tcW w:w="108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Operating Earnings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338,349</w:t>
            </w:r>
          </w:p>
        </w:tc>
        <w:tc>
          <w:tcPr>
            <w:tcW w:w="260" w:type="dxa"/>
            <w:vAlign w:val="bottom"/>
            <w:tcBorders>
              <w:bottom w:val="single" w:sz="8" w:color="A6A6A6"/>
            </w:tcBorders>
            <w:gridSpan w:val="2"/>
          </w:tcPr>
          <w:p>
            <w:pPr>
              <w:ind w:left="18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278,762</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259,556</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12,401</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18,259</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18,467</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334,536</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352,499</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261,476</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31,616</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25,220</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12,603</w:t>
            </w:r>
          </w:p>
        </w:tc>
      </w:tr>
      <w:tr>
        <w:trPr>
          <w:trHeight w:val="209"/>
        </w:trPr>
        <w:tc>
          <w:tcPr>
            <w:tcW w:w="6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Sub-Total</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716,902</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674,740</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552,102</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(59,795 )</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(53,630 )</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(46,801 )</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 (Loss)</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3,087</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2,654</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9,073</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660,194</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623,764</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505,967</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(42,257 )</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(35,171 )</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(30,873 )</w:t>
            </w:r>
          </w:p>
        </w:tc>
      </w:tr>
      <w:tr>
        <w:trPr>
          <w:trHeight w:val="209"/>
        </w:trPr>
        <w:tc>
          <w:tcPr>
            <w:tcW w:w="6620" w:type="dxa"/>
            <w:vAlign w:val="bottom"/>
          </w:tcPr>
          <w:p>
            <w:pPr>
              <w:ind w:left="200"/>
              <w:spacing w:after="0"/>
              <w:rPr>
                <w:sz w:val="20"/>
                <w:szCs w:val="20"/>
                <w:color w:val="auto"/>
              </w:rPr>
            </w:pPr>
            <w:r>
              <w:rPr>
                <w:rFonts w:ascii="Arial" w:cs="Arial" w:eastAsia="Arial" w:hAnsi="Arial"/>
                <w:sz w:val="16"/>
                <w:szCs w:val="16"/>
                <w:b w:val="1"/>
                <w:bCs w:val="1"/>
                <w:color w:val="004483"/>
              </w:rPr>
              <w:t>Earnings Before Income Taxes</w:t>
            </w: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617,937</w:t>
            </w:r>
          </w:p>
        </w:tc>
        <w:tc>
          <w:tcPr>
            <w:tcW w:w="160" w:type="dxa"/>
            <w:vAlign w:val="bottom"/>
          </w:tcPr>
          <w:p>
            <w:pPr>
              <w:spacing w:after="0"/>
              <w:rPr>
                <w:sz w:val="18"/>
                <w:szCs w:val="18"/>
                <w:color w:val="auto"/>
              </w:rPr>
            </w:pPr>
          </w:p>
        </w:tc>
        <w:tc>
          <w:tcPr>
            <w:tcW w:w="100" w:type="dxa"/>
            <w:vAlign w:val="bottom"/>
            <w:tcBorders>
              <w:bottom w:val="single" w:sz="8" w:color="004483"/>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588,593</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475,094</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9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Cement Operating Earnings</w:t>
            </w:r>
          </w:p>
        </w:tc>
        <w:tc>
          <w:tcPr>
            <w:tcW w:w="3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306,768</w:t>
            </w:r>
          </w:p>
        </w:tc>
        <w:tc>
          <w:tcPr>
            <w:tcW w:w="260" w:type="dxa"/>
            <w:vAlign w:val="bottom"/>
            <w:tcBorders>
              <w:bottom w:val="single" w:sz="8" w:color="A6A6A6"/>
            </w:tcBorders>
            <w:gridSpan w:val="2"/>
          </w:tcPr>
          <w:p>
            <w:pPr>
              <w:ind w:left="18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243,288</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227,068</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31,581</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35,474</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32,488</w:t>
            </w:r>
          </w:p>
        </w:tc>
      </w:tr>
      <w:tr>
        <w:trPr>
          <w:trHeight w:val="209"/>
        </w:trPr>
        <w:tc>
          <w:tcPr>
            <w:tcW w:w="662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338,349</w:t>
            </w:r>
          </w:p>
        </w:tc>
        <w:tc>
          <w:tcPr>
            <w:tcW w:w="160" w:type="dxa"/>
            <w:vAlign w:val="bottom"/>
          </w:tcPr>
          <w:p>
            <w:pPr>
              <w:spacing w:after="0"/>
              <w:rPr>
                <w:sz w:val="18"/>
                <w:szCs w:val="18"/>
                <w:color w:val="auto"/>
              </w:rPr>
            </w:pPr>
          </w:p>
        </w:tc>
        <w:tc>
          <w:tcPr>
            <w:tcW w:w="100" w:type="dxa"/>
            <w:vAlign w:val="bottom"/>
            <w:tcBorders>
              <w:bottom w:val="single" w:sz="8" w:color="004483"/>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278,762</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259,556</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97"/>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65,442</w:t>
            </w:r>
          </w:p>
        </w:tc>
        <w:tc>
          <w:tcPr>
            <w:tcW w:w="260" w:type="dxa"/>
            <w:vAlign w:val="bottom"/>
            <w:tcBorders>
              <w:bottom w:val="single" w:sz="8" w:color="A6A6A6"/>
            </w:tcBorders>
            <w:gridSpan w:val="2"/>
          </w:tcPr>
          <w:p>
            <w:pPr>
              <w:ind w:left="18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39,049</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31,535</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15,103</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35,503</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5,239</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29,127</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31,063</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32,405</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10,085</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2,898</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2,579</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548</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1,630</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2,363</w:t>
            </w:r>
          </w:p>
        </w:tc>
      </w:tr>
      <w:tr>
        <w:trPr>
          <w:trHeight w:val="210"/>
        </w:trPr>
        <w:tc>
          <w:tcPr>
            <w:tcW w:w="662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120,305</w:t>
            </w:r>
          </w:p>
        </w:tc>
        <w:tc>
          <w:tcPr>
            <w:tcW w:w="160" w:type="dxa"/>
            <w:vAlign w:val="bottom"/>
          </w:tcPr>
          <w:p>
            <w:pPr>
              <w:spacing w:after="0"/>
              <w:rPr>
                <w:sz w:val="18"/>
                <w:szCs w:val="18"/>
                <w:color w:val="auto"/>
              </w:rPr>
            </w:pPr>
          </w:p>
        </w:tc>
        <w:tc>
          <w:tcPr>
            <w:tcW w:w="100" w:type="dxa"/>
            <w:vAlign w:val="bottom"/>
            <w:tcBorders>
              <w:bottom w:val="single" w:sz="8" w:color="004483"/>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110,143</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74,121</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9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3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89,138</w:t>
            </w:r>
          </w:p>
        </w:tc>
        <w:tc>
          <w:tcPr>
            <w:tcW w:w="260" w:type="dxa"/>
            <w:vAlign w:val="bottom"/>
            <w:tcBorders>
              <w:bottom w:val="single" w:sz="8" w:color="A6A6A6"/>
            </w:tcBorders>
            <w:gridSpan w:val="2"/>
          </w:tcPr>
          <w:p>
            <w:pPr>
              <w:ind w:left="18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81,643</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79,560</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19,728</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17,413</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9,656</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23,038</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21,744</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22,024</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14,811</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14,942</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14,721</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3,117</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2,812</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2,850</w:t>
            </w:r>
          </w:p>
        </w:tc>
      </w:tr>
      <w:tr>
        <w:trPr>
          <w:trHeight w:val="210"/>
        </w:trPr>
        <w:tc>
          <w:tcPr>
            <w:tcW w:w="662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149,832</w:t>
            </w:r>
          </w:p>
        </w:tc>
        <w:tc>
          <w:tcPr>
            <w:tcW w:w="160" w:type="dxa"/>
            <w:vAlign w:val="bottom"/>
          </w:tcPr>
          <w:p>
            <w:pPr>
              <w:spacing w:after="0"/>
              <w:rPr>
                <w:sz w:val="18"/>
                <w:szCs w:val="18"/>
                <w:color w:val="auto"/>
              </w:rPr>
            </w:pPr>
          </w:p>
        </w:tc>
        <w:tc>
          <w:tcPr>
            <w:tcW w:w="100" w:type="dxa"/>
            <w:vAlign w:val="bottom"/>
            <w:tcBorders>
              <w:bottom w:val="single" w:sz="8" w:color="004483"/>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138,554</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128,811</w:t>
            </w:r>
          </w:p>
        </w:tc>
      </w:tr>
      <w:tr>
        <w:trPr>
          <w:trHeight w:val="20"/>
        </w:trPr>
        <w:tc>
          <w:tcPr>
            <w:tcW w:w="66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426"/>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662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1100" w:type="dxa"/>
            <w:vAlign w:val="bottom"/>
            <w:shd w:val="clear" w:color="auto" w:fill="004483"/>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480" w:type="dxa"/>
            <w:vAlign w:val="bottom"/>
            <w:gridSpan w:val="2"/>
            <w:shd w:val="clear" w:color="auto" w:fill="004483"/>
          </w:tcPr>
          <w:p>
            <w:pPr>
              <w:jc w:val="center"/>
              <w:ind w:right="420"/>
              <w:spacing w:after="0"/>
              <w:rPr>
                <w:sz w:val="20"/>
                <w:szCs w:val="20"/>
                <w:color w:val="auto"/>
              </w:rPr>
            </w:pPr>
            <w:r>
              <w:rPr>
                <w:rFonts w:ascii="Arial" w:cs="Arial" w:eastAsia="Arial" w:hAnsi="Arial"/>
                <w:sz w:val="13"/>
                <w:szCs w:val="13"/>
                <w:b w:val="1"/>
                <w:bCs w:val="1"/>
                <w:color w:val="FFFFFF"/>
                <w:w w:val="96"/>
              </w:rPr>
              <w:t>March 31,</w:t>
            </w:r>
          </w:p>
        </w:tc>
        <w:tc>
          <w:tcPr>
            <w:tcW w:w="340" w:type="dxa"/>
            <w:vAlign w:val="bottom"/>
            <w:shd w:val="clear" w:color="auto" w:fill="004483"/>
          </w:tcPr>
          <w:p>
            <w:pPr>
              <w:spacing w:after="0"/>
              <w:rPr>
                <w:sz w:val="14"/>
                <w:szCs w:val="14"/>
                <w:color w:val="auto"/>
              </w:rPr>
            </w:pPr>
          </w:p>
        </w:tc>
        <w:tc>
          <w:tcPr>
            <w:tcW w:w="108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61"/>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0"/>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110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340" w:type="dxa"/>
            <w:vAlign w:val="bottom"/>
            <w:tcBorders>
              <w:bottom w:val="single" w:sz="8" w:color="004483"/>
            </w:tcBorders>
          </w:tcPr>
          <w:p>
            <w:pPr>
              <w:spacing w:after="0"/>
              <w:rPr>
                <w:sz w:val="16"/>
                <w:szCs w:val="16"/>
                <w:color w:val="auto"/>
              </w:rPr>
            </w:pPr>
          </w:p>
        </w:tc>
        <w:tc>
          <w:tcPr>
            <w:tcW w:w="108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Segment Assets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2,042,499</w:t>
            </w:r>
          </w:p>
        </w:tc>
        <w:tc>
          <w:tcPr>
            <w:tcW w:w="260" w:type="dxa"/>
            <w:vAlign w:val="bottom"/>
            <w:tcBorders>
              <w:bottom w:val="single" w:sz="8" w:color="A6A6A6"/>
            </w:tcBorders>
            <w:gridSpan w:val="2"/>
          </w:tcPr>
          <w:p>
            <w:pPr>
              <w:ind w:left="18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1,905,227</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1,860,649</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225,485</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234,767</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89,405</w:t>
            </w: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432,122</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421,425</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397,486</w:t>
            </w:r>
          </w:p>
        </w:tc>
      </w:tr>
      <w:tr>
        <w:trPr>
          <w:trHeight w:val="210"/>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170,832</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163,797</w:t>
            </w:r>
          </w:p>
        </w:tc>
        <w:tc>
          <w:tcPr>
            <w:tcW w:w="16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180,025</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 net</w:t>
            </w:r>
          </w:p>
        </w:tc>
        <w:tc>
          <w:tcPr>
            <w:tcW w:w="3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76,081</w:t>
            </w:r>
          </w:p>
        </w:tc>
        <w:tc>
          <w:tcPr>
            <w:tcW w:w="16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55,786</w:t>
            </w:r>
          </w:p>
        </w:tc>
        <w:tc>
          <w:tcPr>
            <w:tcW w:w="16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52,087</w:t>
            </w:r>
          </w:p>
        </w:tc>
      </w:tr>
      <w:tr>
        <w:trPr>
          <w:trHeight w:val="210"/>
        </w:trPr>
        <w:tc>
          <w:tcPr>
            <w:tcW w:w="662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2,947,019</w:t>
            </w:r>
          </w:p>
        </w:tc>
        <w:tc>
          <w:tcPr>
            <w:tcW w:w="160" w:type="dxa"/>
            <w:vAlign w:val="bottom"/>
          </w:tcPr>
          <w:p>
            <w:pPr>
              <w:spacing w:after="0"/>
              <w:rPr>
                <w:sz w:val="18"/>
                <w:szCs w:val="18"/>
                <w:color w:val="auto"/>
              </w:rPr>
            </w:pPr>
          </w:p>
        </w:tc>
        <w:tc>
          <w:tcPr>
            <w:tcW w:w="100" w:type="dxa"/>
            <w:vAlign w:val="bottom"/>
            <w:tcBorders>
              <w:bottom w:val="single" w:sz="8" w:color="004483"/>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2,781,002</w:t>
            </w:r>
          </w:p>
        </w:tc>
        <w:tc>
          <w:tcPr>
            <w:tcW w:w="16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2,579,652</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right="440"/>
        <w:spacing w:after="0" w:line="244"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don’t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6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2024 and 2023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280" w:type="dxa"/>
            <w:vAlign w:val="bottom"/>
            <w:gridSpan w:val="3"/>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Years Ended March 31,</w:t>
            </w:r>
          </w:p>
        </w:tc>
        <w:tc>
          <w:tcPr>
            <w:tcW w:w="80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jc w:val="right"/>
              <w:ind w:right="42"/>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280" w:type="dxa"/>
            <w:vAlign w:val="bottom"/>
            <w:tcBorders>
              <w:bottom w:val="single" w:sz="8" w:color="004483"/>
            </w:tcBorders>
            <w:gridSpan w:val="3"/>
          </w:tcPr>
          <w:p>
            <w:pPr>
              <w:jc w:val="right"/>
              <w:ind w:right="339"/>
              <w:spacing w:after="0"/>
              <w:rPr>
                <w:sz w:val="20"/>
                <w:szCs w:val="20"/>
                <w:color w:val="auto"/>
              </w:rPr>
            </w:pPr>
            <w:r>
              <w:rPr>
                <w:rFonts w:ascii="Arial" w:cs="Arial" w:eastAsia="Arial" w:hAnsi="Arial"/>
                <w:sz w:val="13"/>
                <w:szCs w:val="13"/>
                <w:color w:val="auto"/>
              </w:rPr>
              <w:t>(dollars in thousands)</w:t>
            </w:r>
          </w:p>
        </w:tc>
        <w:tc>
          <w:tcPr>
            <w:tcW w:w="800" w:type="dxa"/>
            <w:vAlign w:val="bottom"/>
            <w:tcBorders>
              <w:bottom w:val="single" w:sz="8" w:color="004483"/>
            </w:tcBorders>
          </w:tcPr>
          <w:p>
            <w:pPr>
              <w:spacing w:after="0"/>
              <w:rPr>
                <w:sz w:val="16"/>
                <w:szCs w:val="16"/>
                <w:color w:val="auto"/>
              </w:rPr>
            </w:pPr>
          </w:p>
        </w:tc>
      </w:tr>
      <w:tr>
        <w:trPr>
          <w:trHeight w:val="215"/>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Cement</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227,639</w:t>
            </w:r>
          </w:p>
        </w:tc>
        <w:tc>
          <w:tcPr>
            <w:tcW w:w="1040" w:type="dxa"/>
            <w:vAlign w:val="bottom"/>
            <w:tcBorders>
              <w:bottom w:val="single" w:sz="8" w:color="A6A6A6"/>
            </w:tcBorders>
            <w:gridSpan w:val="2"/>
          </w:tcPr>
          <w:p>
            <w:pPr>
              <w:jc w:val="right"/>
              <w:ind w:right="6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215,781</w:t>
            </w: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AAC6"/>
              </w:rPr>
              <w:t>Concrete and Aggregates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40,774</w:t>
            </w:r>
          </w:p>
        </w:tc>
        <w:tc>
          <w:tcPr>
            <w:tcW w:w="1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40,774</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77943C"/>
              </w:rPr>
              <w:t>Gypsum Wallboard</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116,618</w:t>
            </w:r>
          </w:p>
        </w:tc>
        <w:tc>
          <w:tcPr>
            <w:tcW w:w="1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116,618</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EB949"/>
              </w:rPr>
              <w:t>Paperboard</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color w:val="auto"/>
              </w:rPr>
              <w:t>7,538</w:t>
            </w:r>
          </w:p>
        </w:tc>
        <w:tc>
          <w:tcPr>
            <w:tcW w:w="180" w:type="dxa"/>
            <w:vAlign w:val="bottom"/>
            <w:tcBorders>
              <w:bottom w:val="single" w:sz="8" w:color="A6A6A6"/>
            </w:tcBorders>
          </w:tcPr>
          <w:p>
            <w:pPr>
              <w:spacing w:after="0"/>
              <w:rPr>
                <w:sz w:val="20"/>
                <w:szCs w:val="20"/>
                <w:color w:val="auto"/>
              </w:rPr>
            </w:pPr>
          </w:p>
        </w:tc>
        <w:tc>
          <w:tcPr>
            <w:tcW w:w="86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7,538</w:t>
            </w:r>
          </w:p>
        </w:tc>
      </w:tr>
      <w:tr>
        <w:trPr>
          <w:trHeight w:val="210"/>
        </w:trPr>
        <w:tc>
          <w:tcPr>
            <w:tcW w:w="772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b w:val="1"/>
                <w:bCs w:val="1"/>
                <w:color w:val="auto"/>
              </w:rPr>
              <w:t>392,569</w:t>
            </w:r>
          </w:p>
        </w:tc>
        <w:tc>
          <w:tcPr>
            <w:tcW w:w="180" w:type="dxa"/>
            <w:vAlign w:val="bottom"/>
          </w:tcPr>
          <w:p>
            <w:pPr>
              <w:spacing w:after="0"/>
              <w:rPr>
                <w:sz w:val="18"/>
                <w:szCs w:val="18"/>
                <w:color w:val="auto"/>
              </w:rPr>
            </w:pPr>
          </w:p>
        </w:tc>
        <w:tc>
          <w:tcPr>
            <w:tcW w:w="860" w:type="dxa"/>
            <w:vAlign w:val="bottom"/>
            <w:tcBorders>
              <w:bottom w:val="single" w:sz="8" w:color="004483"/>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380,711</w:t>
            </w:r>
          </w:p>
        </w:tc>
      </w:tr>
      <w:tr>
        <w:trPr>
          <w:trHeight w:val="20"/>
        </w:trPr>
        <w:tc>
          <w:tcPr>
            <w:tcW w:w="77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r>
    </w:tbl>
    <w:p>
      <w:pPr>
        <w:spacing w:after="0" w:line="89" w:lineRule="exact"/>
        <w:rPr>
          <w:sz w:val="20"/>
          <w:szCs w:val="20"/>
          <w:color w:val="auto"/>
        </w:rPr>
      </w:pPr>
    </w:p>
    <w:p>
      <w:pPr>
        <w:ind w:right="660"/>
        <w:spacing w:after="0" w:line="251"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The summarized financial information includes the total amount of the Joint Venture and not our 50% interest in those amounts: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2280" w:type="dxa"/>
            <w:vAlign w:val="bottom"/>
            <w:gridSpan w:val="3"/>
            <w:shd w:val="clear" w:color="auto" w:fill="004483"/>
          </w:tcPr>
          <w:p>
            <w:pPr>
              <w:jc w:val="center"/>
              <w:ind w:left="168"/>
              <w:spacing w:after="0"/>
              <w:rPr>
                <w:sz w:val="20"/>
                <w:szCs w:val="20"/>
                <w:color w:val="auto"/>
              </w:rPr>
            </w:pPr>
            <w:r>
              <w:rPr>
                <w:rFonts w:ascii="Arial" w:cs="Arial" w:eastAsia="Arial" w:hAnsi="Arial"/>
                <w:sz w:val="13"/>
                <w:szCs w:val="13"/>
                <w:b w:val="1"/>
                <w:bCs w:val="1"/>
                <w:color w:val="FFFFFF"/>
                <w:w w:val="96"/>
              </w:rPr>
              <w:t>For the Years Ended March 31,</w:t>
            </w:r>
          </w:p>
        </w:tc>
        <w:tc>
          <w:tcPr>
            <w:tcW w:w="7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58"/>
        </w:trPr>
        <w:tc>
          <w:tcPr>
            <w:tcW w:w="7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280" w:type="dxa"/>
            <w:vAlign w:val="bottom"/>
            <w:tcBorders>
              <w:bottom w:val="single" w:sz="8" w:color="004483"/>
            </w:tcBorders>
            <w:gridSpan w:val="3"/>
          </w:tcPr>
          <w:p>
            <w:pPr>
              <w:jc w:val="center"/>
              <w:ind w:left="168"/>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004483"/>
              </w:rPr>
              <w:t>Revenue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225,503</w:t>
            </w:r>
          </w:p>
        </w:tc>
        <w:tc>
          <w:tcPr>
            <w:tcW w:w="116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227,565</w:t>
            </w:r>
          </w:p>
        </w:tc>
        <w:tc>
          <w:tcPr>
            <w:tcW w:w="100" w:type="dxa"/>
            <w:vAlign w:val="bottom"/>
          </w:tcPr>
          <w:p>
            <w:pPr>
              <w:spacing w:after="0"/>
              <w:rPr>
                <w:sz w:val="18"/>
                <w:szCs w:val="18"/>
                <w:color w:val="auto"/>
              </w:rPr>
            </w:pPr>
          </w:p>
        </w:tc>
      </w:tr>
      <w:tr>
        <w:trPr>
          <w:trHeight w:val="209"/>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Gross Margin</w:t>
            </w:r>
          </w:p>
        </w:tc>
        <w:tc>
          <w:tcPr>
            <w:tcW w:w="44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71,077</w:t>
            </w:r>
          </w:p>
        </w:tc>
        <w:tc>
          <w:tcPr>
            <w:tcW w:w="120" w:type="dxa"/>
            <w:vAlign w:val="bottom"/>
          </w:tcPr>
          <w:p>
            <w:pPr>
              <w:spacing w:after="0"/>
              <w:rPr>
                <w:sz w:val="18"/>
                <w:szCs w:val="18"/>
                <w:color w:val="auto"/>
              </w:rPr>
            </w:pPr>
          </w:p>
        </w:tc>
        <w:tc>
          <w:tcPr>
            <w:tcW w:w="1040" w:type="dxa"/>
            <w:vAlign w:val="bottom"/>
            <w:tcBorders>
              <w:top w:val="single" w:sz="8" w:color="A6A6A6"/>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77,673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Earnings Before Income Taxes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63,644</w:t>
            </w:r>
          </w:p>
        </w:tc>
        <w:tc>
          <w:tcPr>
            <w:tcW w:w="120" w:type="dxa"/>
            <w:vAlign w:val="bottom"/>
          </w:tcPr>
          <w:p>
            <w:pPr>
              <w:spacing w:after="0"/>
              <w:rPr>
                <w:sz w:val="18"/>
                <w:szCs w:val="18"/>
                <w:color w:val="auto"/>
              </w:rPr>
            </w:pPr>
          </w:p>
        </w:tc>
        <w:tc>
          <w:tcPr>
            <w:tcW w:w="104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71,491</w:t>
            </w:r>
          </w:p>
        </w:tc>
        <w:tc>
          <w:tcPr>
            <w:tcW w:w="10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772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280" w:type="dxa"/>
            <w:vAlign w:val="bottom"/>
            <w:gridSpan w:val="3"/>
            <w:shd w:val="clear" w:color="auto" w:fill="004483"/>
          </w:tcPr>
          <w:p>
            <w:pPr>
              <w:jc w:val="center"/>
              <w:ind w:left="168"/>
              <w:spacing w:after="0"/>
              <w:rPr>
                <w:sz w:val="20"/>
                <w:szCs w:val="20"/>
                <w:color w:val="auto"/>
              </w:rPr>
            </w:pPr>
            <w:r>
              <w:rPr>
                <w:rFonts w:ascii="Arial" w:cs="Arial" w:eastAsia="Arial" w:hAnsi="Arial"/>
                <w:sz w:val="13"/>
                <w:szCs w:val="13"/>
                <w:b w:val="1"/>
                <w:bCs w:val="1"/>
                <w:color w:val="FFFFFF"/>
                <w:w w:val="95"/>
              </w:rPr>
              <w:t>As of March 31,</w:t>
            </w:r>
          </w:p>
        </w:tc>
        <w:tc>
          <w:tcPr>
            <w:tcW w:w="7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280" w:type="dxa"/>
            <w:vAlign w:val="bottom"/>
            <w:tcBorders>
              <w:bottom w:val="single" w:sz="8" w:color="004483"/>
            </w:tcBorders>
            <w:gridSpan w:val="3"/>
          </w:tcPr>
          <w:p>
            <w:pPr>
              <w:jc w:val="center"/>
              <w:ind w:left="168"/>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004483"/>
              </w:rPr>
              <w:t>Current Assets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111,164</w:t>
            </w:r>
          </w:p>
        </w:tc>
        <w:tc>
          <w:tcPr>
            <w:tcW w:w="116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88,562</w:t>
            </w:r>
          </w:p>
        </w:tc>
        <w:tc>
          <w:tcPr>
            <w:tcW w:w="100" w:type="dxa"/>
            <w:vAlign w:val="bottom"/>
          </w:tcPr>
          <w:p>
            <w:pPr>
              <w:spacing w:after="0"/>
              <w:rPr>
                <w:sz w:val="18"/>
                <w:szCs w:val="18"/>
                <w:color w:val="auto"/>
              </w:rPr>
            </w:pPr>
          </w:p>
        </w:tc>
      </w:tr>
      <w:tr>
        <w:trPr>
          <w:trHeight w:val="209"/>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Noncurrent Assets</w:t>
            </w:r>
          </w:p>
        </w:tc>
        <w:tc>
          <w:tcPr>
            <w:tcW w:w="44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158,618</w:t>
            </w:r>
          </w:p>
        </w:tc>
        <w:tc>
          <w:tcPr>
            <w:tcW w:w="120" w:type="dxa"/>
            <w:vAlign w:val="bottom"/>
          </w:tcPr>
          <w:p>
            <w:pPr>
              <w:spacing w:after="0"/>
              <w:rPr>
                <w:sz w:val="18"/>
                <w:szCs w:val="18"/>
                <w:color w:val="auto"/>
              </w:rPr>
            </w:pPr>
          </w:p>
        </w:tc>
        <w:tc>
          <w:tcPr>
            <w:tcW w:w="1040" w:type="dxa"/>
            <w:vAlign w:val="bottom"/>
            <w:tcBorders>
              <w:top w:val="single" w:sz="8" w:color="A6A6A6"/>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124,503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Current Liabilities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27,994</w:t>
            </w:r>
          </w:p>
        </w:tc>
        <w:tc>
          <w:tcPr>
            <w:tcW w:w="120" w:type="dxa"/>
            <w:vAlign w:val="bottom"/>
          </w:tcPr>
          <w:p>
            <w:pPr>
              <w:spacing w:after="0"/>
              <w:rPr>
                <w:sz w:val="18"/>
                <w:szCs w:val="18"/>
                <w:color w:val="auto"/>
              </w:rPr>
            </w:pPr>
          </w:p>
        </w:tc>
        <w:tc>
          <w:tcPr>
            <w:tcW w:w="104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29,434</w:t>
            </w:r>
          </w:p>
        </w:tc>
        <w:tc>
          <w:tcPr>
            <w:tcW w:w="100" w:type="dxa"/>
            <w:vAlign w:val="bottom"/>
          </w:tcPr>
          <w:p>
            <w:pPr>
              <w:spacing w:after="0"/>
              <w:rPr>
                <w:sz w:val="18"/>
                <w:szCs w:val="18"/>
                <w:color w:val="auto"/>
              </w:rPr>
            </w:pPr>
          </w:p>
        </w:tc>
      </w:tr>
    </w:tbl>
    <w:p>
      <w:pPr>
        <w:spacing w:after="0" w:line="3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May 1, 2024, the Company and HM Southeast Cement LLC, a subsidiary of Heidelberg Materials, (our Joint Venture Partner) entered into a put option agreement (Put Option Agreement) that provides for the grant of reciprocal put options by the parties with respect to their 50% partnership interests in the Joint Venture. If the Company or our Joint Venture Partner exercises its put option under the Put Option Agreement, the other party is required to purchase the 50% partnership interest held by the exercising party for approximately $550.0 million, subject to certain customary adjustments. The put option can only be exercised in the event of a triggering event, which is defined as the entry by the exercising party into a binding and effective outside purchase agreement. An outside purchase agreement is a definitive agreement for the purchase of assets or operations to be used in the production or sale of grey cement products or slag in the Joint Venture market area for total consideration equal to or greater than $1 billion. The Put Option Agreement is effective for 15 months, and expires on August 1,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includes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920" w:type="dxa"/>
            <w:vAlign w:val="bottom"/>
            <w:shd w:val="clear" w:color="auto" w:fill="004483"/>
          </w:tcPr>
          <w:p>
            <w:pPr>
              <w:spacing w:after="0"/>
              <w:rPr>
                <w:sz w:val="14"/>
                <w:szCs w:val="14"/>
                <w:color w:val="auto"/>
              </w:rPr>
            </w:pPr>
          </w:p>
        </w:tc>
        <w:tc>
          <w:tcPr>
            <w:tcW w:w="1860" w:type="dxa"/>
            <w:vAlign w:val="bottom"/>
            <w:gridSpan w:val="5"/>
            <w:shd w:val="clear" w:color="auto" w:fill="004483"/>
          </w:tcPr>
          <w:p>
            <w:pPr>
              <w:spacing w:after="0"/>
              <w:rPr>
                <w:sz w:val="20"/>
                <w:szCs w:val="20"/>
                <w:color w:val="auto"/>
              </w:rPr>
            </w:pPr>
            <w:r>
              <w:rPr>
                <w:rFonts w:ascii="Arial" w:cs="Arial" w:eastAsia="Arial" w:hAnsi="Arial"/>
                <w:sz w:val="13"/>
                <w:szCs w:val="13"/>
                <w:b w:val="1"/>
                <w:bCs w:val="1"/>
                <w:color w:val="FFFFFF"/>
                <w:w w:val="96"/>
              </w:rPr>
              <w:t>For the Years Ended March 31,</w:t>
            </w:r>
          </w:p>
        </w:tc>
        <w:tc>
          <w:tcPr>
            <w:tcW w:w="400" w:type="dxa"/>
            <w:vAlign w:val="bottom"/>
            <w:shd w:val="clear" w:color="auto" w:fill="004483"/>
          </w:tcPr>
          <w:p>
            <w:pPr>
              <w:spacing w:after="0"/>
              <w:rPr>
                <w:sz w:val="14"/>
                <w:szCs w:val="14"/>
                <w:color w:val="auto"/>
              </w:rPr>
            </w:pPr>
          </w:p>
        </w:tc>
        <w:tc>
          <w:tcPr>
            <w:tcW w:w="102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9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4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Current Provision</w:t>
            </w:r>
          </w:p>
        </w:tc>
        <w:tc>
          <w:tcPr>
            <w:tcW w:w="42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Federal</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111,690</w:t>
            </w:r>
          </w:p>
        </w:tc>
        <w:tc>
          <w:tcPr>
            <w:tcW w:w="700" w:type="dxa"/>
            <w:vAlign w:val="bottom"/>
            <w:tcBorders>
              <w:bottom w:val="single" w:sz="8" w:color="A6A6A6"/>
            </w:tcBorders>
            <w:gridSpan w:val="3"/>
          </w:tcPr>
          <w:p>
            <w:pPr>
              <w:ind w:left="3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103,940</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87,626</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State</w:t>
            </w:r>
          </w:p>
        </w:tc>
        <w:tc>
          <w:tcPr>
            <w:tcW w:w="42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20,689</w:t>
            </w:r>
          </w:p>
        </w:tc>
        <w:tc>
          <w:tcPr>
            <w:tcW w:w="12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18,520</w:t>
            </w:r>
          </w:p>
        </w:tc>
        <w:tc>
          <w:tcPr>
            <w:tcW w:w="16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6,924</w:t>
            </w:r>
          </w:p>
        </w:tc>
      </w:tr>
      <w:tr>
        <w:trPr>
          <w:trHeight w:val="209"/>
        </w:trPr>
        <w:tc>
          <w:tcPr>
            <w:tcW w:w="66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132,379</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122,460</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94,550</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Deferred Provision (Benefit)</w:t>
            </w:r>
          </w:p>
        </w:tc>
        <w:tc>
          <w:tcPr>
            <w:tcW w:w="42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r>
      <w:tr>
        <w:trPr>
          <w:trHeight w:val="209"/>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Federal</w:t>
            </w:r>
          </w:p>
        </w:tc>
        <w:tc>
          <w:tcPr>
            <w:tcW w:w="42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5,607</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11,321</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3,491</w:t>
            </w:r>
          </w:p>
        </w:tc>
      </w:tr>
      <w:tr>
        <w:trPr>
          <w:trHeight w:val="237"/>
        </w:trPr>
        <w:tc>
          <w:tcPr>
            <w:tcW w:w="6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State</w:t>
            </w:r>
          </w:p>
        </w:tc>
        <w:tc>
          <w:tcPr>
            <w:tcW w:w="42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(6,728 )</w:t>
            </w:r>
          </w:p>
        </w:tc>
        <w:tc>
          <w:tcPr>
            <w:tcW w:w="16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2,806</w:t>
            </w:r>
          </w:p>
        </w:tc>
      </w:tr>
      <w:tr>
        <w:trPr>
          <w:trHeight w:val="237"/>
        </w:trPr>
        <w:tc>
          <w:tcPr>
            <w:tcW w:w="662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7,919</w:t>
            </w:r>
          </w:p>
        </w:tc>
        <w:tc>
          <w:tcPr>
            <w:tcW w:w="12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4,593</w:t>
            </w:r>
          </w:p>
        </w:tc>
        <w:tc>
          <w:tcPr>
            <w:tcW w:w="16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6,297</w:t>
            </w: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b w:val="1"/>
                <w:bCs w:val="1"/>
                <w:color w:val="004483"/>
              </w:rPr>
              <w:t>Provision for Income Taxes</w:t>
            </w: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140,298</w:t>
            </w:r>
          </w:p>
        </w:tc>
        <w:tc>
          <w:tcPr>
            <w:tcW w:w="12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127,053</w:t>
            </w:r>
          </w:p>
        </w:tc>
        <w:tc>
          <w:tcPr>
            <w:tcW w:w="16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100,847</w:t>
            </w:r>
          </w:p>
        </w:tc>
      </w:tr>
      <w:tr>
        <w:trPr>
          <w:trHeight w:val="20"/>
        </w:trPr>
        <w:tc>
          <w:tcPr>
            <w:tcW w:w="66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vary from the federal statutory rates due to the following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80" w:type="dxa"/>
            <w:vAlign w:val="bottom"/>
            <w:gridSpan w:val="5"/>
            <w:shd w:val="clear" w:color="auto" w:fill="004483"/>
          </w:tcPr>
          <w:p>
            <w:pPr>
              <w:jc w:val="right"/>
              <w:ind w:right="40"/>
              <w:spacing w:after="0"/>
              <w:rPr>
                <w:sz w:val="20"/>
                <w:szCs w:val="20"/>
                <w:color w:val="auto"/>
              </w:rPr>
            </w:pPr>
            <w:r>
              <w:rPr>
                <w:rFonts w:ascii="Arial" w:cs="Arial" w:eastAsia="Arial" w:hAnsi="Arial"/>
                <w:sz w:val="13"/>
                <w:szCs w:val="13"/>
                <w:b w:val="1"/>
                <w:bCs w:val="1"/>
                <w:color w:val="FFFFFF"/>
              </w:rPr>
              <w:t>For the Years Ended March 31,</w:t>
            </w:r>
          </w:p>
        </w:tc>
        <w:tc>
          <w:tcPr>
            <w:tcW w:w="400" w:type="dxa"/>
            <w:vAlign w:val="bottom"/>
            <w:shd w:val="clear" w:color="auto" w:fill="004483"/>
          </w:tcPr>
          <w:p>
            <w:pPr>
              <w:spacing w:after="0"/>
              <w:rPr>
                <w:sz w:val="14"/>
                <w:szCs w:val="14"/>
                <w:color w:val="auto"/>
              </w:rPr>
            </w:pPr>
          </w:p>
        </w:tc>
        <w:tc>
          <w:tcPr>
            <w:tcW w:w="1020" w:type="dxa"/>
            <w:vAlign w:val="bottom"/>
            <w:shd w:val="clear" w:color="auto" w:fill="004483"/>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6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42"/>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r>
      <w:tr>
        <w:trPr>
          <w:trHeight w:val="187"/>
        </w:trPr>
        <w:tc>
          <w:tcPr>
            <w:tcW w:w="66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20"/>
              <w:spacing w:after="0"/>
              <w:rPr>
                <w:sz w:val="20"/>
                <w:szCs w:val="20"/>
                <w:color w:val="auto"/>
              </w:rPr>
            </w:pPr>
            <w:r>
              <w:rPr>
                <w:rFonts w:ascii="Arial" w:cs="Arial" w:eastAsia="Arial" w:hAnsi="Arial"/>
                <w:sz w:val="13"/>
                <w:szCs w:val="13"/>
                <w:color w:val="auto"/>
              </w:rPr>
              <w:t>(dollars in thousands)</w:t>
            </w:r>
          </w:p>
        </w:tc>
        <w:tc>
          <w:tcPr>
            <w:tcW w:w="4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6"/>
                <w:szCs w:val="16"/>
                <w:b w:val="1"/>
                <w:bCs w:val="1"/>
                <w:color w:val="004483"/>
              </w:rPr>
              <w:t>Earnings Before Income Taxes</w:t>
            </w:r>
          </w:p>
        </w:tc>
        <w:tc>
          <w:tcPr>
            <w:tcW w:w="44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617,937</w:t>
            </w:r>
          </w:p>
        </w:tc>
        <w:tc>
          <w:tcPr>
            <w:tcW w:w="180" w:type="dxa"/>
            <w:vAlign w:val="bottom"/>
          </w:tcPr>
          <w:p>
            <w:pPr>
              <w:spacing w:after="0"/>
              <w:rPr>
                <w:sz w:val="18"/>
                <w:szCs w:val="18"/>
                <w:color w:val="auto"/>
              </w:rPr>
            </w:pPr>
          </w:p>
        </w:tc>
        <w:tc>
          <w:tcPr>
            <w:tcW w:w="4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588,593</w:t>
            </w:r>
          </w:p>
        </w:tc>
        <w:tc>
          <w:tcPr>
            <w:tcW w:w="16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475,094</w:t>
            </w:r>
          </w:p>
        </w:tc>
        <w:tc>
          <w:tcPr>
            <w:tcW w:w="40" w:type="dxa"/>
            <w:vAlign w:val="bottom"/>
          </w:tcPr>
          <w:p>
            <w:pPr>
              <w:spacing w:after="0"/>
              <w:rPr>
                <w:sz w:val="18"/>
                <w:szCs w:val="18"/>
                <w:color w:val="auto"/>
              </w:rPr>
            </w:pPr>
          </w:p>
        </w:tc>
      </w:tr>
      <w:tr>
        <w:trPr>
          <w:trHeight w:val="20"/>
        </w:trPr>
        <w:tc>
          <w:tcPr>
            <w:tcW w:w="660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Income Taxes at Statutory Rate</w:t>
            </w:r>
          </w:p>
        </w:tc>
        <w:tc>
          <w:tcPr>
            <w:tcW w:w="44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129,766</w:t>
            </w:r>
          </w:p>
        </w:tc>
        <w:tc>
          <w:tcPr>
            <w:tcW w:w="1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123,605</w:t>
            </w:r>
          </w:p>
        </w:tc>
        <w:tc>
          <w:tcPr>
            <w:tcW w:w="16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99,770</w:t>
            </w:r>
          </w:p>
        </w:tc>
        <w:tc>
          <w:tcPr>
            <w:tcW w:w="40" w:type="dxa"/>
            <w:vAlign w:val="bottom"/>
          </w:tcPr>
          <w:p>
            <w:pPr>
              <w:spacing w:after="0"/>
              <w:rPr>
                <w:sz w:val="17"/>
                <w:szCs w:val="17"/>
                <w:color w:val="auto"/>
              </w:rPr>
            </w:pPr>
          </w:p>
        </w:tc>
      </w:tr>
      <w:tr>
        <w:trPr>
          <w:trHeight w:val="210"/>
        </w:trPr>
        <w:tc>
          <w:tcPr>
            <w:tcW w:w="6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Increases (Decreases) in Tax Resulting from</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State Income Taxes, net</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18,172</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16,821</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12,743</w:t>
            </w:r>
          </w:p>
        </w:tc>
        <w:tc>
          <w:tcPr>
            <w:tcW w:w="40" w:type="dxa"/>
            <w:vAlign w:val="bottom"/>
          </w:tcPr>
          <w:p>
            <w:pPr>
              <w:spacing w:after="0"/>
              <w:rPr>
                <w:sz w:val="18"/>
                <w:szCs w:val="18"/>
                <w:color w:val="auto"/>
              </w:rPr>
            </w:pPr>
          </w:p>
        </w:tc>
      </w:tr>
      <w:tr>
        <w:trPr>
          <w:trHeight w:val="209"/>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Statutory Depletion in Excess of Cost</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(9,883 )</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(8,253 )</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(7,796 )</w:t>
            </w:r>
          </w:p>
        </w:tc>
        <w:tc>
          <w:tcPr>
            <w:tcW w:w="40" w:type="dxa"/>
            <w:vAlign w:val="bottom"/>
          </w:tcPr>
          <w:p>
            <w:pPr>
              <w:spacing w:after="0"/>
              <w:rPr>
                <w:sz w:val="18"/>
                <w:szCs w:val="18"/>
                <w:color w:val="auto"/>
              </w:rPr>
            </w:pPr>
          </w:p>
        </w:tc>
      </w:tr>
      <w:tr>
        <w:trPr>
          <w:trHeight w:val="210"/>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Excess Tax Benefit from Stock Compensation</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(5,417 )</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(1,593 )</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(3,048 )</w:t>
            </w:r>
          </w:p>
        </w:tc>
        <w:tc>
          <w:tcPr>
            <w:tcW w:w="40" w:type="dxa"/>
            <w:vAlign w:val="bottom"/>
          </w:tcPr>
          <w:p>
            <w:pPr>
              <w:spacing w:after="0"/>
              <w:rPr>
                <w:sz w:val="18"/>
                <w:szCs w:val="18"/>
                <w:color w:val="auto"/>
              </w:rPr>
            </w:pPr>
          </w:p>
        </w:tc>
      </w:tr>
      <w:tr>
        <w:trPr>
          <w:trHeight w:val="210"/>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Meals and Entertainment Disallowance</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524</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484</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279</w:t>
            </w:r>
          </w:p>
        </w:tc>
        <w:tc>
          <w:tcPr>
            <w:tcW w:w="40" w:type="dxa"/>
            <w:vAlign w:val="bottom"/>
          </w:tcPr>
          <w:p>
            <w:pPr>
              <w:spacing w:after="0"/>
              <w:rPr>
                <w:sz w:val="18"/>
                <w:szCs w:val="18"/>
                <w:color w:val="auto"/>
              </w:rPr>
            </w:pPr>
          </w:p>
        </w:tc>
      </w:tr>
      <w:tr>
        <w:trPr>
          <w:trHeight w:val="209"/>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Limitation on Officer's Compensation</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6,513</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3,009</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2,568</w:t>
            </w:r>
          </w:p>
        </w:tc>
        <w:tc>
          <w:tcPr>
            <w:tcW w:w="40" w:type="dxa"/>
            <w:vAlign w:val="bottom"/>
          </w:tcPr>
          <w:p>
            <w:pPr>
              <w:spacing w:after="0"/>
              <w:rPr>
                <w:sz w:val="18"/>
                <w:szCs w:val="18"/>
                <w:color w:val="auto"/>
              </w:rPr>
            </w:pPr>
          </w:p>
        </w:tc>
      </w:tr>
      <w:tr>
        <w:trPr>
          <w:trHeight w:val="210"/>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Valuation Allowance</w:t>
            </w:r>
          </w:p>
        </w:tc>
        <w:tc>
          <w:tcPr>
            <w:tcW w:w="4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500</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(7,205 )</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(4,556 )</w:t>
            </w:r>
          </w:p>
        </w:tc>
        <w:tc>
          <w:tcPr>
            <w:tcW w:w="40" w:type="dxa"/>
            <w:vAlign w:val="bottom"/>
          </w:tcPr>
          <w:p>
            <w:pPr>
              <w:spacing w:after="0"/>
              <w:rPr>
                <w:sz w:val="18"/>
                <w:szCs w:val="18"/>
                <w:color w:val="auto"/>
              </w:rPr>
            </w:pPr>
          </w:p>
        </w:tc>
      </w:tr>
      <w:tr>
        <w:trPr>
          <w:trHeight w:val="237"/>
        </w:trPr>
        <w:tc>
          <w:tcPr>
            <w:tcW w:w="6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w:t>
            </w:r>
          </w:p>
        </w:tc>
        <w:tc>
          <w:tcPr>
            <w:tcW w:w="4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color w:val="auto"/>
              </w:rPr>
              <w:t>123</w:t>
            </w:r>
          </w:p>
        </w:tc>
        <w:tc>
          <w:tcPr>
            <w:tcW w:w="18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185</w:t>
            </w:r>
          </w:p>
        </w:tc>
        <w:tc>
          <w:tcPr>
            <w:tcW w:w="16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color w:val="auto"/>
              </w:rPr>
              <w:t>887</w:t>
            </w:r>
          </w:p>
        </w:tc>
        <w:tc>
          <w:tcPr>
            <w:tcW w:w="40" w:type="dxa"/>
            <w:vAlign w:val="bottom"/>
          </w:tcPr>
          <w:p>
            <w:pPr>
              <w:spacing w:after="0"/>
              <w:rPr>
                <w:sz w:val="20"/>
                <w:szCs w:val="20"/>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b w:val="1"/>
                <w:bCs w:val="1"/>
                <w:color w:val="004483"/>
              </w:rPr>
              <w:t>Provision for Income Taxes</w:t>
            </w:r>
          </w:p>
        </w:tc>
        <w:tc>
          <w:tcPr>
            <w:tcW w:w="44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04483"/>
            </w:tcBorders>
          </w:tcPr>
          <w:p>
            <w:pPr>
              <w:jc w:val="right"/>
              <w:ind w:right="42"/>
              <w:spacing w:after="0"/>
              <w:rPr>
                <w:sz w:val="20"/>
                <w:szCs w:val="20"/>
                <w:color w:val="auto"/>
              </w:rPr>
            </w:pPr>
            <w:r>
              <w:rPr>
                <w:rFonts w:ascii="Arial" w:cs="Arial" w:eastAsia="Arial" w:hAnsi="Arial"/>
                <w:sz w:val="16"/>
                <w:szCs w:val="16"/>
                <w:b w:val="1"/>
                <w:bCs w:val="1"/>
                <w:color w:val="auto"/>
              </w:rPr>
              <w:t>140,298</w:t>
            </w:r>
          </w:p>
        </w:tc>
        <w:tc>
          <w:tcPr>
            <w:tcW w:w="180" w:type="dxa"/>
            <w:vAlign w:val="bottom"/>
          </w:tcPr>
          <w:p>
            <w:pPr>
              <w:spacing w:after="0"/>
              <w:rPr>
                <w:sz w:val="18"/>
                <w:szCs w:val="18"/>
                <w:color w:val="auto"/>
              </w:rPr>
            </w:pPr>
          </w:p>
        </w:tc>
        <w:tc>
          <w:tcPr>
            <w:tcW w:w="4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127,053</w:t>
            </w:r>
          </w:p>
        </w:tc>
        <w:tc>
          <w:tcPr>
            <w:tcW w:w="16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100,847</w:t>
            </w:r>
          </w:p>
        </w:tc>
        <w:tc>
          <w:tcPr>
            <w:tcW w:w="40" w:type="dxa"/>
            <w:vAlign w:val="bottom"/>
          </w:tcPr>
          <w:p>
            <w:pPr>
              <w:spacing w:after="0"/>
              <w:rPr>
                <w:sz w:val="18"/>
                <w:szCs w:val="18"/>
                <w:color w:val="auto"/>
              </w:rPr>
            </w:pPr>
          </w:p>
        </w:tc>
      </w:tr>
      <w:tr>
        <w:trPr>
          <w:trHeight w:val="20"/>
        </w:trPr>
        <w:tc>
          <w:tcPr>
            <w:tcW w:w="660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b w:val="1"/>
                <w:bCs w:val="1"/>
                <w:color w:val="004483"/>
              </w:rPr>
              <w:t>Effective Tax Rate</w:t>
            </w:r>
          </w:p>
        </w:tc>
        <w:tc>
          <w:tcPr>
            <w:tcW w:w="4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23 %</w:t>
            </w:r>
          </w:p>
        </w:tc>
        <w:tc>
          <w:tcPr>
            <w:tcW w:w="4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22 %</w:t>
            </w:r>
          </w:p>
        </w:tc>
        <w:tc>
          <w:tcPr>
            <w:tcW w:w="4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21 %</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88" w:name="page89"/>
    <w:bookmarkEnd w:id="8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deferred income taxes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500" w:type="dxa"/>
            <w:vAlign w:val="bottom"/>
            <w:shd w:val="clear" w:color="auto" w:fill="004483"/>
          </w:tcPr>
          <w:p>
            <w:pPr>
              <w:spacing w:after="0"/>
              <w:rPr>
                <w:sz w:val="14"/>
                <w:szCs w:val="14"/>
                <w:color w:val="auto"/>
              </w:rPr>
            </w:pPr>
          </w:p>
        </w:tc>
        <w:tc>
          <w:tcPr>
            <w:tcW w:w="2040" w:type="dxa"/>
            <w:vAlign w:val="bottom"/>
            <w:gridSpan w:val="3"/>
            <w:shd w:val="clear" w:color="auto" w:fill="004483"/>
          </w:tcPr>
          <w:p>
            <w:pPr>
              <w:jc w:val="right"/>
              <w:ind w:right="459"/>
              <w:spacing w:after="0"/>
              <w:rPr>
                <w:sz w:val="20"/>
                <w:szCs w:val="20"/>
                <w:color w:val="auto"/>
              </w:rPr>
            </w:pPr>
            <w:r>
              <w:rPr>
                <w:rFonts w:ascii="Arial" w:cs="Arial" w:eastAsia="Arial" w:hAnsi="Arial"/>
                <w:sz w:val="13"/>
                <w:szCs w:val="13"/>
                <w:b w:val="1"/>
                <w:bCs w:val="1"/>
                <w:color w:val="FFFFFF"/>
              </w:rPr>
              <w:t>March 31,</w:t>
            </w:r>
          </w:p>
        </w:tc>
        <w:tc>
          <w:tcPr>
            <w:tcW w:w="98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jc w:val="right"/>
              <w:ind w:right="62"/>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500" w:type="dxa"/>
            <w:vAlign w:val="bottom"/>
            <w:tcBorders>
              <w:bottom w:val="single" w:sz="8" w:color="004483"/>
            </w:tcBorders>
          </w:tcPr>
          <w:p>
            <w:pPr>
              <w:spacing w:after="0"/>
              <w:rPr>
                <w:sz w:val="16"/>
                <w:szCs w:val="16"/>
                <w:color w:val="auto"/>
              </w:rPr>
            </w:pPr>
          </w:p>
        </w:tc>
        <w:tc>
          <w:tcPr>
            <w:tcW w:w="2040" w:type="dxa"/>
            <w:vAlign w:val="bottom"/>
            <w:tcBorders>
              <w:bottom w:val="single" w:sz="8" w:color="004483"/>
            </w:tcBorders>
            <w:gridSpan w:val="3"/>
          </w:tcPr>
          <w:p>
            <w:pPr>
              <w:jc w:val="right"/>
              <w:ind w:right="159"/>
              <w:spacing w:after="0"/>
              <w:rPr>
                <w:sz w:val="20"/>
                <w:szCs w:val="20"/>
                <w:color w:val="auto"/>
              </w:rPr>
            </w:pPr>
            <w:r>
              <w:rPr>
                <w:rFonts w:ascii="Arial" w:cs="Arial" w:eastAsia="Arial" w:hAnsi="Arial"/>
                <w:sz w:val="13"/>
                <w:szCs w:val="13"/>
                <w:color w:val="auto"/>
              </w:rPr>
              <w:t>(dollars in thousands)</w:t>
            </w:r>
          </w:p>
        </w:tc>
        <w:tc>
          <w:tcPr>
            <w:tcW w:w="98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Items Giving Rise to Deferred Tax Liabilities</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Excess Tax Depreciation and Amortization</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(260,577 )</w:t>
            </w:r>
          </w:p>
        </w:tc>
        <w:tc>
          <w:tcPr>
            <w:tcW w:w="860" w:type="dxa"/>
            <w:vAlign w:val="bottom"/>
            <w:tcBorders>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(253,541 )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Investment in Joint Venture Basis Differences</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(4,294 )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(8,744 )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Depletable Assets</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(7,710 )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(3,876 )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Right-of-Use Assets</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(4,774 )</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(5,202 )</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Inventory</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(406 )</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w:t>
            </w:r>
          </w:p>
        </w:tc>
        <w:tc>
          <w:tcPr>
            <w:tcW w:w="500" w:type="dxa"/>
            <w:vAlign w:val="bottom"/>
            <w:tcBorders>
              <w:bottom w:val="single" w:sz="8" w:color="004483"/>
            </w:tcBorders>
          </w:tcPr>
          <w:p>
            <w:pPr>
              <w:spacing w:after="0"/>
              <w:rPr>
                <w:sz w:val="20"/>
                <w:szCs w:val="20"/>
                <w:color w:val="auto"/>
              </w:rPr>
            </w:pP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(2,956 )</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(2,908 )</w:t>
            </w:r>
          </w:p>
        </w:tc>
      </w:tr>
      <w:tr>
        <w:trPr>
          <w:trHeight w:val="209"/>
        </w:trPr>
        <w:tc>
          <w:tcPr>
            <w:tcW w:w="7720" w:type="dxa"/>
            <w:vAlign w:val="bottom"/>
          </w:tcPr>
          <w:p>
            <w:pPr>
              <w:ind w:left="200"/>
              <w:spacing w:after="0"/>
              <w:rPr>
                <w:sz w:val="20"/>
                <w:szCs w:val="20"/>
                <w:color w:val="auto"/>
              </w:rPr>
            </w:pPr>
            <w:r>
              <w:rPr>
                <w:rFonts w:ascii="Arial" w:cs="Arial" w:eastAsia="Arial" w:hAnsi="Arial"/>
                <w:sz w:val="16"/>
                <w:szCs w:val="16"/>
                <w:b w:val="1"/>
                <w:bCs w:val="1"/>
                <w:color w:val="auto"/>
              </w:rPr>
              <w:t>Total Deferred Tax Liabilities</w:t>
            </w: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(280,311 )</w:t>
            </w:r>
          </w:p>
        </w:tc>
        <w:tc>
          <w:tcPr>
            <w:tcW w:w="18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(274,677 )</w:t>
            </w: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9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Items Giving Rise to Deferred Tax Assets</w:t>
            </w:r>
          </w:p>
        </w:tc>
        <w:tc>
          <w:tcPr>
            <w:tcW w:w="500" w:type="dxa"/>
            <w:vAlign w:val="bottom"/>
            <w:tcBorders>
              <w:bottom w:val="single" w:sz="8" w:color="A6A6A6"/>
            </w:tcBorders>
          </w:tcPr>
          <w:p>
            <w:pPr>
              <w:spacing w:after="0"/>
              <w:rPr>
                <w:sz w:val="17"/>
                <w:szCs w:val="17"/>
                <w:color w:val="auto"/>
              </w:rPr>
            </w:pPr>
          </w:p>
        </w:tc>
        <w:tc>
          <w:tcPr>
            <w:tcW w:w="118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Change in Accruals</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13,313</w:t>
            </w:r>
          </w:p>
        </w:tc>
        <w:tc>
          <w:tcPr>
            <w:tcW w:w="860" w:type="dxa"/>
            <w:vAlign w:val="bottom"/>
            <w:tcBorders>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12,886</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Bad Debts</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1,621</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1,662</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Long-term Incentive Compensation Plan</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3,622</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3,515</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Credits and Other Carryforwards</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11,466</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12,995</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Lease Liability</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6,598</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7,647</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Inventory</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307</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Pension</w:t>
            </w:r>
          </w:p>
        </w:tc>
        <w:tc>
          <w:tcPr>
            <w:tcW w:w="500" w:type="dxa"/>
            <w:vAlign w:val="bottom"/>
            <w:tcBorders>
              <w:bottom w:val="single" w:sz="8" w:color="004483"/>
            </w:tcBorders>
          </w:tcPr>
          <w:p>
            <w:pPr>
              <w:spacing w:after="0"/>
              <w:rPr>
                <w:sz w:val="20"/>
                <w:szCs w:val="20"/>
                <w:color w:val="auto"/>
              </w:rPr>
            </w:pPr>
          </w:p>
        </w:tc>
        <w:tc>
          <w:tcPr>
            <w:tcW w:w="11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1,087</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1,128</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Subtotal</w:t>
            </w:r>
          </w:p>
        </w:tc>
        <w:tc>
          <w:tcPr>
            <w:tcW w:w="5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38,014</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39,833</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Valuation Allowance</w:t>
            </w:r>
          </w:p>
        </w:tc>
        <w:tc>
          <w:tcPr>
            <w:tcW w:w="500" w:type="dxa"/>
            <w:vAlign w:val="bottom"/>
            <w:tcBorders>
              <w:bottom w:val="single" w:sz="8" w:color="004483"/>
            </w:tcBorders>
          </w:tcPr>
          <w:p>
            <w:pPr>
              <w:spacing w:after="0"/>
              <w:rPr>
                <w:sz w:val="20"/>
                <w:szCs w:val="20"/>
                <w:color w:val="auto"/>
              </w:rPr>
            </w:pP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(2,500 )</w:t>
            </w:r>
          </w:p>
        </w:tc>
        <w:tc>
          <w:tcPr>
            <w:tcW w:w="18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(2,000 )</w:t>
            </w:r>
          </w:p>
        </w:tc>
      </w:tr>
      <w:tr>
        <w:trPr>
          <w:trHeight w:val="210"/>
        </w:trPr>
        <w:tc>
          <w:tcPr>
            <w:tcW w:w="7720" w:type="dxa"/>
            <w:vAlign w:val="bottom"/>
          </w:tcPr>
          <w:p>
            <w:pPr>
              <w:ind w:left="200"/>
              <w:spacing w:after="0"/>
              <w:rPr>
                <w:sz w:val="20"/>
                <w:szCs w:val="20"/>
                <w:color w:val="auto"/>
              </w:rPr>
            </w:pPr>
            <w:r>
              <w:rPr>
                <w:rFonts w:ascii="Arial" w:cs="Arial" w:eastAsia="Arial" w:hAnsi="Arial"/>
                <w:sz w:val="16"/>
                <w:szCs w:val="16"/>
                <w:b w:val="1"/>
                <w:bCs w:val="1"/>
                <w:color w:val="auto"/>
              </w:rPr>
              <w:t>Total Deferred Tax Assets</w:t>
            </w: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35,514</w:t>
            </w:r>
          </w:p>
        </w:tc>
        <w:tc>
          <w:tcPr>
            <w:tcW w:w="18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37,833</w:t>
            </w:r>
          </w:p>
        </w:tc>
      </w:tr>
      <w:tr>
        <w:trPr>
          <w:trHeight w:val="20"/>
        </w:trPr>
        <w:tc>
          <w:tcPr>
            <w:tcW w:w="77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6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had state net operating loss carryforwards of $1.6 million at March 31, 2024, compared with $2.3 million at March 31, 2023, net of Valuation Allowance. We had state income tax credit carryforwards of $9.9 million at March 31, 2024, compared with $10.7 million at March 31, 2023, net of Valuation Allowance. The state income tax credits may be carried forward indefinitely.</w:t>
      </w:r>
    </w:p>
    <w:p>
      <w:pPr>
        <w:spacing w:after="0" w:line="61"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file income tax returns in U.S. federal and various state jurisdictions. The Company is currently subject to U.S. federal income tax examinations for the year ended March 31, 2019, and forward.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4483"/>
        </w:rPr>
        <w:t>Uncertain Tax Positions</w:t>
      </w:r>
    </w:p>
    <w:p>
      <w:pPr>
        <w:spacing w:after="0" w:line="10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6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We review and assess all tax positions subject to uncertainty on a more-likely-than-not standard with respect to the ultimate outcome if challenged. We measure and record tax benefit or expense only when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more-likely-than-not threshold is met. The change in unrecognized tax benefits for the years ended March 31, 2024, 2023, and 2022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520" w:type="dxa"/>
            <w:vAlign w:val="bottom"/>
            <w:shd w:val="clear" w:color="auto" w:fill="004483"/>
          </w:tcPr>
          <w:p>
            <w:pPr>
              <w:spacing w:after="0"/>
              <w:rPr>
                <w:sz w:val="14"/>
                <w:szCs w:val="14"/>
                <w:color w:val="auto"/>
              </w:rPr>
            </w:pPr>
          </w:p>
        </w:tc>
        <w:tc>
          <w:tcPr>
            <w:tcW w:w="820" w:type="dxa"/>
            <w:vAlign w:val="bottom"/>
            <w:shd w:val="clear" w:color="auto" w:fill="004483"/>
          </w:tcPr>
          <w:p>
            <w:pPr>
              <w:spacing w:after="0"/>
              <w:rPr>
                <w:sz w:val="14"/>
                <w:szCs w:val="14"/>
                <w:color w:val="auto"/>
              </w:rPr>
            </w:pPr>
          </w:p>
        </w:tc>
        <w:tc>
          <w:tcPr>
            <w:tcW w:w="1860" w:type="dxa"/>
            <w:vAlign w:val="bottom"/>
            <w:gridSpan w:val="6"/>
            <w:shd w:val="clear" w:color="auto" w:fill="004483"/>
          </w:tcPr>
          <w:p>
            <w:pPr>
              <w:jc w:val="center"/>
              <w:spacing w:after="0"/>
              <w:rPr>
                <w:sz w:val="20"/>
                <w:szCs w:val="20"/>
                <w:color w:val="auto"/>
              </w:rPr>
            </w:pPr>
            <w:r>
              <w:rPr>
                <w:rFonts w:ascii="Arial" w:cs="Arial" w:eastAsia="Arial" w:hAnsi="Arial"/>
                <w:sz w:val="13"/>
                <w:szCs w:val="13"/>
                <w:b w:val="1"/>
                <w:bCs w:val="1"/>
                <w:color w:val="FFFFFF"/>
                <w:w w:val="95"/>
              </w:rPr>
              <w:t>For the Years Ended March 31,</w:t>
            </w:r>
          </w:p>
        </w:tc>
        <w:tc>
          <w:tcPr>
            <w:tcW w:w="520" w:type="dxa"/>
            <w:vAlign w:val="bottom"/>
            <w:shd w:val="clear" w:color="auto" w:fill="004483"/>
          </w:tcPr>
          <w:p>
            <w:pPr>
              <w:spacing w:after="0"/>
              <w:rPr>
                <w:sz w:val="14"/>
                <w:szCs w:val="14"/>
                <w:color w:val="auto"/>
              </w:rPr>
            </w:pPr>
          </w:p>
        </w:tc>
        <w:tc>
          <w:tcPr>
            <w:tcW w:w="8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6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7"/>
        </w:trPr>
        <w:tc>
          <w:tcPr>
            <w:tcW w:w="6600" w:type="dxa"/>
            <w:vAlign w:val="bottom"/>
            <w:tcBorders>
              <w:bottom w:val="single" w:sz="8" w:color="004483"/>
            </w:tcBorders>
          </w:tcPr>
          <w:p>
            <w:pPr>
              <w:spacing w:after="0"/>
              <w:rPr>
                <w:sz w:val="16"/>
                <w:szCs w:val="16"/>
                <w:color w:val="auto"/>
              </w:rPr>
            </w:pPr>
          </w:p>
        </w:tc>
        <w:tc>
          <w:tcPr>
            <w:tcW w:w="52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4"/>
          </w:tcPr>
          <w:p>
            <w:pPr>
              <w:jc w:val="center"/>
              <w:ind w:right="280"/>
              <w:spacing w:after="0"/>
              <w:rPr>
                <w:sz w:val="20"/>
                <w:szCs w:val="20"/>
                <w:color w:val="auto"/>
              </w:rPr>
            </w:pPr>
            <w:r>
              <w:rPr>
                <w:rFonts w:ascii="Arial" w:cs="Arial" w:eastAsia="Arial" w:hAnsi="Arial"/>
                <w:sz w:val="13"/>
                <w:szCs w:val="13"/>
                <w:color w:val="auto"/>
                <w:w w:val="98"/>
              </w:rPr>
              <w:t>(dollars in thousands)</w:t>
            </w:r>
          </w:p>
        </w:tc>
        <w:tc>
          <w:tcPr>
            <w:tcW w:w="52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6"/>
                <w:szCs w:val="16"/>
                <w:b w:val="1"/>
                <w:bCs w:val="1"/>
                <w:color w:val="004483"/>
              </w:rPr>
              <w:t>Balance at Beginning of Year</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1,284</w:t>
            </w:r>
          </w:p>
        </w:tc>
        <w:tc>
          <w:tcPr>
            <w:tcW w:w="780" w:type="dxa"/>
            <w:vAlign w:val="bottom"/>
            <w:gridSpan w:val="3"/>
          </w:tcPr>
          <w:p>
            <w:pPr>
              <w:jc w:val="right"/>
              <w:ind w:right="30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r>
      <w:tr>
        <w:trPr>
          <w:trHeight w:val="210"/>
        </w:trPr>
        <w:tc>
          <w:tcPr>
            <w:tcW w:w="66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Increase Related to Current Tax Positions</w:t>
            </w:r>
          </w:p>
        </w:tc>
        <w:tc>
          <w:tcPr>
            <w:tcW w:w="52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50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Decrease Related to Current Tax Positions</w:t>
            </w:r>
          </w:p>
        </w:tc>
        <w:tc>
          <w:tcPr>
            <w:tcW w:w="52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37"/>
        </w:trPr>
        <w:tc>
          <w:tcPr>
            <w:tcW w:w="6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Payments</w:t>
            </w:r>
          </w:p>
        </w:tc>
        <w:tc>
          <w:tcPr>
            <w:tcW w:w="52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52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004483"/>
            </w:tcBorders>
          </w:tcPr>
          <w:p>
            <w:pPr>
              <w:jc w:val="right"/>
              <w:ind w:right="308"/>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classify interest and penalties related to uncertain tax positions as current income tax expense. We recorded no interest and penalties for each of the fiscal years ended March 31, 2024, 2023, and 2022.</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(J) COMMITMENTS AND CONTINGENCIES</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of our operating units to monitor compliance. Any matters that are identified as potential exposures under these laws and regulations are carefully reviewed by management to determine our potential liability. Although management is not aware of any material exposures that require an accrual under generally accepted accounting principles, there can be no assurance that prior or future operations will not ultimately result in violations, claims, or other liabilities associated with these regulations.</w:t>
      </w:r>
    </w:p>
    <w:p>
      <w:pPr>
        <w:spacing w:after="0" w:line="77"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2024, we had contingent liabilities under these outstanding letters of credit of approximately $8.3 million.</w:t>
      </w:r>
    </w:p>
    <w:p>
      <w:pPr>
        <w:spacing w:after="0" w:line="6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currently contingently liable for performance under $29.3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w:t>
      </w:r>
    </w:p>
    <w:p>
      <w:pPr>
        <w:spacing w:after="0" w:line="9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77"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have certain forward purchase contracts, primarily for natural gas, that expire during calendar years 2024 and 2025. The contracts comprise approximately 35% of our anticipated natural gas usage.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(K) STOCK OPTION PLANS</w:t>
      </w:r>
    </w:p>
    <w:p>
      <w:pPr>
        <w:spacing w:after="0" w:line="9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consultants, independent contractors, and agents of the Company. The Compensation Committee of our Board (the Compensation Committee) specifies grant terms for awards under the Plan.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Long-Term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OPTIONS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May 2023, under the 2013 Amended and Restated Incentive Plan (the Prior Plan), the Compensation Committee of the Board approved the granting to certain officers and key employees an aggregate of 2,296 performance-vesting stock options that would be earned only if certain performance conditions were satisfied (the Fiscal 2024 Employee Performance Stock Option Award). The performance criterion for the Fiscal 2024 Employee Performance Stock Option Award was based upon the achievement of certain levels of return on equity (as defined in the option agreements), ranging from 10% to 20%, from the performance periods described below. All stock options in each performance period will be earned if the return on equity is 20% or greater. If the return on equity is less than 20% but at least 10% in any performance period, the amount of stock options earned in such period will be reduced proportionately using straight-line interpolation, such that approximately 66.7% of the amount of stock options granted will be earned if the return on equity is 10%. If the Company does not achieve a return on equity of at least 10% during any performance period, all stock option awards for the performance period will be forfeited.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 performance periods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6"/>
                <w:szCs w:val="16"/>
                <w:color w:val="auto"/>
              </w:rPr>
            </w:pPr>
          </w:p>
        </w:tc>
        <w:tc>
          <w:tcPr>
            <w:tcW w:w="220" w:type="dxa"/>
            <w:vAlign w:val="bottom"/>
            <w:tcBorders>
              <w:bottom w:val="single" w:sz="8" w:color="004483"/>
            </w:tcBorders>
          </w:tcPr>
          <w:p>
            <w:pPr>
              <w:spacing w:after="0"/>
              <w:rPr>
                <w:sz w:val="16"/>
                <w:szCs w:val="16"/>
                <w:color w:val="auto"/>
              </w:rPr>
            </w:pPr>
          </w:p>
        </w:tc>
        <w:tc>
          <w:tcPr>
            <w:tcW w:w="31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Performance Period</w:t>
            </w:r>
          </w:p>
        </w:tc>
        <w:tc>
          <w:tcPr>
            <w:tcW w:w="220" w:type="dxa"/>
            <w:vAlign w:val="bottom"/>
            <w:tcBorders>
              <w:bottom w:val="single" w:sz="8" w:color="004483"/>
            </w:tcBorders>
          </w:tcPr>
          <w:p>
            <w:pPr>
              <w:spacing w:after="0"/>
              <w:rPr>
                <w:sz w:val="16"/>
                <w:szCs w:val="16"/>
                <w:color w:val="auto"/>
              </w:rPr>
            </w:pPr>
          </w:p>
        </w:tc>
        <w:tc>
          <w:tcPr>
            <w:tcW w:w="2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242"/>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One-Year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574</w:t>
            </w:r>
          </w:p>
        </w:tc>
        <w:tc>
          <w:tcPr>
            <w:tcW w:w="120" w:type="dxa"/>
            <w:vAlign w:val="bottom"/>
          </w:tcPr>
          <w:p>
            <w:pPr>
              <w:spacing w:after="0"/>
              <w:rPr>
                <w:sz w:val="21"/>
                <w:szCs w:val="21"/>
                <w:color w:val="auto"/>
              </w:rPr>
            </w:pPr>
          </w:p>
        </w:tc>
        <w:tc>
          <w:tcPr>
            <w:tcW w:w="220" w:type="dxa"/>
            <w:vAlign w:val="bottom"/>
            <w:tcBorders>
              <w:bottom w:val="single" w:sz="8" w:color="A6A6A6"/>
            </w:tcBorders>
          </w:tcPr>
          <w:p>
            <w:pPr>
              <w:spacing w:after="0"/>
              <w:rPr>
                <w:sz w:val="21"/>
                <w:szCs w:val="21"/>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2024</w:t>
            </w:r>
          </w:p>
        </w:tc>
        <w:tc>
          <w:tcPr>
            <w:tcW w:w="220" w:type="dxa"/>
            <w:vAlign w:val="bottom"/>
            <w:tcBorders>
              <w:bottom w:val="single" w:sz="8" w:color="A6A6A6"/>
            </w:tcBorders>
          </w:tcPr>
          <w:p>
            <w:pPr>
              <w:spacing w:after="0"/>
              <w:rPr>
                <w:sz w:val="21"/>
                <w:szCs w:val="21"/>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2024</w:t>
            </w:r>
          </w:p>
        </w:tc>
      </w:tr>
      <w:tr>
        <w:trPr>
          <w:trHeight w:val="236"/>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Two-Year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574</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2025</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2025</w:t>
            </w:r>
          </w:p>
        </w:tc>
      </w:tr>
      <w:tr>
        <w:trPr>
          <w:trHeight w:val="236"/>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Three-Year Performance Shares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1,148</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April 1, 2023 to March 31, 2026</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May 2026</w:t>
            </w:r>
          </w:p>
        </w:tc>
      </w:tr>
    </w:tbl>
    <w:p>
      <w:pPr>
        <w:spacing w:after="0" w:line="8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stock options have a term of 10 years from the grant date. During fiscal 2024, the return on equity exceeded 20%, therefore all of the One-Year Performance Shares were earned.</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Compensation Committee also approved the granting of 1,914 time-vesting stock options to the same officers and key employees, which vest ratably over three years.</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August 2023, under the 2023 Plan, the Compensation Committee granted 1,348 options to members of the Board (the Fiscal 2024 Board Stock Option Award). Options granted under the Fiscal 2024 Board Stock Option Award vest one year after the date of grant, and can be exercised from the vesting date until their expiration on the tenth anniversary of the grant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5"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All stock options issued during fiscal 2024 and 2023 were valued at the grant date using the Black-Scholes option pricing model. The weighted-average assumptions used in the Black-Scholes model to value the option awards in fiscal 2024 and 2023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Borders>
              <w:bottom w:val="single" w:sz="8" w:color="004483"/>
            </w:tcBorders>
          </w:tcPr>
          <w:p>
            <w:pPr>
              <w:spacing w:after="0"/>
              <w:rPr>
                <w:sz w:val="16"/>
                <w:szCs w:val="16"/>
                <w:color w:val="auto"/>
              </w:rPr>
            </w:pPr>
          </w:p>
        </w:tc>
        <w:tc>
          <w:tcPr>
            <w:tcW w:w="4740" w:type="dxa"/>
            <w:vAlign w:val="bottom"/>
            <w:tcBorders>
              <w:bottom w:val="single" w:sz="8" w:color="004483"/>
            </w:tcBorders>
          </w:tcPr>
          <w:p>
            <w:pPr>
              <w:jc w:val="right"/>
              <w:ind w:right="603"/>
              <w:spacing w:after="0"/>
              <w:rPr>
                <w:sz w:val="20"/>
                <w:szCs w:val="20"/>
                <w:color w:val="auto"/>
              </w:rPr>
            </w:pPr>
            <w:r>
              <w:rPr>
                <w:rFonts w:ascii="Arial" w:cs="Arial" w:eastAsia="Arial" w:hAnsi="Arial"/>
                <w:sz w:val="13"/>
                <w:szCs w:val="13"/>
                <w:b w:val="1"/>
                <w:bCs w:val="1"/>
                <w:color w:val="auto"/>
              </w:rPr>
              <w:t>2024</w:t>
            </w:r>
          </w:p>
        </w:tc>
        <w:tc>
          <w:tcPr>
            <w:tcW w:w="1300" w:type="dxa"/>
            <w:vAlign w:val="bottom"/>
            <w:tcBorders>
              <w:bottom w:val="single" w:sz="8" w:color="004483"/>
            </w:tcBorders>
          </w:tcPr>
          <w:p>
            <w:pPr>
              <w:jc w:val="right"/>
              <w:ind w:right="43"/>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6"/>
                <w:szCs w:val="16"/>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004483"/>
              </w:rPr>
              <w:t>Dividend Yield</w:t>
            </w:r>
          </w:p>
        </w:tc>
        <w:tc>
          <w:tcPr>
            <w:tcW w:w="4740" w:type="dxa"/>
            <w:vAlign w:val="bottom"/>
          </w:tcPr>
          <w:p>
            <w:pPr>
              <w:jc w:val="right"/>
              <w:ind w:right="423"/>
              <w:spacing w:after="0"/>
              <w:rPr>
                <w:sz w:val="20"/>
                <w:szCs w:val="20"/>
                <w:color w:val="auto"/>
              </w:rPr>
            </w:pPr>
            <w:r>
              <w:rPr>
                <w:rFonts w:ascii="Arial" w:cs="Arial" w:eastAsia="Arial" w:hAnsi="Arial"/>
                <w:sz w:val="16"/>
                <w:szCs w:val="16"/>
                <w:color w:val="auto"/>
              </w:rPr>
              <w:t>7.5 %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5200" w:type="dxa"/>
            <w:vAlign w:val="bottom"/>
            <w:shd w:val="clear" w:color="auto" w:fill="A6A6A6"/>
          </w:tcPr>
          <w:p>
            <w:pPr>
              <w:spacing w:after="0" w:line="20" w:lineRule="exact"/>
              <w:rPr>
                <w:sz w:val="1"/>
                <w:szCs w:val="1"/>
                <w:color w:val="auto"/>
              </w:rPr>
            </w:pPr>
          </w:p>
        </w:tc>
        <w:tc>
          <w:tcPr>
            <w:tcW w:w="474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b w:val="1"/>
                <w:bCs w:val="1"/>
                <w:color w:val="004483"/>
              </w:rPr>
              <w:t>Expected Volatility</w:t>
            </w:r>
          </w:p>
        </w:tc>
        <w:tc>
          <w:tcPr>
            <w:tcW w:w="4740" w:type="dxa"/>
            <w:vAlign w:val="bottom"/>
          </w:tcPr>
          <w:p>
            <w:pPr>
              <w:jc w:val="right"/>
              <w:ind w:right="423"/>
              <w:spacing w:after="0"/>
              <w:rPr>
                <w:sz w:val="20"/>
                <w:szCs w:val="20"/>
                <w:color w:val="auto"/>
              </w:rPr>
            </w:pPr>
            <w:r>
              <w:rPr>
                <w:rFonts w:ascii="Arial" w:cs="Arial" w:eastAsia="Arial" w:hAnsi="Arial"/>
                <w:sz w:val="16"/>
                <w:szCs w:val="16"/>
                <w:color w:val="auto"/>
              </w:rPr>
              <w:t>38.8 %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38.2 %</w:t>
            </w:r>
          </w:p>
        </w:tc>
      </w:tr>
      <w:tr>
        <w:trPr>
          <w:trHeight w:val="20"/>
        </w:trPr>
        <w:tc>
          <w:tcPr>
            <w:tcW w:w="5200" w:type="dxa"/>
            <w:vAlign w:val="bottom"/>
            <w:shd w:val="clear" w:color="auto" w:fill="A6A6A6"/>
          </w:tcPr>
          <w:p>
            <w:pPr>
              <w:spacing w:after="0" w:line="20" w:lineRule="exact"/>
              <w:rPr>
                <w:sz w:val="1"/>
                <w:szCs w:val="1"/>
                <w:color w:val="auto"/>
              </w:rPr>
            </w:pPr>
          </w:p>
        </w:tc>
        <w:tc>
          <w:tcPr>
            <w:tcW w:w="474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b w:val="1"/>
                <w:bCs w:val="1"/>
                <w:color w:val="004483"/>
              </w:rPr>
              <w:t>Risk-Free Interest Rate</w:t>
            </w:r>
          </w:p>
        </w:tc>
        <w:tc>
          <w:tcPr>
            <w:tcW w:w="4740" w:type="dxa"/>
            <w:vAlign w:val="bottom"/>
          </w:tcPr>
          <w:p>
            <w:pPr>
              <w:jc w:val="right"/>
              <w:ind w:right="423"/>
              <w:spacing w:after="0"/>
              <w:rPr>
                <w:sz w:val="20"/>
                <w:szCs w:val="20"/>
                <w:color w:val="auto"/>
              </w:rPr>
            </w:pPr>
            <w:r>
              <w:rPr>
                <w:rFonts w:ascii="Arial" w:cs="Arial" w:eastAsia="Arial" w:hAnsi="Arial"/>
                <w:sz w:val="16"/>
                <w:szCs w:val="16"/>
                <w:color w:val="auto"/>
              </w:rPr>
              <w:t>3.74 %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2.90 %</w:t>
            </w:r>
          </w:p>
        </w:tc>
      </w:tr>
      <w:tr>
        <w:trPr>
          <w:trHeight w:val="210"/>
        </w:trPr>
        <w:tc>
          <w:tcPr>
            <w:tcW w:w="52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Expected Life</w:t>
            </w:r>
          </w:p>
        </w:tc>
        <w:tc>
          <w:tcPr>
            <w:tcW w:w="4740" w:type="dxa"/>
            <w:vAlign w:val="bottom"/>
            <w:tcBorders>
              <w:top w:val="single" w:sz="8" w:color="A6A6A6"/>
              <w:bottom w:val="single" w:sz="8" w:color="A6A6A6"/>
            </w:tcBorders>
          </w:tcPr>
          <w:p>
            <w:pPr>
              <w:jc w:val="right"/>
              <w:ind w:right="603"/>
              <w:spacing w:after="0"/>
              <w:rPr>
                <w:sz w:val="20"/>
                <w:szCs w:val="20"/>
                <w:color w:val="auto"/>
              </w:rPr>
            </w:pPr>
            <w:r>
              <w:rPr>
                <w:rFonts w:ascii="Arial" w:cs="Arial" w:eastAsia="Arial" w:hAnsi="Arial"/>
                <w:sz w:val="16"/>
                <w:szCs w:val="16"/>
                <w:color w:val="auto"/>
              </w:rPr>
              <w:t>6.0 years</w:t>
            </w:r>
          </w:p>
        </w:tc>
        <w:tc>
          <w:tcPr>
            <w:tcW w:w="1300" w:type="dxa"/>
            <w:vAlign w:val="bottom"/>
            <w:tcBorders>
              <w:top w:val="single" w:sz="8" w:color="A6A6A6"/>
              <w:bottom w:val="single" w:sz="8" w:color="A6A6A6"/>
            </w:tcBorders>
          </w:tcPr>
          <w:p>
            <w:pPr>
              <w:jc w:val="right"/>
              <w:ind w:right="43"/>
              <w:spacing w:after="0"/>
              <w:rPr>
                <w:sz w:val="20"/>
                <w:szCs w:val="20"/>
                <w:color w:val="auto"/>
              </w:rPr>
            </w:pPr>
            <w:r>
              <w:rPr>
                <w:rFonts w:ascii="Arial" w:cs="Arial" w:eastAsia="Arial" w:hAnsi="Arial"/>
                <w:sz w:val="16"/>
                <w:szCs w:val="16"/>
                <w:color w:val="auto"/>
              </w:rPr>
              <w:t>6.0 years</w:t>
            </w:r>
          </w:p>
        </w:tc>
        <w:tc>
          <w:tcPr>
            <w:tcW w:w="40" w:type="dxa"/>
            <w:vAlign w:val="bottom"/>
          </w:tcPr>
          <w:p>
            <w:pPr>
              <w:spacing w:after="0"/>
              <w:rPr>
                <w:sz w:val="18"/>
                <w:szCs w:val="18"/>
                <w:color w:val="auto"/>
              </w:rPr>
            </w:pPr>
          </w:p>
        </w:tc>
      </w:tr>
    </w:tbl>
    <w:p>
      <w:pPr>
        <w:spacing w:after="0" w:line="18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In addition to the stock options described above, we issue stock options to certain employees from time to time. Any options issued are valued using the Black-Scholes option pricing model on the grant date and expensed over the vesting period.</w:t>
      </w:r>
    </w:p>
    <w:p>
      <w:pPr>
        <w:spacing w:after="0" w:line="4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Stock option expense for all outstanding stock option awards was approximately $2.0 million, $3.4 million, and $3.4 million for the years ended March 31, 2024, 2023, and 2022, respectively. At March 31, 2024, there was approximately $1.7 million of unrecognized compensation cost related to outstanding stock options, which is expected to be recognized over a weighted-average period of 1.9 years.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years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8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2120" w:type="dxa"/>
            <w:vAlign w:val="bottom"/>
            <w:gridSpan w:val="4"/>
            <w:shd w:val="clear" w:color="auto" w:fill="004483"/>
          </w:tcPr>
          <w:p>
            <w:pPr>
              <w:jc w:val="right"/>
              <w:ind w:right="146"/>
              <w:spacing w:after="0"/>
              <w:rPr>
                <w:sz w:val="20"/>
                <w:szCs w:val="20"/>
                <w:color w:val="auto"/>
              </w:rPr>
            </w:pPr>
            <w:r>
              <w:rPr>
                <w:rFonts w:ascii="Arial" w:cs="Arial" w:eastAsia="Arial" w:hAnsi="Arial"/>
                <w:sz w:val="13"/>
                <w:szCs w:val="13"/>
                <w:b w:val="1"/>
                <w:bCs w:val="1"/>
                <w:color w:val="FFFFFF"/>
                <w:w w:val="98"/>
              </w:rPr>
              <w:t>For the Years Ended March 31,</w:t>
            </w:r>
          </w:p>
        </w:tc>
        <w:tc>
          <w:tcPr>
            <w:tcW w:w="100" w:type="dxa"/>
            <w:vAlign w:val="bottom"/>
            <w:shd w:val="clear" w:color="auto" w:fill="004483"/>
          </w:tcPr>
          <w:p>
            <w:pPr>
              <w:spacing w:after="0"/>
              <w:rPr>
                <w:sz w:val="14"/>
                <w:szCs w:val="14"/>
                <w:color w:val="auto"/>
              </w:rPr>
            </w:pPr>
          </w:p>
        </w:tc>
        <w:tc>
          <w:tcPr>
            <w:tcW w:w="10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82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4"/>
          </w:tcPr>
          <w:p>
            <w:pPr>
              <w:jc w:val="right"/>
              <w:ind w:right="79"/>
              <w:spacing w:after="0"/>
              <w:rPr>
                <w:sz w:val="20"/>
                <w:szCs w:val="20"/>
                <w:color w:val="auto"/>
              </w:rPr>
            </w:pPr>
            <w:r>
              <w:rPr>
                <w:rFonts w:ascii="Arial" w:cs="Arial" w:eastAsia="Arial" w:hAnsi="Arial"/>
                <w:sz w:val="13"/>
                <w:szCs w:val="13"/>
                <w:b w:val="1"/>
                <w:bCs w:val="1"/>
                <w:color w:val="auto"/>
              </w:rPr>
              <w:t>2023</w:t>
            </w:r>
          </w:p>
        </w:tc>
        <w:tc>
          <w:tcPr>
            <w:tcW w:w="820" w:type="dxa"/>
            <w:vAlign w:val="bottom"/>
          </w:tcPr>
          <w:p>
            <w:pPr>
              <w:spacing w:after="0"/>
              <w:rPr>
                <w:sz w:val="15"/>
                <w:szCs w:val="15"/>
                <w:color w:val="auto"/>
              </w:rPr>
            </w:pPr>
          </w:p>
        </w:tc>
        <w:tc>
          <w:tcPr>
            <w:tcW w:w="1400" w:type="dxa"/>
            <w:vAlign w:val="bottom"/>
            <w:gridSpan w:val="4"/>
          </w:tcPr>
          <w:p>
            <w:pPr>
              <w:jc w:val="right"/>
              <w:ind w:right="79"/>
              <w:spacing w:after="0"/>
              <w:rPr>
                <w:sz w:val="20"/>
                <w:szCs w:val="20"/>
                <w:color w:val="auto"/>
              </w:rPr>
            </w:pPr>
            <w:r>
              <w:rPr>
                <w:rFonts w:ascii="Arial" w:cs="Arial" w:eastAsia="Arial" w:hAnsi="Arial"/>
                <w:sz w:val="13"/>
                <w:szCs w:val="13"/>
                <w:b w:val="1"/>
                <w:bCs w:val="1"/>
                <w:color w:val="auto"/>
              </w:rPr>
              <w:t>2022</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40" w:type="dxa"/>
            <w:vAlign w:val="bottom"/>
            <w:tcBorders>
              <w:top w:val="single" w:sz="8" w:color="004483"/>
            </w:tcBorders>
          </w:tcPr>
          <w:p>
            <w:pPr>
              <w:spacing w:after="0"/>
              <w:rPr>
                <w:sz w:val="11"/>
                <w:szCs w:val="11"/>
                <w:color w:val="auto"/>
              </w:rPr>
            </w:pPr>
          </w:p>
        </w:tc>
        <w:tc>
          <w:tcPr>
            <w:tcW w:w="120" w:type="dxa"/>
            <w:vAlign w:val="bottom"/>
            <w:tcBorders>
              <w:top w:val="single" w:sz="8" w:color="004483"/>
            </w:tcBorders>
          </w:tcPr>
          <w:p>
            <w:pPr>
              <w:spacing w:after="0"/>
              <w:rPr>
                <w:sz w:val="11"/>
                <w:szCs w:val="11"/>
                <w:color w:val="auto"/>
              </w:rPr>
            </w:pPr>
          </w:p>
        </w:tc>
        <w:tc>
          <w:tcPr>
            <w:tcW w:w="20" w:type="dxa"/>
            <w:vAlign w:val="bottom"/>
            <w:tcBorders>
              <w:top w:val="single" w:sz="8" w:color="004483"/>
            </w:tcBorders>
          </w:tcPr>
          <w:p>
            <w:pPr>
              <w:spacing w:after="0"/>
              <w:rPr>
                <w:sz w:val="11"/>
                <w:szCs w:val="11"/>
                <w:color w:val="auto"/>
              </w:rPr>
            </w:pPr>
          </w:p>
        </w:tc>
        <w:tc>
          <w:tcPr>
            <w:tcW w:w="180" w:type="dxa"/>
            <w:vAlign w:val="bottom"/>
            <w:tcBorders>
              <w:top w:val="single" w:sz="8" w:color="004483"/>
            </w:tcBorders>
          </w:tcPr>
          <w:p>
            <w:pPr>
              <w:spacing w:after="0"/>
              <w:rPr>
                <w:sz w:val="11"/>
                <w:szCs w:val="11"/>
                <w:color w:val="auto"/>
              </w:rPr>
            </w:pPr>
          </w:p>
        </w:tc>
        <w:tc>
          <w:tcPr>
            <w:tcW w:w="820" w:type="dxa"/>
            <w:vAlign w:val="bottom"/>
            <w:tcBorders>
              <w:top w:val="single" w:sz="8" w:color="004483"/>
            </w:tcBorders>
          </w:tcPr>
          <w:p>
            <w:pPr>
              <w:jc w:val="right"/>
              <w:ind w:right="46"/>
              <w:spacing w:after="0" w:line="131"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1020" w:type="dxa"/>
            <w:vAlign w:val="bottom"/>
            <w:tcBorders>
              <w:top w:val="single" w:sz="8" w:color="004483"/>
            </w:tcBorders>
          </w:tcPr>
          <w:p>
            <w:pPr>
              <w:spacing w:after="0"/>
              <w:rPr>
                <w:sz w:val="11"/>
                <w:szCs w:val="11"/>
                <w:color w:val="auto"/>
              </w:rPr>
            </w:pPr>
          </w:p>
        </w:tc>
        <w:tc>
          <w:tcPr>
            <w:tcW w:w="100" w:type="dxa"/>
            <w:vAlign w:val="bottom"/>
            <w:tcBorders>
              <w:top w:val="single" w:sz="8" w:color="004483"/>
            </w:tcBorders>
          </w:tcPr>
          <w:p>
            <w:pPr>
              <w:spacing w:after="0"/>
              <w:rPr>
                <w:sz w:val="11"/>
                <w:szCs w:val="11"/>
                <w:color w:val="auto"/>
              </w:rPr>
            </w:pPr>
          </w:p>
        </w:tc>
        <w:tc>
          <w:tcPr>
            <w:tcW w:w="180" w:type="dxa"/>
            <w:vAlign w:val="bottom"/>
            <w:tcBorders>
              <w:top w:val="single" w:sz="8" w:color="004483"/>
            </w:tcBorders>
          </w:tcPr>
          <w:p>
            <w:pPr>
              <w:spacing w:after="0"/>
              <w:rPr>
                <w:sz w:val="11"/>
                <w:szCs w:val="11"/>
                <w:color w:val="auto"/>
              </w:rPr>
            </w:pPr>
          </w:p>
        </w:tc>
        <w:tc>
          <w:tcPr>
            <w:tcW w:w="820" w:type="dxa"/>
            <w:vAlign w:val="bottom"/>
            <w:tcBorders>
              <w:top w:val="single" w:sz="8" w:color="004483"/>
            </w:tcBorders>
          </w:tcPr>
          <w:p>
            <w:pPr>
              <w:jc w:val="right"/>
              <w:ind w:right="46"/>
              <w:spacing w:after="0" w:line="131"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1020" w:type="dxa"/>
            <w:vAlign w:val="bottom"/>
            <w:tcBorders>
              <w:top w:val="single" w:sz="8" w:color="004483"/>
            </w:tcBorders>
          </w:tcPr>
          <w:p>
            <w:pPr>
              <w:spacing w:after="0"/>
              <w:rPr>
                <w:sz w:val="11"/>
                <w:szCs w:val="11"/>
                <w:color w:val="auto"/>
              </w:rPr>
            </w:pPr>
          </w:p>
        </w:tc>
        <w:tc>
          <w:tcPr>
            <w:tcW w:w="100" w:type="dxa"/>
            <w:vAlign w:val="bottom"/>
            <w:tcBorders>
              <w:top w:val="single" w:sz="8" w:color="004483"/>
            </w:tcBorders>
          </w:tcPr>
          <w:p>
            <w:pPr>
              <w:spacing w:after="0"/>
              <w:rPr>
                <w:sz w:val="11"/>
                <w:szCs w:val="11"/>
                <w:color w:val="auto"/>
              </w:rPr>
            </w:pPr>
          </w:p>
        </w:tc>
        <w:tc>
          <w:tcPr>
            <w:tcW w:w="180" w:type="dxa"/>
            <w:vAlign w:val="bottom"/>
            <w:tcBorders>
              <w:top w:val="single" w:sz="8" w:color="004483"/>
            </w:tcBorders>
          </w:tcPr>
          <w:p>
            <w:pPr>
              <w:spacing w:after="0"/>
              <w:rPr>
                <w:sz w:val="11"/>
                <w:szCs w:val="11"/>
                <w:color w:val="auto"/>
              </w:rPr>
            </w:pPr>
          </w:p>
        </w:tc>
        <w:tc>
          <w:tcPr>
            <w:tcW w:w="820" w:type="dxa"/>
            <w:vAlign w:val="bottom"/>
            <w:tcBorders>
              <w:top w:val="single" w:sz="8" w:color="004483"/>
            </w:tcBorders>
          </w:tcPr>
          <w:p>
            <w:pPr>
              <w:jc w:val="right"/>
              <w:ind w:right="46"/>
              <w:spacing w:after="0" w:line="131"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1"/>
                <w:szCs w:val="11"/>
                <w:color w:val="auto"/>
              </w:rPr>
            </w:pPr>
          </w:p>
        </w:tc>
        <w:tc>
          <w:tcPr>
            <w:tcW w:w="820" w:type="dxa"/>
            <w:vAlign w:val="bottom"/>
          </w:tcPr>
          <w:p>
            <w:pPr>
              <w:jc w:val="right"/>
              <w:ind w:right="46"/>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46"/>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020" w:type="dxa"/>
            <w:vAlign w:val="bottom"/>
            <w:vMerge w:val="restart"/>
          </w:tcPr>
          <w:p>
            <w:pPr>
              <w:jc w:val="right"/>
              <w:ind w:right="46"/>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46"/>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46"/>
              <w:spacing w:after="0" w:line="135"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46"/>
              <w:spacing w:after="0" w:line="135"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46"/>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004483"/>
            </w:tcBorders>
          </w:tcPr>
          <w:p>
            <w:pPr>
              <w:spacing w:after="0"/>
              <w:rPr>
                <w:sz w:val="16"/>
                <w:szCs w:val="16"/>
                <w:color w:val="auto"/>
              </w:rPr>
            </w:pPr>
          </w:p>
        </w:tc>
        <w:tc>
          <w:tcPr>
            <w:tcW w:w="1180" w:type="dxa"/>
            <w:vAlign w:val="bottom"/>
            <w:tcBorders>
              <w:bottom w:val="single" w:sz="8" w:color="004483"/>
            </w:tcBorders>
            <w:gridSpan w:val="3"/>
          </w:tcPr>
          <w:p>
            <w:pPr>
              <w:jc w:val="right"/>
              <w:ind w:right="280"/>
              <w:spacing w:after="0"/>
              <w:rPr>
                <w:sz w:val="20"/>
                <w:szCs w:val="20"/>
                <w:color w:val="auto"/>
              </w:rPr>
            </w:pPr>
            <w:r>
              <w:rPr>
                <w:rFonts w:ascii="Arial" w:cs="Arial" w:eastAsia="Arial" w:hAnsi="Arial"/>
                <w:sz w:val="13"/>
                <w:szCs w:val="13"/>
                <w:b w:val="1"/>
                <w:bCs w:val="1"/>
                <w:color w:val="auto"/>
              </w:rPr>
              <w:t>of Shares</w:t>
            </w: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jc w:val="right"/>
              <w:ind w:right="46"/>
              <w:spacing w:after="0"/>
              <w:rPr>
                <w:sz w:val="20"/>
                <w:szCs w:val="20"/>
                <w:color w:val="auto"/>
              </w:rPr>
            </w:pPr>
            <w:r>
              <w:rPr>
                <w:rFonts w:ascii="Arial" w:cs="Arial" w:eastAsia="Arial" w:hAnsi="Arial"/>
                <w:sz w:val="13"/>
                <w:szCs w:val="13"/>
                <w:b w:val="1"/>
                <w:bCs w:val="1"/>
                <w:color w:val="auto"/>
              </w:rPr>
              <w:t>Price</w:t>
            </w:r>
          </w:p>
        </w:tc>
        <w:tc>
          <w:tcPr>
            <w:tcW w:w="1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jc w:val="right"/>
              <w:ind w:right="48"/>
              <w:spacing w:after="0"/>
              <w:rPr>
                <w:sz w:val="20"/>
                <w:szCs w:val="20"/>
                <w:color w:val="auto"/>
              </w:rPr>
            </w:pPr>
            <w:r>
              <w:rPr>
                <w:rFonts w:ascii="Arial" w:cs="Arial" w:eastAsia="Arial" w:hAnsi="Arial"/>
                <w:sz w:val="13"/>
                <w:szCs w:val="13"/>
                <w:b w:val="1"/>
                <w:bCs w:val="1"/>
                <w:color w:val="auto"/>
              </w:rPr>
              <w:t>of Shares</w:t>
            </w:r>
          </w:p>
        </w:tc>
        <w:tc>
          <w:tcPr>
            <w:tcW w:w="10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jc w:val="right"/>
              <w:ind w:right="46"/>
              <w:spacing w:after="0"/>
              <w:rPr>
                <w:sz w:val="20"/>
                <w:szCs w:val="20"/>
                <w:color w:val="auto"/>
              </w:rPr>
            </w:pPr>
            <w:r>
              <w:rPr>
                <w:rFonts w:ascii="Arial" w:cs="Arial" w:eastAsia="Arial" w:hAnsi="Arial"/>
                <w:sz w:val="13"/>
                <w:szCs w:val="13"/>
                <w:b w:val="1"/>
                <w:bCs w:val="1"/>
                <w:color w:val="auto"/>
              </w:rPr>
              <w:t>Price</w:t>
            </w:r>
          </w:p>
        </w:tc>
        <w:tc>
          <w:tcPr>
            <w:tcW w:w="1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jc w:val="right"/>
              <w:ind w:right="46"/>
              <w:spacing w:after="0"/>
              <w:rPr>
                <w:sz w:val="20"/>
                <w:szCs w:val="20"/>
                <w:color w:val="auto"/>
              </w:rPr>
            </w:pPr>
            <w:r>
              <w:rPr>
                <w:rFonts w:ascii="Arial" w:cs="Arial" w:eastAsia="Arial" w:hAnsi="Arial"/>
                <w:sz w:val="13"/>
                <w:szCs w:val="13"/>
                <w:b w:val="1"/>
                <w:bCs w:val="1"/>
                <w:color w:val="auto"/>
              </w:rPr>
              <w:t>of Shares</w:t>
            </w:r>
          </w:p>
        </w:tc>
        <w:tc>
          <w:tcPr>
            <w:tcW w:w="10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jc w:val="right"/>
              <w:ind w:right="46"/>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Beginning of Year</w:t>
            </w:r>
          </w:p>
        </w:tc>
        <w:tc>
          <w:tcPr>
            <w:tcW w:w="104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436,949</w:t>
            </w: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89.69</w:t>
            </w:r>
          </w:p>
        </w:tc>
        <w:tc>
          <w:tcPr>
            <w:tcW w:w="1120" w:type="dxa"/>
            <w:vAlign w:val="bottom"/>
            <w:tcBorders>
              <w:bottom w:val="single" w:sz="8" w:color="A6A6A6"/>
            </w:tcBorders>
            <w:gridSpan w:val="2"/>
          </w:tcPr>
          <w:p>
            <w:pPr>
              <w:jc w:val="right"/>
              <w:ind w:right="48"/>
              <w:spacing w:after="0"/>
              <w:rPr>
                <w:sz w:val="20"/>
                <w:szCs w:val="20"/>
                <w:color w:val="auto"/>
              </w:rPr>
            </w:pPr>
            <w:r>
              <w:rPr>
                <w:rFonts w:ascii="Arial" w:cs="Arial" w:eastAsia="Arial" w:hAnsi="Arial"/>
                <w:sz w:val="16"/>
                <w:szCs w:val="16"/>
                <w:color w:val="auto"/>
              </w:rPr>
              <w:t>456,849</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83.81</w:t>
            </w:r>
          </w:p>
        </w:tc>
        <w:tc>
          <w:tcPr>
            <w:tcW w:w="1120" w:type="dxa"/>
            <w:vAlign w:val="bottom"/>
            <w:tcBorders>
              <w:bottom w:val="single" w:sz="8" w:color="A6A6A6"/>
            </w:tcBorders>
            <w:gridSpan w:val="2"/>
          </w:tcPr>
          <w:p>
            <w:pPr>
              <w:jc w:val="right"/>
              <w:ind w:right="46"/>
              <w:spacing w:after="0"/>
              <w:rPr>
                <w:sz w:val="20"/>
                <w:szCs w:val="20"/>
                <w:color w:val="auto"/>
              </w:rPr>
            </w:pPr>
            <w:r>
              <w:rPr>
                <w:rFonts w:ascii="Arial" w:cs="Arial" w:eastAsia="Arial" w:hAnsi="Arial"/>
                <w:sz w:val="16"/>
                <w:szCs w:val="16"/>
                <w:color w:val="auto"/>
              </w:rPr>
              <w:t>708,501</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83.85</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b w:val="1"/>
                <w:bCs w:val="1"/>
                <w:color w:val="004483"/>
              </w:rPr>
              <w:t>Granted</w:t>
            </w:r>
          </w:p>
        </w:tc>
        <w:tc>
          <w:tcPr>
            <w:tcW w:w="104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5,558</w:t>
            </w: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172.62</w:t>
            </w:r>
          </w:p>
        </w:tc>
        <w:tc>
          <w:tcPr>
            <w:tcW w:w="1120" w:type="dxa"/>
            <w:vAlign w:val="bottom"/>
            <w:tcBorders>
              <w:bottom w:val="single" w:sz="8" w:color="A6A6A6"/>
            </w:tcBorders>
            <w:gridSpan w:val="2"/>
          </w:tcPr>
          <w:p>
            <w:pPr>
              <w:jc w:val="right"/>
              <w:ind w:right="48"/>
              <w:spacing w:after="0"/>
              <w:rPr>
                <w:sz w:val="20"/>
                <w:szCs w:val="20"/>
                <w:color w:val="auto"/>
              </w:rPr>
            </w:pPr>
            <w:r>
              <w:rPr>
                <w:rFonts w:ascii="Arial" w:cs="Arial" w:eastAsia="Arial" w:hAnsi="Arial"/>
                <w:sz w:val="16"/>
                <w:szCs w:val="16"/>
                <w:color w:val="auto"/>
              </w:rPr>
              <w:t>56,621</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125.90</w:t>
            </w:r>
          </w:p>
        </w:tc>
        <w:tc>
          <w:tcPr>
            <w:tcW w:w="1120" w:type="dxa"/>
            <w:vAlign w:val="bottom"/>
            <w:tcBorders>
              <w:bottom w:val="single" w:sz="8" w:color="A6A6A6"/>
            </w:tcBorders>
            <w:gridSpan w:val="2"/>
          </w:tcPr>
          <w:p>
            <w:pPr>
              <w:jc w:val="right"/>
              <w:ind w:right="46"/>
              <w:spacing w:after="0"/>
              <w:rPr>
                <w:sz w:val="20"/>
                <w:szCs w:val="20"/>
                <w:color w:val="auto"/>
              </w:rPr>
            </w:pPr>
            <w:r>
              <w:rPr>
                <w:rFonts w:ascii="Arial" w:cs="Arial" w:eastAsia="Arial" w:hAnsi="Arial"/>
                <w:sz w:val="16"/>
                <w:szCs w:val="16"/>
                <w:color w:val="auto"/>
              </w:rPr>
              <w:t>11,316</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140.42</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b w:val="1"/>
                <w:bCs w:val="1"/>
                <w:color w:val="004483"/>
              </w:rPr>
              <w:t>Exercised</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(189,143 )</w:t>
            </w: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90.40</w:t>
            </w:r>
          </w:p>
        </w:tc>
        <w:tc>
          <w:tcPr>
            <w:tcW w:w="11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(73,343 )</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80.19</w:t>
            </w:r>
          </w:p>
        </w:tc>
        <w:tc>
          <w:tcPr>
            <w:tcW w:w="11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(247,578 )</w:t>
            </w: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86.97</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b w:val="1"/>
                <w:bCs w:val="1"/>
                <w:color w:val="004483"/>
              </w:rPr>
              <w:t>Cancelled</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A6A6A6"/>
            </w:tcBorders>
          </w:tcPr>
          <w:p>
            <w:pPr>
              <w:spacing w:after="0"/>
              <w:rPr>
                <w:sz w:val="20"/>
                <w:szCs w:val="20"/>
                <w:color w:val="auto"/>
              </w:rPr>
            </w:pPr>
          </w:p>
        </w:tc>
        <w:tc>
          <w:tcPr>
            <w:tcW w:w="20" w:type="dxa"/>
            <w:vAlign w:val="bottom"/>
            <w:tcBorders>
              <w:bottom w:val="single" w:sz="8" w:color="004483"/>
            </w:tcBorders>
          </w:tcPr>
          <w:p>
            <w:pPr>
              <w:spacing w:after="0"/>
              <w:rPr>
                <w:sz w:val="20"/>
                <w:szCs w:val="20"/>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004483"/>
            </w:tcBorders>
          </w:tcPr>
          <w:p>
            <w:pPr>
              <w:jc w:val="right"/>
              <w:ind w:right="46"/>
              <w:spacing w:after="0"/>
              <w:rPr>
                <w:sz w:val="20"/>
                <w:szCs w:val="20"/>
                <w:color w:val="auto"/>
              </w:rPr>
            </w:pPr>
            <w:r>
              <w:rPr>
                <w:rFonts w:ascii="Arial" w:cs="Arial" w:eastAsia="Arial" w:hAnsi="Arial"/>
                <w:sz w:val="16"/>
                <w:szCs w:val="16"/>
                <w:color w:val="auto"/>
              </w:rPr>
              <w:t>73.37</w:t>
            </w:r>
          </w:p>
        </w:tc>
        <w:tc>
          <w:tcPr>
            <w:tcW w:w="100" w:type="dxa"/>
            <w:vAlign w:val="bottom"/>
            <w:tcBorders>
              <w:bottom w:val="single" w:sz="8" w:color="A6A6A6"/>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(3,178 )</w:t>
            </w:r>
          </w:p>
        </w:tc>
        <w:tc>
          <w:tcPr>
            <w:tcW w:w="10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4483"/>
            </w:tcBorders>
          </w:tcPr>
          <w:p>
            <w:pPr>
              <w:jc w:val="right"/>
              <w:ind w:right="46"/>
              <w:spacing w:after="0"/>
              <w:rPr>
                <w:sz w:val="20"/>
                <w:szCs w:val="20"/>
                <w:color w:val="auto"/>
              </w:rPr>
            </w:pPr>
            <w:r>
              <w:rPr>
                <w:rFonts w:ascii="Arial" w:cs="Arial" w:eastAsia="Arial" w:hAnsi="Arial"/>
                <w:sz w:val="16"/>
                <w:szCs w:val="16"/>
                <w:color w:val="auto"/>
              </w:rPr>
              <w:t>109.15</w:t>
            </w:r>
          </w:p>
        </w:tc>
        <w:tc>
          <w:tcPr>
            <w:tcW w:w="100" w:type="dxa"/>
            <w:vAlign w:val="bottom"/>
            <w:tcBorders>
              <w:bottom w:val="single" w:sz="8" w:color="A6A6A6"/>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(15,390 )</w:t>
            </w:r>
          </w:p>
        </w:tc>
        <w:tc>
          <w:tcPr>
            <w:tcW w:w="10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004483"/>
            </w:tcBorders>
          </w:tcPr>
          <w:p>
            <w:pPr>
              <w:jc w:val="right"/>
              <w:ind w:right="46"/>
              <w:spacing w:after="0"/>
              <w:rPr>
                <w:sz w:val="20"/>
                <w:szCs w:val="20"/>
                <w:color w:val="auto"/>
              </w:rPr>
            </w:pPr>
            <w:r>
              <w:rPr>
                <w:rFonts w:ascii="Arial" w:cs="Arial" w:eastAsia="Arial" w:hAnsi="Arial"/>
                <w:sz w:val="16"/>
                <w:szCs w:val="16"/>
                <w:color w:val="auto"/>
              </w:rPr>
              <w:t>76.63</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b w:val="1"/>
                <w:bCs w:val="1"/>
                <w:color w:val="004483"/>
              </w:rPr>
              <w:t>Outstanding Options at End of Year</w:t>
            </w:r>
          </w:p>
        </w:tc>
        <w:tc>
          <w:tcPr>
            <w:tcW w:w="104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252,364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91.28</w:t>
            </w:r>
          </w:p>
        </w:tc>
        <w:tc>
          <w:tcPr>
            <w:tcW w:w="100" w:type="dxa"/>
            <w:vAlign w:val="bottom"/>
          </w:tcPr>
          <w:p>
            <w:pPr>
              <w:spacing w:after="0"/>
              <w:rPr>
                <w:sz w:val="18"/>
                <w:szCs w:val="18"/>
                <w:color w:val="auto"/>
              </w:rPr>
            </w:pPr>
          </w:p>
        </w:tc>
        <w:tc>
          <w:tcPr>
            <w:tcW w:w="102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b w:val="1"/>
                <w:bCs w:val="1"/>
                <w:color w:val="auto"/>
              </w:rPr>
              <w:t>436,949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89.69</w:t>
            </w:r>
          </w:p>
        </w:tc>
        <w:tc>
          <w:tcPr>
            <w:tcW w:w="100" w:type="dxa"/>
            <w:vAlign w:val="bottom"/>
          </w:tcPr>
          <w:p>
            <w:pPr>
              <w:spacing w:after="0"/>
              <w:rPr>
                <w:sz w:val="18"/>
                <w:szCs w:val="18"/>
                <w:color w:val="auto"/>
              </w:rPr>
            </w:pPr>
          </w:p>
        </w:tc>
        <w:tc>
          <w:tcPr>
            <w:tcW w:w="1020" w:type="dxa"/>
            <w:vAlign w:val="bottom"/>
            <w:tcBorders>
              <w:bottom w:val="single" w:sz="8" w:color="004483"/>
            </w:tcBorders>
          </w:tcPr>
          <w:p>
            <w:pPr>
              <w:jc w:val="right"/>
              <w:ind w:right="46"/>
              <w:spacing w:after="0"/>
              <w:rPr>
                <w:sz w:val="20"/>
                <w:szCs w:val="20"/>
                <w:color w:val="auto"/>
              </w:rPr>
            </w:pPr>
            <w:r>
              <w:rPr>
                <w:rFonts w:ascii="Arial" w:cs="Arial" w:eastAsia="Arial" w:hAnsi="Arial"/>
                <w:sz w:val="16"/>
                <w:szCs w:val="16"/>
                <w:b w:val="1"/>
                <w:bCs w:val="1"/>
                <w:color w:val="auto"/>
              </w:rPr>
              <w:t>456,849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83.81</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6"/>
                <w:szCs w:val="16"/>
                <w:b w:val="1"/>
                <w:bCs w:val="1"/>
                <w:color w:val="004483"/>
              </w:rPr>
              <w:t>Options Exercisable at End of Year</w:t>
            </w:r>
          </w:p>
        </w:tc>
        <w:tc>
          <w:tcPr>
            <w:tcW w:w="104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215,913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b w:val="1"/>
                <w:bCs w:val="1"/>
                <w:color w:val="auto"/>
              </w:rPr>
              <w:t>339,043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4483"/>
            </w:tcBorders>
          </w:tcPr>
          <w:p>
            <w:pPr>
              <w:jc w:val="right"/>
              <w:ind w:right="46"/>
              <w:spacing w:after="0"/>
              <w:rPr>
                <w:sz w:val="20"/>
                <w:szCs w:val="20"/>
                <w:color w:val="auto"/>
              </w:rPr>
            </w:pPr>
            <w:r>
              <w:rPr>
                <w:rFonts w:ascii="Arial" w:cs="Arial" w:eastAsia="Arial" w:hAnsi="Arial"/>
                <w:sz w:val="16"/>
                <w:szCs w:val="16"/>
                <w:b w:val="1"/>
                <w:bCs w:val="1"/>
                <w:color w:val="auto"/>
              </w:rPr>
              <w:t>314,624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Weighted-Average Fair Value of Options Granted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10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69.84</w:t>
            </w:r>
          </w:p>
        </w:tc>
        <w:tc>
          <w:tcPr>
            <w:tcW w:w="1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48.36</w:t>
            </w:r>
          </w:p>
        </w:tc>
        <w:tc>
          <w:tcPr>
            <w:tcW w:w="1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080" w:type="dxa"/>
            <w:vAlign w:val="bottom"/>
            <w:shd w:val="clear" w:color="auto" w:fill="004483"/>
          </w:tcPr>
          <w:p>
            <w:pPr>
              <w:spacing w:after="0"/>
              <w:rPr>
                <w:sz w:val="14"/>
                <w:szCs w:val="14"/>
                <w:color w:val="auto"/>
              </w:rPr>
            </w:pPr>
          </w:p>
        </w:tc>
        <w:tc>
          <w:tcPr>
            <w:tcW w:w="1400" w:type="dxa"/>
            <w:vAlign w:val="bottom"/>
            <w:gridSpan w:val="2"/>
            <w:shd w:val="clear" w:color="auto" w:fill="004483"/>
          </w:tcPr>
          <w:p>
            <w:pPr>
              <w:jc w:val="right"/>
              <w:ind w:right="34"/>
              <w:spacing w:after="0"/>
              <w:rPr>
                <w:sz w:val="20"/>
                <w:szCs w:val="20"/>
                <w:color w:val="auto"/>
              </w:rPr>
            </w:pPr>
            <w:r>
              <w:rPr>
                <w:rFonts w:ascii="Arial" w:cs="Arial" w:eastAsia="Arial" w:hAnsi="Arial"/>
                <w:sz w:val="13"/>
                <w:szCs w:val="13"/>
                <w:b w:val="1"/>
                <w:bCs w:val="1"/>
                <w:color w:val="FFFFFF"/>
                <w:w w:val="98"/>
              </w:rPr>
              <w:t>Options Outstanding</w:t>
            </w:r>
          </w:p>
        </w:tc>
        <w:tc>
          <w:tcPr>
            <w:tcW w:w="300" w:type="dxa"/>
            <w:vAlign w:val="bottom"/>
            <w:shd w:val="clear" w:color="auto" w:fill="004483"/>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shd w:val="clear" w:color="auto" w:fill="004483"/>
          </w:tcPr>
          <w:p>
            <w:pPr>
              <w:jc w:val="right"/>
              <w:ind w:right="568"/>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ind w:right="94"/>
              <w:spacing w:after="0" w:line="131" w:lineRule="exact"/>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1"/>
                <w:szCs w:val="11"/>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132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Average</w:t>
            </w:r>
          </w:p>
        </w:tc>
        <w:tc>
          <w:tcPr>
            <w:tcW w:w="3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Remaining</w:t>
            </w:r>
          </w:p>
        </w:tc>
        <w:tc>
          <w:tcPr>
            <w:tcW w:w="300" w:type="dxa"/>
            <w:vAlign w:val="bottom"/>
          </w:tcPr>
          <w:p>
            <w:pPr>
              <w:spacing w:after="0"/>
              <w:rPr>
                <w:sz w:val="11"/>
                <w:szCs w:val="11"/>
                <w:color w:val="auto"/>
              </w:rPr>
            </w:pPr>
          </w:p>
        </w:tc>
        <w:tc>
          <w:tcPr>
            <w:tcW w:w="86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132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Contractual</w:t>
            </w:r>
          </w:p>
        </w:tc>
        <w:tc>
          <w:tcPr>
            <w:tcW w:w="300" w:type="dxa"/>
            <w:vAlign w:val="bottom"/>
          </w:tcPr>
          <w:p>
            <w:pPr>
              <w:spacing w:after="0"/>
              <w:rPr>
                <w:sz w:val="11"/>
                <w:szCs w:val="11"/>
                <w:color w:val="auto"/>
              </w:rPr>
            </w:pPr>
          </w:p>
        </w:tc>
        <w:tc>
          <w:tcPr>
            <w:tcW w:w="86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1"/>
                <w:szCs w:val="11"/>
                <w:color w:val="auto"/>
              </w:rPr>
            </w:pPr>
          </w:p>
        </w:tc>
        <w:tc>
          <w:tcPr>
            <w:tcW w:w="116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auto"/>
              </w:rPr>
              <w:t>Shares</w:t>
            </w:r>
          </w:p>
        </w:tc>
        <w:tc>
          <w:tcPr>
            <w:tcW w:w="360" w:type="dxa"/>
            <w:vAlign w:val="bottom"/>
          </w:tcPr>
          <w:p>
            <w:pPr>
              <w:spacing w:after="0"/>
              <w:rPr>
                <w:sz w:val="11"/>
                <w:szCs w:val="11"/>
                <w:color w:val="auto"/>
              </w:rPr>
            </w:pPr>
          </w:p>
        </w:tc>
        <w:tc>
          <w:tcPr>
            <w:tcW w:w="86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7"/>
        </w:trPr>
        <w:tc>
          <w:tcPr>
            <w:tcW w:w="5120" w:type="dxa"/>
            <w:vAlign w:val="bottom"/>
            <w:tcBorders>
              <w:bottom w:val="single" w:sz="8" w:color="004483"/>
            </w:tcBorders>
            <w:vMerge w:val="continue"/>
          </w:tcPr>
          <w:p>
            <w:pPr>
              <w:spacing w:after="0"/>
              <w:rPr>
                <w:sz w:val="16"/>
                <w:szCs w:val="16"/>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80" w:type="dxa"/>
            <w:vAlign w:val="bottom"/>
            <w:tcBorders>
              <w:bottom w:val="single" w:sz="8" w:color="004483"/>
            </w:tcBorders>
          </w:tcPr>
          <w:p>
            <w:pPr>
              <w:spacing w:after="0"/>
              <w:rPr>
                <w:sz w:val="16"/>
                <w:szCs w:val="16"/>
                <w:color w:val="auto"/>
              </w:rPr>
            </w:pPr>
          </w:p>
        </w:tc>
        <w:tc>
          <w:tcPr>
            <w:tcW w:w="1320" w:type="dxa"/>
            <w:vAlign w:val="bottom"/>
            <w:tcBorders>
              <w:bottom w:val="single" w:sz="8" w:color="004483"/>
            </w:tcBorders>
          </w:tcPr>
          <w:p>
            <w:pPr>
              <w:jc w:val="right"/>
              <w:ind w:right="94"/>
              <w:spacing w:after="0"/>
              <w:rPr>
                <w:sz w:val="20"/>
                <w:szCs w:val="20"/>
                <w:color w:val="auto"/>
              </w:rPr>
            </w:pPr>
            <w:r>
              <w:rPr>
                <w:rFonts w:ascii="Arial" w:cs="Arial" w:eastAsia="Arial" w:hAnsi="Arial"/>
                <w:sz w:val="13"/>
                <w:szCs w:val="13"/>
                <w:b w:val="1"/>
                <w:bCs w:val="1"/>
                <w:color w:val="auto"/>
              </w:rPr>
              <w:t>Life</w:t>
            </w:r>
          </w:p>
        </w:tc>
        <w:tc>
          <w:tcPr>
            <w:tcW w:w="30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jc w:val="right"/>
              <w:ind w:right="48"/>
              <w:spacing w:after="0"/>
              <w:rPr>
                <w:sz w:val="20"/>
                <w:szCs w:val="20"/>
                <w:color w:val="auto"/>
              </w:rPr>
            </w:pPr>
            <w:r>
              <w:rPr>
                <w:rFonts w:ascii="Arial" w:cs="Arial" w:eastAsia="Arial" w:hAnsi="Arial"/>
                <w:sz w:val="13"/>
                <w:szCs w:val="13"/>
                <w:b w:val="1"/>
                <w:bCs w:val="1"/>
                <w:color w:val="auto"/>
              </w:rPr>
              <w:t>Price</w:t>
            </w:r>
          </w:p>
        </w:tc>
        <w:tc>
          <w:tcPr>
            <w:tcW w:w="10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jc w:val="right"/>
              <w:ind w:right="51"/>
              <w:spacing w:after="0"/>
              <w:rPr>
                <w:sz w:val="20"/>
                <w:szCs w:val="20"/>
                <w:color w:val="auto"/>
              </w:rPr>
            </w:pPr>
            <w:r>
              <w:rPr>
                <w:rFonts w:ascii="Arial" w:cs="Arial" w:eastAsia="Arial" w:hAnsi="Arial"/>
                <w:sz w:val="13"/>
                <w:szCs w:val="13"/>
                <w:b w:val="1"/>
                <w:bCs w:val="1"/>
                <w:color w:val="auto"/>
              </w:rPr>
              <w:t>Outstanding</w:t>
            </w:r>
          </w:p>
        </w:tc>
        <w:tc>
          <w:tcPr>
            <w:tcW w:w="36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jc w:val="right"/>
              <w:ind w:right="48"/>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$59.32 - $81.28</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107,490</w:t>
            </w:r>
          </w:p>
        </w:tc>
        <w:tc>
          <w:tcPr>
            <w:tcW w:w="1400" w:type="dxa"/>
            <w:vAlign w:val="bottom"/>
            <w:tcBorders>
              <w:bottom w:val="single" w:sz="8" w:color="A6A6A6"/>
            </w:tcBorders>
            <w:gridSpan w:val="2"/>
          </w:tcPr>
          <w:p>
            <w:pPr>
              <w:jc w:val="right"/>
              <w:ind w:right="94"/>
              <w:spacing w:after="0"/>
              <w:rPr>
                <w:sz w:val="20"/>
                <w:szCs w:val="20"/>
                <w:color w:val="auto"/>
              </w:rPr>
            </w:pPr>
            <w:r>
              <w:rPr>
                <w:rFonts w:ascii="Arial" w:cs="Arial" w:eastAsia="Arial" w:hAnsi="Arial"/>
                <w:sz w:val="16"/>
                <w:szCs w:val="16"/>
                <w:color w:val="auto"/>
              </w:rPr>
              <w:t>5.64</w:t>
            </w:r>
          </w:p>
        </w:tc>
        <w:tc>
          <w:tcPr>
            <w:tcW w:w="30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8"/>
              <w:spacing w:after="0"/>
              <w:rPr>
                <w:sz w:val="20"/>
                <w:szCs w:val="20"/>
                <w:color w:val="auto"/>
              </w:rPr>
            </w:pPr>
            <w:r>
              <w:rPr>
                <w:rFonts w:ascii="Arial" w:cs="Arial" w:eastAsia="Arial" w:hAnsi="Arial"/>
                <w:sz w:val="16"/>
                <w:szCs w:val="16"/>
                <w:color w:val="auto"/>
              </w:rPr>
              <w:t>62.50</w:t>
            </w:r>
          </w:p>
        </w:tc>
        <w:tc>
          <w:tcPr>
            <w:tcW w:w="1260" w:type="dxa"/>
            <w:vAlign w:val="bottom"/>
            <w:tcBorders>
              <w:bottom w:val="single" w:sz="8" w:color="A6A6A6"/>
            </w:tcBorders>
            <w:gridSpan w:val="2"/>
          </w:tcPr>
          <w:p>
            <w:pPr>
              <w:jc w:val="right"/>
              <w:ind w:right="51"/>
              <w:spacing w:after="0"/>
              <w:rPr>
                <w:sz w:val="20"/>
                <w:szCs w:val="20"/>
                <w:color w:val="auto"/>
              </w:rPr>
            </w:pPr>
            <w:r>
              <w:rPr>
                <w:rFonts w:ascii="Arial" w:cs="Arial" w:eastAsia="Arial" w:hAnsi="Arial"/>
                <w:sz w:val="16"/>
                <w:szCs w:val="16"/>
                <w:color w:val="auto"/>
              </w:rPr>
              <w:t>107,490</w:t>
            </w:r>
          </w:p>
        </w:tc>
        <w:tc>
          <w:tcPr>
            <w:tcW w:w="3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8"/>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$91.21 - $106.00</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75,608</w:t>
            </w:r>
          </w:p>
        </w:tc>
        <w:tc>
          <w:tcPr>
            <w:tcW w:w="1400" w:type="dxa"/>
            <w:vAlign w:val="bottom"/>
            <w:tcBorders>
              <w:bottom w:val="single" w:sz="8" w:color="A6A6A6"/>
            </w:tcBorders>
            <w:gridSpan w:val="2"/>
          </w:tcPr>
          <w:p>
            <w:pPr>
              <w:jc w:val="right"/>
              <w:ind w:right="94"/>
              <w:spacing w:after="0"/>
              <w:rPr>
                <w:sz w:val="20"/>
                <w:szCs w:val="20"/>
                <w:color w:val="auto"/>
              </w:rPr>
            </w:pPr>
            <w:r>
              <w:rPr>
                <w:rFonts w:ascii="Arial" w:cs="Arial" w:eastAsia="Arial" w:hAnsi="Arial"/>
                <w:sz w:val="16"/>
                <w:szCs w:val="16"/>
                <w:color w:val="auto"/>
              </w:rPr>
              <w:t>4.27</w:t>
            </w:r>
          </w:p>
        </w:tc>
        <w:tc>
          <w:tcPr>
            <w:tcW w:w="30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8"/>
              <w:spacing w:after="0"/>
              <w:rPr>
                <w:sz w:val="20"/>
                <w:szCs w:val="20"/>
                <w:color w:val="auto"/>
              </w:rPr>
            </w:pPr>
            <w:r>
              <w:rPr>
                <w:rFonts w:ascii="Arial" w:cs="Arial" w:eastAsia="Arial" w:hAnsi="Arial"/>
                <w:sz w:val="16"/>
                <w:szCs w:val="16"/>
                <w:color w:val="auto"/>
              </w:rPr>
              <w:t>94.15</w:t>
            </w:r>
          </w:p>
        </w:tc>
        <w:tc>
          <w:tcPr>
            <w:tcW w:w="1260" w:type="dxa"/>
            <w:vAlign w:val="bottom"/>
            <w:tcBorders>
              <w:bottom w:val="single" w:sz="8" w:color="A6A6A6"/>
            </w:tcBorders>
            <w:gridSpan w:val="2"/>
          </w:tcPr>
          <w:p>
            <w:pPr>
              <w:jc w:val="right"/>
              <w:ind w:right="51"/>
              <w:spacing w:after="0"/>
              <w:rPr>
                <w:sz w:val="20"/>
                <w:szCs w:val="20"/>
                <w:color w:val="auto"/>
              </w:rPr>
            </w:pPr>
            <w:r>
              <w:rPr>
                <w:rFonts w:ascii="Arial" w:cs="Arial" w:eastAsia="Arial" w:hAnsi="Arial"/>
                <w:sz w:val="16"/>
                <w:szCs w:val="16"/>
                <w:color w:val="auto"/>
              </w:rPr>
              <w:t>73,750</w:t>
            </w:r>
          </w:p>
        </w:tc>
        <w:tc>
          <w:tcPr>
            <w:tcW w:w="3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8"/>
              <w:spacing w:after="0"/>
              <w:rPr>
                <w:sz w:val="20"/>
                <w:szCs w:val="20"/>
                <w:color w:val="auto"/>
              </w:rPr>
            </w:pPr>
            <w:r>
              <w:rPr>
                <w:rFonts w:ascii="Arial" w:cs="Arial" w:eastAsia="Arial" w:hAnsi="Arial"/>
                <w:sz w:val="16"/>
                <w:szCs w:val="16"/>
                <w:color w:val="auto"/>
              </w:rPr>
              <w:t>94.07</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$118.27 - $190.97</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69,266</w:t>
            </w:r>
          </w:p>
        </w:tc>
        <w:tc>
          <w:tcPr>
            <w:tcW w:w="80" w:type="dxa"/>
            <w:vAlign w:val="bottom"/>
            <w:tcBorders>
              <w:bottom w:val="single" w:sz="8" w:color="004483"/>
            </w:tcBorders>
          </w:tcPr>
          <w:p>
            <w:pPr>
              <w:spacing w:after="0"/>
              <w:rPr>
                <w:sz w:val="20"/>
                <w:szCs w:val="20"/>
                <w:color w:val="auto"/>
              </w:rPr>
            </w:pPr>
          </w:p>
        </w:tc>
        <w:tc>
          <w:tcPr>
            <w:tcW w:w="1320" w:type="dxa"/>
            <w:vAlign w:val="bottom"/>
            <w:tcBorders>
              <w:bottom w:val="single" w:sz="8" w:color="A6A6A6"/>
            </w:tcBorders>
          </w:tcPr>
          <w:p>
            <w:pPr>
              <w:jc w:val="right"/>
              <w:ind w:right="94"/>
              <w:spacing w:after="0"/>
              <w:rPr>
                <w:sz w:val="20"/>
                <w:szCs w:val="20"/>
                <w:color w:val="auto"/>
              </w:rPr>
            </w:pPr>
            <w:r>
              <w:rPr>
                <w:rFonts w:ascii="Arial" w:cs="Arial" w:eastAsia="Arial" w:hAnsi="Arial"/>
                <w:sz w:val="16"/>
                <w:szCs w:val="16"/>
                <w:color w:val="auto"/>
              </w:rPr>
              <w:t>8.08</w:t>
            </w:r>
          </w:p>
        </w:tc>
        <w:tc>
          <w:tcPr>
            <w:tcW w:w="30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8"/>
              <w:spacing w:after="0"/>
              <w:rPr>
                <w:sz w:val="20"/>
                <w:szCs w:val="20"/>
                <w:color w:val="auto"/>
              </w:rPr>
            </w:pPr>
            <w:r>
              <w:rPr>
                <w:rFonts w:ascii="Arial" w:cs="Arial" w:eastAsia="Arial" w:hAnsi="Arial"/>
                <w:sz w:val="16"/>
                <w:szCs w:val="16"/>
                <w:color w:val="auto"/>
              </w:rPr>
              <w:t>131.95</w:t>
            </w:r>
          </w:p>
        </w:tc>
        <w:tc>
          <w:tcPr>
            <w:tcW w:w="100" w:type="dxa"/>
            <w:vAlign w:val="bottom"/>
            <w:tcBorders>
              <w:bottom w:val="single" w:sz="8" w:color="A6A6A6"/>
            </w:tcBorders>
          </w:tcPr>
          <w:p>
            <w:pPr>
              <w:spacing w:after="0"/>
              <w:rPr>
                <w:sz w:val="20"/>
                <w:szCs w:val="20"/>
                <w:color w:val="auto"/>
              </w:rPr>
            </w:pPr>
          </w:p>
        </w:tc>
        <w:tc>
          <w:tcPr>
            <w:tcW w:w="1160" w:type="dxa"/>
            <w:vAlign w:val="bottom"/>
            <w:tcBorders>
              <w:bottom w:val="single" w:sz="8" w:color="004483"/>
            </w:tcBorders>
          </w:tcPr>
          <w:p>
            <w:pPr>
              <w:jc w:val="right"/>
              <w:ind w:right="51"/>
              <w:spacing w:after="0"/>
              <w:rPr>
                <w:sz w:val="20"/>
                <w:szCs w:val="20"/>
                <w:color w:val="auto"/>
              </w:rPr>
            </w:pPr>
            <w:r>
              <w:rPr>
                <w:rFonts w:ascii="Arial" w:cs="Arial" w:eastAsia="Arial" w:hAnsi="Arial"/>
                <w:sz w:val="16"/>
                <w:szCs w:val="16"/>
                <w:color w:val="auto"/>
              </w:rPr>
              <w:t>34,673</w:t>
            </w:r>
          </w:p>
        </w:tc>
        <w:tc>
          <w:tcPr>
            <w:tcW w:w="3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8"/>
              <w:spacing w:after="0"/>
              <w:rPr>
                <w:sz w:val="20"/>
                <w:szCs w:val="20"/>
                <w:color w:val="auto"/>
              </w:rPr>
            </w:pPr>
            <w:r>
              <w:rPr>
                <w:rFonts w:ascii="Arial" w:cs="Arial" w:eastAsia="Arial" w:hAnsi="Arial"/>
                <w:sz w:val="16"/>
                <w:szCs w:val="16"/>
                <w:color w:val="auto"/>
              </w:rPr>
              <w:t>130.74</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252,364</w:t>
            </w:r>
          </w:p>
        </w:tc>
        <w:tc>
          <w:tcPr>
            <w:tcW w:w="1400" w:type="dxa"/>
            <w:vAlign w:val="bottom"/>
            <w:gridSpan w:val="2"/>
          </w:tcPr>
          <w:p>
            <w:pPr>
              <w:jc w:val="right"/>
              <w:ind w:right="94"/>
              <w:spacing w:after="0"/>
              <w:rPr>
                <w:sz w:val="20"/>
                <w:szCs w:val="20"/>
                <w:color w:val="auto"/>
              </w:rPr>
            </w:pPr>
            <w:r>
              <w:rPr>
                <w:rFonts w:ascii="Arial" w:cs="Arial" w:eastAsia="Arial" w:hAnsi="Arial"/>
                <w:sz w:val="16"/>
                <w:szCs w:val="16"/>
                <w:b w:val="1"/>
                <w:bCs w:val="1"/>
                <w:color w:val="auto"/>
              </w:rPr>
              <w:t>5.90</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6"/>
                <w:szCs w:val="16"/>
                <w:b w:val="1"/>
                <w:bCs w:val="1"/>
                <w:color w:val="auto"/>
              </w:rPr>
              <w:t>91.04</w:t>
            </w:r>
          </w:p>
        </w:tc>
        <w:tc>
          <w:tcPr>
            <w:tcW w:w="1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rPr>
              <w:t>215,913</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6"/>
                <w:szCs w:val="16"/>
                <w:b w:val="1"/>
                <w:bCs w:val="1"/>
                <w:color w:val="auto"/>
              </w:rPr>
              <w:t>84.24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6A6A6"/>
            </w:tcBorders>
          </w:tcPr>
          <w:p>
            <w:pPr>
              <w:spacing w:after="0" w:line="20" w:lineRule="exact"/>
              <w:rPr>
                <w:sz w:val="1"/>
                <w:szCs w:val="1"/>
                <w:color w:val="auto"/>
              </w:rPr>
            </w:pPr>
          </w:p>
        </w:tc>
        <w:tc>
          <w:tcPr>
            <w:tcW w:w="1080" w:type="dxa"/>
            <w:vAlign w:val="bottom"/>
            <w:tcBorders>
              <w:top w:val="single" w:sz="8" w:color="004483"/>
              <w:bottom w:val="single" w:sz="8" w:color="004483"/>
            </w:tcBorders>
          </w:tcPr>
          <w:p>
            <w:pPr>
              <w:spacing w:after="0" w:line="20" w:lineRule="exact"/>
              <w:rPr>
                <w:sz w:val="1"/>
                <w:szCs w:val="1"/>
                <w:color w:val="auto"/>
              </w:rPr>
            </w:pPr>
          </w:p>
        </w:tc>
        <w:tc>
          <w:tcPr>
            <w:tcW w:w="80" w:type="dxa"/>
            <w:vAlign w:val="bottom"/>
            <w:tcBorders>
              <w:top w:val="single" w:sz="8" w:color="004483"/>
              <w:bottom w:val="single" w:sz="8" w:color="004483"/>
            </w:tcBorders>
          </w:tcPr>
          <w:p>
            <w:pPr>
              <w:spacing w:after="0" w:line="20" w:lineRule="exact"/>
              <w:rPr>
                <w:sz w:val="1"/>
                <w:szCs w:val="1"/>
                <w:color w:val="auto"/>
              </w:rPr>
            </w:pPr>
          </w:p>
        </w:tc>
        <w:tc>
          <w:tcPr>
            <w:tcW w:w="13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At March 31, 2024, the aggregate intrinsic value for outstanding and exercisable options was approximately $45.6 million and $40.5 million, respectively. The total intrinsic value of options exercised during the fiscal years ended March 31, 2024, 2023, and 2022 was approximately $18.8 million, $4.4 million and $15.7 million, respectively.</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92" w:name="page93"/>
    <w:bookmarkEnd w:id="9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RESTRICTED STOCK</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May 2023, under the Prior Plan, the Compensation Committee approved the granting to certain officers and key employees an aggregate of 45,693 shares of performance-vesting restricted stock that would be earned only if certain performance conditions were satisfied (the Fiscal 2024 Employee Restricted Stock Performance Award). The performance criterion for the Fiscal 2024 Employee Restricted Stock Performance Award was based upon the achievement of certain levels of return on equity (as defined in the agreement), ranging from 10% to 20%, for the performance periods described below. All stock options in each performance period will be earned if the return on equity is 20% or greater. If the return on equity is less than 20% but at least 10% in any performance period, the amount of stock options earned in such period will be reduced proportionately using straight-line interpolation, such that approximately 66.7% of the amount of stock options granted will be earned if the return on equity is 10%. If the Company does not achieve a return on equity of at least 10% during any performance period, all awards for the period will be forfeited. The restricted share performance periods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Borders>
              <w:bottom w:val="single" w:sz="8" w:color="004483"/>
            </w:tcBorders>
          </w:tcPr>
          <w:p>
            <w:pPr>
              <w:spacing w:after="0"/>
              <w:rPr>
                <w:sz w:val="16"/>
                <w:szCs w:val="16"/>
                <w:color w:val="auto"/>
              </w:rPr>
            </w:pPr>
          </w:p>
        </w:tc>
        <w:tc>
          <w:tcPr>
            <w:tcW w:w="1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004483"/>
            </w:tcBorders>
          </w:tcPr>
          <w:p>
            <w:pPr>
              <w:spacing w:after="0"/>
              <w:rPr>
                <w:sz w:val="16"/>
                <w:szCs w:val="16"/>
                <w:color w:val="auto"/>
              </w:rPr>
            </w:pPr>
          </w:p>
        </w:tc>
        <w:tc>
          <w:tcPr>
            <w:tcW w:w="31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Performance Period</w:t>
            </w:r>
          </w:p>
        </w:tc>
        <w:tc>
          <w:tcPr>
            <w:tcW w:w="220" w:type="dxa"/>
            <w:vAlign w:val="bottom"/>
            <w:tcBorders>
              <w:bottom w:val="single" w:sz="8" w:color="004483"/>
            </w:tcBorders>
          </w:tcPr>
          <w:p>
            <w:pPr>
              <w:spacing w:after="0"/>
              <w:rPr>
                <w:sz w:val="16"/>
                <w:szCs w:val="16"/>
                <w:color w:val="auto"/>
              </w:rPr>
            </w:pPr>
          </w:p>
        </w:tc>
        <w:tc>
          <w:tcPr>
            <w:tcW w:w="2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242"/>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One-Year Performance Shares</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11,424</w:t>
            </w:r>
          </w:p>
        </w:tc>
        <w:tc>
          <w:tcPr>
            <w:tcW w:w="120" w:type="dxa"/>
            <w:vAlign w:val="bottom"/>
          </w:tcPr>
          <w:p>
            <w:pPr>
              <w:spacing w:after="0"/>
              <w:rPr>
                <w:sz w:val="21"/>
                <w:szCs w:val="21"/>
                <w:color w:val="auto"/>
              </w:rPr>
            </w:pPr>
          </w:p>
        </w:tc>
        <w:tc>
          <w:tcPr>
            <w:tcW w:w="220" w:type="dxa"/>
            <w:vAlign w:val="bottom"/>
            <w:tcBorders>
              <w:bottom w:val="single" w:sz="8" w:color="A6A6A6"/>
            </w:tcBorders>
          </w:tcPr>
          <w:p>
            <w:pPr>
              <w:spacing w:after="0"/>
              <w:rPr>
                <w:sz w:val="21"/>
                <w:szCs w:val="21"/>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2024</w:t>
            </w:r>
          </w:p>
        </w:tc>
        <w:tc>
          <w:tcPr>
            <w:tcW w:w="220" w:type="dxa"/>
            <w:vAlign w:val="bottom"/>
            <w:tcBorders>
              <w:bottom w:val="single" w:sz="8" w:color="A6A6A6"/>
            </w:tcBorders>
          </w:tcPr>
          <w:p>
            <w:pPr>
              <w:spacing w:after="0"/>
              <w:rPr>
                <w:sz w:val="21"/>
                <w:szCs w:val="21"/>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2024</w:t>
            </w:r>
          </w:p>
        </w:tc>
      </w:tr>
      <w:tr>
        <w:trPr>
          <w:trHeight w:val="237"/>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Two-Year Performance Shares</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11,424</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April 1, 2023 to March 31, 2025</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004483"/>
              </w:rPr>
              <w:t>May 2025</w:t>
            </w:r>
          </w:p>
        </w:tc>
      </w:tr>
      <w:tr>
        <w:trPr>
          <w:trHeight w:val="237"/>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Three-Year Performance Shares</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22,845</w:t>
            </w:r>
          </w:p>
        </w:tc>
        <w:tc>
          <w:tcPr>
            <w:tcW w:w="120" w:type="dxa"/>
            <w:vAlign w:val="bottom"/>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3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April 1, 2023 to March 31, 2026</w:t>
            </w:r>
          </w:p>
        </w:tc>
        <w:tc>
          <w:tcPr>
            <w:tcW w:w="220" w:type="dxa"/>
            <w:vAlign w:val="bottom"/>
            <w:tcBorders>
              <w:bottom w:val="single" w:sz="8" w:color="A6A6A6"/>
            </w:tcBorders>
          </w:tcPr>
          <w:p>
            <w:pPr>
              <w:spacing w:after="0"/>
              <w:rPr>
                <w:sz w:val="20"/>
                <w:szCs w:val="20"/>
                <w:color w:val="auto"/>
              </w:rPr>
            </w:pPr>
          </w:p>
        </w:tc>
        <w:tc>
          <w:tcPr>
            <w:tcW w:w="2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May 2026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2024, the return on equity exceeded 20%, therefore all One -Year Performance Shares were earned.</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Compensation Committee also approved the granting of 38,072 shares of time-vesting restricted stock to the same officers and key employees, which vest ratably over three years (the Fiscal 2024 Employee Restricted Stock Time-Vesting Award). The Fiscal 2024 Employee Restricted Stock Performance Award and the Fiscal 2024 Employee Restricted Stock Time-Vesting Award were valued at the closing price of the stock on the date of grant and are being expensed over a three-year period.</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2023, under the 2023 Plan, we granted 10,755 shares of restricted stock to members of the Board (the Fiscal 2024 Board Restricted Stock Award). Restrictions on these shares will lapse one year after the grant date. The Fiscal 2024 Board Restricted Stock Award was valued at the closing price of the stock on the grant date and is being expensed over a one-year period.</w:t>
      </w:r>
    </w:p>
    <w:p>
      <w:pPr>
        <w:spacing w:after="0" w:line="6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In addition to the restricted stock described above, from time to time we issue restricted stock to certain employees. These awards are valued at the closing price of the stock on the grant date and expensed over the vesting period.</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fair value of restricted stock is estimated based on the stock price at the date of the grant. The following table summarizes the activity for nonvested restricted shares during the fiscal years ended March 31, 2024, 2023, and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88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320" w:type="dxa"/>
            <w:vAlign w:val="bottom"/>
            <w:shd w:val="clear" w:color="auto" w:fill="004483"/>
          </w:tcPr>
          <w:p>
            <w:pPr>
              <w:spacing w:after="0"/>
              <w:rPr>
                <w:sz w:val="14"/>
                <w:szCs w:val="14"/>
                <w:color w:val="auto"/>
              </w:rPr>
            </w:pPr>
          </w:p>
        </w:tc>
        <w:tc>
          <w:tcPr>
            <w:tcW w:w="7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2000" w:type="dxa"/>
            <w:vAlign w:val="bottom"/>
            <w:gridSpan w:val="4"/>
            <w:shd w:val="clear" w:color="auto" w:fill="004483"/>
          </w:tcPr>
          <w:p>
            <w:pPr>
              <w:jc w:val="right"/>
              <w:ind w:right="47"/>
              <w:spacing w:after="0"/>
              <w:rPr>
                <w:sz w:val="20"/>
                <w:szCs w:val="20"/>
                <w:color w:val="auto"/>
              </w:rPr>
            </w:pPr>
            <w:r>
              <w:rPr>
                <w:rFonts w:ascii="Arial" w:cs="Arial" w:eastAsia="Arial" w:hAnsi="Arial"/>
                <w:sz w:val="13"/>
                <w:szCs w:val="13"/>
                <w:b w:val="1"/>
                <w:bCs w:val="1"/>
                <w:color w:val="FFFFFF"/>
                <w:w w:val="97"/>
              </w:rPr>
              <w:t>For the Years Ended March 31,</w:t>
            </w:r>
          </w:p>
        </w:tc>
        <w:tc>
          <w:tcPr>
            <w:tcW w:w="1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0" w:type="dxa"/>
            <w:vAlign w:val="bottom"/>
            <w:shd w:val="clear" w:color="auto" w:fill="004483"/>
          </w:tcPr>
          <w:p>
            <w:pPr>
              <w:spacing w:after="0"/>
              <w:rPr>
                <w:sz w:val="14"/>
                <w:szCs w:val="14"/>
                <w:color w:val="auto"/>
              </w:rPr>
            </w:pPr>
          </w:p>
        </w:tc>
        <w:tc>
          <w:tcPr>
            <w:tcW w:w="7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320" w:type="dxa"/>
            <w:vAlign w:val="bottom"/>
            <w:gridSpan w:val="3"/>
          </w:tcPr>
          <w:p>
            <w:pPr>
              <w:ind w:left="900"/>
              <w:spacing w:after="0"/>
              <w:rPr>
                <w:sz w:val="20"/>
                <w:szCs w:val="20"/>
                <w:color w:val="auto"/>
              </w:rPr>
            </w:pPr>
            <w:r>
              <w:rPr>
                <w:rFonts w:ascii="Arial" w:cs="Arial" w:eastAsia="Arial" w:hAnsi="Arial"/>
                <w:sz w:val="13"/>
                <w:szCs w:val="13"/>
                <w:b w:val="1"/>
                <w:bCs w:val="1"/>
                <w:color w:val="auto"/>
              </w:rPr>
              <w:t>2024</w:t>
            </w:r>
          </w:p>
        </w:tc>
        <w:tc>
          <w:tcPr>
            <w:tcW w:w="760" w:type="dxa"/>
            <w:vAlign w:val="bottom"/>
          </w:tcPr>
          <w:p>
            <w:pPr>
              <w:spacing w:after="0"/>
              <w:rPr>
                <w:sz w:val="15"/>
                <w:szCs w:val="15"/>
                <w:color w:val="auto"/>
              </w:rPr>
            </w:pPr>
          </w:p>
        </w:tc>
        <w:tc>
          <w:tcPr>
            <w:tcW w:w="1460" w:type="dxa"/>
            <w:vAlign w:val="bottom"/>
            <w:gridSpan w:val="5"/>
          </w:tcPr>
          <w:p>
            <w:pPr>
              <w:ind w:left="1060"/>
              <w:spacing w:after="0"/>
              <w:rPr>
                <w:sz w:val="20"/>
                <w:szCs w:val="20"/>
                <w:color w:val="auto"/>
              </w:rPr>
            </w:pPr>
            <w:r>
              <w:rPr>
                <w:rFonts w:ascii="Arial" w:cs="Arial" w:eastAsia="Arial" w:hAnsi="Arial"/>
                <w:sz w:val="13"/>
                <w:szCs w:val="13"/>
                <w:b w:val="1"/>
                <w:bCs w:val="1"/>
                <w:color w:val="auto"/>
              </w:rPr>
              <w:t>2023</w:t>
            </w:r>
          </w:p>
        </w:tc>
        <w:tc>
          <w:tcPr>
            <w:tcW w:w="740" w:type="dxa"/>
            <w:vAlign w:val="bottom"/>
          </w:tcPr>
          <w:p>
            <w:pPr>
              <w:spacing w:after="0"/>
              <w:rPr>
                <w:sz w:val="15"/>
                <w:szCs w:val="15"/>
                <w:color w:val="auto"/>
              </w:rPr>
            </w:pPr>
          </w:p>
        </w:tc>
        <w:tc>
          <w:tcPr>
            <w:tcW w:w="1480" w:type="dxa"/>
            <w:vAlign w:val="bottom"/>
            <w:gridSpan w:val="5"/>
          </w:tcPr>
          <w:p>
            <w:pPr>
              <w:ind w:left="1080"/>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880" w:type="dxa"/>
            <w:vAlign w:val="bottom"/>
            <w:tcBorders>
              <w:top w:val="single" w:sz="8" w:color="004483"/>
            </w:tcBorders>
          </w:tcPr>
          <w:p>
            <w:pPr>
              <w:spacing w:after="0"/>
              <w:rPr>
                <w:sz w:val="11"/>
                <w:szCs w:val="11"/>
                <w:color w:val="auto"/>
              </w:rPr>
            </w:pPr>
          </w:p>
        </w:tc>
        <w:tc>
          <w:tcPr>
            <w:tcW w:w="120" w:type="dxa"/>
            <w:vAlign w:val="bottom"/>
            <w:tcBorders>
              <w:top w:val="single" w:sz="8" w:color="004483"/>
            </w:tcBorders>
          </w:tcPr>
          <w:p>
            <w:pPr>
              <w:spacing w:after="0"/>
              <w:rPr>
                <w:sz w:val="11"/>
                <w:szCs w:val="11"/>
                <w:color w:val="auto"/>
              </w:rPr>
            </w:pPr>
          </w:p>
        </w:tc>
        <w:tc>
          <w:tcPr>
            <w:tcW w:w="320" w:type="dxa"/>
            <w:vAlign w:val="bottom"/>
            <w:tcBorders>
              <w:top w:val="single" w:sz="8" w:color="004483"/>
            </w:tcBorders>
          </w:tcPr>
          <w:p>
            <w:pPr>
              <w:spacing w:after="0"/>
              <w:rPr>
                <w:sz w:val="11"/>
                <w:szCs w:val="11"/>
                <w:color w:val="auto"/>
              </w:rPr>
            </w:pPr>
          </w:p>
        </w:tc>
        <w:tc>
          <w:tcPr>
            <w:tcW w:w="760" w:type="dxa"/>
            <w:vAlign w:val="bottom"/>
            <w:tcBorders>
              <w:top w:val="single" w:sz="8" w:color="004483"/>
            </w:tcBorders>
          </w:tcPr>
          <w:p>
            <w:pPr>
              <w:jc w:val="right"/>
              <w:spacing w:after="0" w:line="131"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004483"/>
            </w:tcBorders>
          </w:tcPr>
          <w:p>
            <w:pPr>
              <w:spacing w:after="0"/>
              <w:rPr>
                <w:sz w:val="11"/>
                <w:szCs w:val="11"/>
                <w:color w:val="auto"/>
              </w:rPr>
            </w:pPr>
          </w:p>
        </w:tc>
        <w:tc>
          <w:tcPr>
            <w:tcW w:w="100" w:type="dxa"/>
            <w:vAlign w:val="bottom"/>
            <w:tcBorders>
              <w:top w:val="single" w:sz="8" w:color="004483"/>
            </w:tcBorders>
          </w:tcPr>
          <w:p>
            <w:pPr>
              <w:spacing w:after="0"/>
              <w:rPr>
                <w:sz w:val="11"/>
                <w:szCs w:val="11"/>
                <w:color w:val="auto"/>
              </w:rPr>
            </w:pPr>
          </w:p>
        </w:tc>
        <w:tc>
          <w:tcPr>
            <w:tcW w:w="280" w:type="dxa"/>
            <w:vAlign w:val="bottom"/>
            <w:tcBorders>
              <w:top w:val="single" w:sz="8" w:color="004483"/>
            </w:tcBorders>
          </w:tcPr>
          <w:p>
            <w:pPr>
              <w:spacing w:after="0"/>
              <w:rPr>
                <w:sz w:val="11"/>
                <w:szCs w:val="11"/>
                <w:color w:val="auto"/>
              </w:rPr>
            </w:pPr>
          </w:p>
        </w:tc>
        <w:tc>
          <w:tcPr>
            <w:tcW w:w="740" w:type="dxa"/>
            <w:vAlign w:val="bottom"/>
            <w:tcBorders>
              <w:top w:val="single" w:sz="8" w:color="004483"/>
            </w:tcBorders>
          </w:tcPr>
          <w:p>
            <w:pPr>
              <w:jc w:val="right"/>
              <w:spacing w:after="0" w:line="131"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004483"/>
            </w:tcBorders>
          </w:tcPr>
          <w:p>
            <w:pPr>
              <w:spacing w:after="0"/>
              <w:rPr>
                <w:sz w:val="11"/>
                <w:szCs w:val="11"/>
                <w:color w:val="auto"/>
              </w:rPr>
            </w:pPr>
          </w:p>
        </w:tc>
        <w:tc>
          <w:tcPr>
            <w:tcW w:w="120" w:type="dxa"/>
            <w:vAlign w:val="bottom"/>
            <w:tcBorders>
              <w:top w:val="single" w:sz="8" w:color="004483"/>
            </w:tcBorders>
          </w:tcPr>
          <w:p>
            <w:pPr>
              <w:spacing w:after="0"/>
              <w:rPr>
                <w:sz w:val="11"/>
                <w:szCs w:val="11"/>
                <w:color w:val="auto"/>
              </w:rPr>
            </w:pPr>
          </w:p>
        </w:tc>
        <w:tc>
          <w:tcPr>
            <w:tcW w:w="280" w:type="dxa"/>
            <w:vAlign w:val="bottom"/>
            <w:tcBorders>
              <w:top w:val="single" w:sz="8" w:color="004483"/>
            </w:tcBorders>
          </w:tcPr>
          <w:p>
            <w:pPr>
              <w:spacing w:after="0"/>
              <w:rPr>
                <w:sz w:val="11"/>
                <w:szCs w:val="11"/>
                <w:color w:val="auto"/>
              </w:rPr>
            </w:pPr>
          </w:p>
        </w:tc>
        <w:tc>
          <w:tcPr>
            <w:tcW w:w="760" w:type="dxa"/>
            <w:vAlign w:val="bottom"/>
            <w:tcBorders>
              <w:top w:val="single" w:sz="8" w:color="004483"/>
            </w:tcBorders>
          </w:tcPr>
          <w:p>
            <w:pPr>
              <w:jc w:val="right"/>
              <w:spacing w:after="0" w:line="131"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Number</w:t>
            </w:r>
          </w:p>
        </w:tc>
        <w:tc>
          <w:tcPr>
            <w:tcW w:w="3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 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of Shares</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of Shares</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of Shares</w:t>
            </w:r>
          </w:p>
        </w:tc>
        <w:tc>
          <w:tcPr>
            <w:tcW w:w="2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16"/>
        </w:trPr>
        <w:tc>
          <w:tcPr>
            <w:tcW w:w="46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Nonvested Restricted Stock at Beginning of Year</w:t>
            </w:r>
          </w:p>
        </w:tc>
        <w:tc>
          <w:tcPr>
            <w:tcW w:w="8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219,084</w:t>
            </w:r>
          </w:p>
        </w:tc>
        <w:tc>
          <w:tcPr>
            <w:tcW w:w="120" w:type="dxa"/>
            <w:vAlign w:val="bottom"/>
          </w:tcPr>
          <w:p>
            <w:pPr>
              <w:spacing w:after="0"/>
              <w:rPr>
                <w:sz w:val="18"/>
                <w:szCs w:val="18"/>
                <w:color w:val="auto"/>
              </w:rPr>
            </w:pPr>
          </w:p>
        </w:tc>
        <w:tc>
          <w:tcPr>
            <w:tcW w:w="320" w:type="dxa"/>
            <w:vAlign w:val="bottom"/>
            <w:tcBorders>
              <w:top w:val="single" w:sz="8" w:color="004483"/>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96.54</w:t>
            </w:r>
          </w:p>
        </w:tc>
        <w:tc>
          <w:tcPr>
            <w:tcW w:w="100" w:type="dxa"/>
            <w:vAlign w:val="bottom"/>
          </w:tcPr>
          <w:p>
            <w:pPr>
              <w:spacing w:after="0"/>
              <w:rPr>
                <w:sz w:val="18"/>
                <w:szCs w:val="18"/>
                <w:color w:val="auto"/>
              </w:rPr>
            </w:pPr>
          </w:p>
        </w:tc>
        <w:tc>
          <w:tcPr>
            <w:tcW w:w="98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258,779</w:t>
            </w:r>
          </w:p>
        </w:tc>
        <w:tc>
          <w:tcPr>
            <w:tcW w:w="100" w:type="dxa"/>
            <w:vAlign w:val="bottom"/>
          </w:tcPr>
          <w:p>
            <w:pPr>
              <w:spacing w:after="0"/>
              <w:rPr>
                <w:sz w:val="18"/>
                <w:szCs w:val="18"/>
                <w:color w:val="auto"/>
              </w:rPr>
            </w:pPr>
          </w:p>
        </w:tc>
        <w:tc>
          <w:tcPr>
            <w:tcW w:w="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85.34</w:t>
            </w:r>
          </w:p>
        </w:tc>
        <w:tc>
          <w:tcPr>
            <w:tcW w:w="120" w:type="dxa"/>
            <w:vAlign w:val="bottom"/>
          </w:tcPr>
          <w:p>
            <w:pPr>
              <w:spacing w:after="0"/>
              <w:rPr>
                <w:sz w:val="18"/>
                <w:szCs w:val="18"/>
                <w:color w:val="auto"/>
              </w:rPr>
            </w:pPr>
          </w:p>
        </w:tc>
        <w:tc>
          <w:tcPr>
            <w:tcW w:w="96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267,090</w:t>
            </w:r>
          </w:p>
        </w:tc>
        <w:tc>
          <w:tcPr>
            <w:tcW w:w="120" w:type="dxa"/>
            <w:vAlign w:val="bottom"/>
          </w:tcPr>
          <w:p>
            <w:pPr>
              <w:spacing w:after="0"/>
              <w:rPr>
                <w:sz w:val="18"/>
                <w:szCs w:val="18"/>
                <w:color w:val="auto"/>
              </w:rPr>
            </w:pPr>
          </w:p>
        </w:tc>
        <w:tc>
          <w:tcPr>
            <w:tcW w:w="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Granted</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97,257</w:t>
            </w:r>
          </w:p>
        </w:tc>
        <w:tc>
          <w:tcPr>
            <w:tcW w:w="120" w:type="dxa"/>
            <w:vAlign w:val="bottom"/>
          </w:tcPr>
          <w:p>
            <w:pPr>
              <w:spacing w:after="0"/>
              <w:rPr>
                <w:sz w:val="18"/>
                <w:szCs w:val="18"/>
                <w:color w:val="auto"/>
              </w:rPr>
            </w:pPr>
          </w:p>
        </w:tc>
        <w:tc>
          <w:tcPr>
            <w:tcW w:w="32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169.62</w:t>
            </w:r>
          </w:p>
        </w:tc>
        <w:tc>
          <w:tcPr>
            <w:tcW w:w="100" w:type="dxa"/>
            <w:vAlign w:val="bottom"/>
          </w:tcPr>
          <w:p>
            <w:pPr>
              <w:spacing w:after="0"/>
              <w:rPr>
                <w:sz w:val="18"/>
                <w:szCs w:val="18"/>
                <w:color w:val="auto"/>
              </w:rPr>
            </w:pPr>
          </w:p>
        </w:tc>
        <w:tc>
          <w:tcPr>
            <w:tcW w:w="9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111,230</w:t>
            </w:r>
          </w:p>
        </w:tc>
        <w:tc>
          <w:tcPr>
            <w:tcW w:w="100" w:type="dxa"/>
            <w:vAlign w:val="bottom"/>
          </w:tcPr>
          <w:p>
            <w:pPr>
              <w:spacing w:after="0"/>
              <w:rPr>
                <w:sz w:val="18"/>
                <w:szCs w:val="18"/>
                <w:color w:val="auto"/>
              </w:rPr>
            </w:pPr>
          </w:p>
        </w:tc>
        <w:tc>
          <w:tcPr>
            <w:tcW w:w="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18"/>
                <w:szCs w:val="18"/>
                <w:color w:val="auto"/>
              </w:rPr>
            </w:pPr>
          </w:p>
        </w:tc>
        <w:tc>
          <w:tcPr>
            <w:tcW w:w="9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113,414</w:t>
            </w:r>
          </w:p>
        </w:tc>
        <w:tc>
          <w:tcPr>
            <w:tcW w:w="120" w:type="dxa"/>
            <w:vAlign w:val="bottom"/>
          </w:tcPr>
          <w:p>
            <w:pPr>
              <w:spacing w:after="0"/>
              <w:rPr>
                <w:sz w:val="18"/>
                <w:szCs w:val="18"/>
                <w:color w:val="auto"/>
              </w:rPr>
            </w:pPr>
          </w:p>
        </w:tc>
        <w:tc>
          <w:tcPr>
            <w:tcW w:w="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Vested</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(111,695</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124.78</w:t>
            </w:r>
          </w:p>
        </w:tc>
        <w:tc>
          <w:tcPr>
            <w:tcW w:w="100" w:type="dxa"/>
            <w:vAlign w:val="bottom"/>
          </w:tcPr>
          <w:p>
            <w:pPr>
              <w:spacing w:after="0"/>
              <w:rPr>
                <w:sz w:val="18"/>
                <w:szCs w:val="18"/>
                <w:color w:val="auto"/>
              </w:rPr>
            </w:pPr>
          </w:p>
        </w:tc>
        <w:tc>
          <w:tcPr>
            <w:tcW w:w="9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(147,678</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104.33</w:t>
            </w:r>
          </w:p>
        </w:tc>
        <w:tc>
          <w:tcPr>
            <w:tcW w:w="120" w:type="dxa"/>
            <w:vAlign w:val="bottom"/>
          </w:tcPr>
          <w:p>
            <w:pPr>
              <w:spacing w:after="0"/>
              <w:rPr>
                <w:sz w:val="18"/>
                <w:szCs w:val="18"/>
                <w:color w:val="auto"/>
              </w:rPr>
            </w:pPr>
          </w:p>
        </w:tc>
        <w:tc>
          <w:tcPr>
            <w:tcW w:w="9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(116,507</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b w:val="1"/>
                <w:bCs w:val="1"/>
                <w:color w:val="004483"/>
              </w:rPr>
              <w:t>Cancelled</w:t>
            </w:r>
          </w:p>
        </w:tc>
        <w:tc>
          <w:tcPr>
            <w:tcW w:w="88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124.82</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(5,218</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004483"/>
              </w:rPr>
              <w:t>Nonvested Restricted Stock at End of Year</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201,646</w:t>
            </w:r>
          </w:p>
        </w:tc>
        <w:tc>
          <w:tcPr>
            <w:tcW w:w="120" w:type="dxa"/>
            <w:vAlign w:val="bottom"/>
          </w:tcPr>
          <w:p>
            <w:pPr>
              <w:spacing w:after="0"/>
              <w:rPr>
                <w:sz w:val="18"/>
                <w:szCs w:val="18"/>
                <w:color w:val="auto"/>
              </w:rPr>
            </w:pPr>
          </w:p>
        </w:tc>
        <w:tc>
          <w:tcPr>
            <w:tcW w:w="320" w:type="dxa"/>
            <w:vAlign w:val="bottom"/>
            <w:tcBorders>
              <w:top w:val="single" w:sz="8" w:color="A6A6A6"/>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122.58</w:t>
            </w:r>
          </w:p>
        </w:tc>
        <w:tc>
          <w:tcPr>
            <w:tcW w:w="10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219,084</w:t>
            </w:r>
          </w:p>
        </w:tc>
        <w:tc>
          <w:tcPr>
            <w:tcW w:w="100" w:type="dxa"/>
            <w:vAlign w:val="bottom"/>
          </w:tcPr>
          <w:p>
            <w:pPr>
              <w:spacing w:after="0"/>
              <w:rPr>
                <w:sz w:val="18"/>
                <w:szCs w:val="18"/>
                <w:color w:val="auto"/>
              </w:rPr>
            </w:pPr>
          </w:p>
        </w:tc>
        <w:tc>
          <w:tcPr>
            <w:tcW w:w="28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96.54</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258,779</w:t>
            </w:r>
          </w:p>
        </w:tc>
        <w:tc>
          <w:tcPr>
            <w:tcW w:w="120" w:type="dxa"/>
            <w:vAlign w:val="bottom"/>
          </w:tcPr>
          <w:p>
            <w:pPr>
              <w:spacing w:after="0"/>
              <w:rPr>
                <w:sz w:val="18"/>
                <w:szCs w:val="18"/>
                <w:color w:val="auto"/>
              </w:rPr>
            </w:pPr>
          </w:p>
        </w:tc>
        <w:tc>
          <w:tcPr>
            <w:tcW w:w="28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85.34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ind w:right="460"/>
        <w:spacing w:after="0" w:line="253" w:lineRule="auto"/>
        <w:rPr>
          <w:sz w:val="20"/>
          <w:szCs w:val="20"/>
          <w:color w:val="auto"/>
        </w:rPr>
      </w:pPr>
      <w:r>
        <w:rPr>
          <w:rFonts w:ascii="Arial" w:cs="Arial" w:eastAsia="Arial" w:hAnsi="Arial"/>
          <w:sz w:val="18"/>
          <w:szCs w:val="18"/>
          <w:color w:val="auto"/>
        </w:rPr>
        <w:t>Expense related to restricted shares was $17.9 million, $13.7 million, and $10.9 million in fiscal years ended March 31, 2024, 2023, and 2022, respectively. At March 31, 2024, there were approximately 201,000 shares with remaining restrictions, for which $17.4 million of unearned compensation will be recognized over a weighted-average period of 1.4 years.</w:t>
      </w:r>
    </w:p>
    <w:p>
      <w:pPr>
        <w:spacing w:after="0" w:line="6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2023 Plan was 1,411,799 shares at March 31, 2024.</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(L) NET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within Interest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740" w:type="dxa"/>
            <w:vAlign w:val="bottom"/>
            <w:gridSpan w:val="5"/>
            <w:shd w:val="clear" w:color="auto" w:fill="004483"/>
          </w:tcPr>
          <w:p>
            <w:pPr>
              <w:ind w:left="880"/>
              <w:spacing w:after="0"/>
              <w:rPr>
                <w:sz w:val="20"/>
                <w:szCs w:val="20"/>
                <w:color w:val="auto"/>
              </w:rPr>
            </w:pPr>
            <w:r>
              <w:rPr>
                <w:rFonts w:ascii="Arial" w:cs="Arial" w:eastAsia="Arial" w:hAnsi="Arial"/>
                <w:sz w:val="13"/>
                <w:szCs w:val="13"/>
                <w:b w:val="1"/>
                <w:bCs w:val="1"/>
                <w:color w:val="FFFFFF"/>
                <w:w w:val="96"/>
              </w:rPr>
              <w:t>For the Years Ended March 31,</w:t>
            </w:r>
          </w:p>
        </w:tc>
        <w:tc>
          <w:tcPr>
            <w:tcW w:w="460" w:type="dxa"/>
            <w:vAlign w:val="bottom"/>
            <w:shd w:val="clear" w:color="auto" w:fill="004483"/>
          </w:tcPr>
          <w:p>
            <w:pPr>
              <w:spacing w:after="0"/>
              <w:rPr>
                <w:sz w:val="14"/>
                <w:szCs w:val="14"/>
                <w:color w:val="auto"/>
              </w:rPr>
            </w:pPr>
          </w:p>
        </w:tc>
        <w:tc>
          <w:tcPr>
            <w:tcW w:w="96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ind w:right="65"/>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460" w:type="dxa"/>
            <w:vAlign w:val="bottom"/>
            <w:tcBorders>
              <w:bottom w:val="single" w:sz="8" w:color="004483"/>
            </w:tcBorders>
          </w:tcPr>
          <w:p>
            <w:pPr>
              <w:spacing w:after="0"/>
              <w:rPr>
                <w:sz w:val="16"/>
                <w:szCs w:val="16"/>
                <w:color w:val="auto"/>
              </w:rPr>
            </w:pPr>
          </w:p>
        </w:tc>
        <w:tc>
          <w:tcPr>
            <w:tcW w:w="100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58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rPr>
              <w:t>(dollars in thousands)</w:t>
            </w:r>
          </w:p>
        </w:tc>
        <w:tc>
          <w:tcPr>
            <w:tcW w:w="4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r>
      <w:tr>
        <w:trPr>
          <w:trHeight w:val="215"/>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Income</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(1,043 )</w:t>
            </w:r>
          </w:p>
        </w:tc>
        <w:tc>
          <w:tcPr>
            <w:tcW w:w="620" w:type="dxa"/>
            <w:vAlign w:val="bottom"/>
            <w:tcBorders>
              <w:bottom w:val="single" w:sz="8" w:color="A6A6A6"/>
            </w:tcBorders>
            <w:gridSpan w:val="2"/>
          </w:tcPr>
          <w:p>
            <w:pPr>
              <w:ind w:lef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(421 )</w:t>
            </w: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(39 )</w:t>
            </w:r>
          </w:p>
        </w:tc>
      </w:tr>
      <w:tr>
        <w:trPr>
          <w:trHeight w:val="209"/>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4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41,403</w:t>
            </w: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33,706</w:t>
            </w: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21,637</w:t>
            </w:r>
          </w:p>
        </w:tc>
      </w:tr>
      <w:tr>
        <w:trPr>
          <w:trHeight w:val="237"/>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4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color w:val="auto"/>
              </w:rPr>
              <w:t>1,897</w:t>
            </w:r>
          </w:p>
        </w:tc>
        <w:tc>
          <w:tcPr>
            <w:tcW w:w="160" w:type="dxa"/>
            <w:vAlign w:val="bottom"/>
            <w:tcBorders>
              <w:bottom w:val="single" w:sz="8" w:color="A6A6A6"/>
            </w:tcBorders>
          </w:tcPr>
          <w:p>
            <w:pPr>
              <w:spacing w:after="0"/>
              <w:rPr>
                <w:sz w:val="20"/>
                <w:szCs w:val="20"/>
                <w:color w:val="auto"/>
              </w:rPr>
            </w:pPr>
          </w:p>
        </w:tc>
        <w:tc>
          <w:tcPr>
            <w:tcW w:w="4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1,886</w:t>
            </w:r>
          </w:p>
        </w:tc>
        <w:tc>
          <w:tcPr>
            <w:tcW w:w="160" w:type="dxa"/>
            <w:vAlign w:val="bottom"/>
            <w:tcBorders>
              <w:bottom w:val="single" w:sz="8" w:color="A6A6A6"/>
            </w:tcBorders>
          </w:tcPr>
          <w:p>
            <w:pPr>
              <w:spacing w:after="0"/>
              <w:rPr>
                <w:sz w:val="20"/>
                <w:szCs w:val="20"/>
                <w:color w:val="auto"/>
              </w:rPr>
            </w:pPr>
          </w:p>
        </w:tc>
        <w:tc>
          <w:tcPr>
            <w:tcW w:w="4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9,275</w:t>
            </w: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42,257</w:t>
            </w:r>
          </w:p>
        </w:tc>
        <w:tc>
          <w:tcPr>
            <w:tcW w:w="160" w:type="dxa"/>
            <w:vAlign w:val="bottom"/>
          </w:tcPr>
          <w:p>
            <w:pPr>
              <w:spacing w:after="0"/>
              <w:rPr>
                <w:sz w:val="18"/>
                <w:szCs w:val="18"/>
                <w:color w:val="auto"/>
              </w:rPr>
            </w:pPr>
          </w:p>
        </w:tc>
        <w:tc>
          <w:tcPr>
            <w:tcW w:w="4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35,171</w:t>
            </w:r>
          </w:p>
        </w:tc>
        <w:tc>
          <w:tcPr>
            <w:tcW w:w="16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30,873</w:t>
            </w:r>
          </w:p>
        </w:tc>
      </w:tr>
      <w:tr>
        <w:trPr>
          <w:trHeight w:val="20"/>
        </w:trPr>
        <w:tc>
          <w:tcPr>
            <w:tcW w:w="66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29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Interest Income includes interest earned on investments of excess Cash and Cash Equivalents.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and Term Loan costs.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(M) PENSION AND PROFIT SHARING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offer our employees multiple retirement and profit sharing plans.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Pension Plans</w:t>
      </w:r>
    </w:p>
    <w:p>
      <w:pPr>
        <w:spacing w:after="0" w:line="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have several defined benefit and defined contribution retirement plans that together cover substantially all of our employees. Benefits paid under the defined benefit plans covering certain hourly employees are based on years of service and each employee’s qualifying compensation over the last few years of employment. During fiscal 2020, the last of our pension plans that was still accruing benefits was frozen; therefore, none of our pension plans are accruing additional benefits.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spacing w:after="0" w:line="8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following table provides a reconciliation of the Benefit Obligations and Fair Values of Plan Assets for all defined benefit plans for the years ended March 31, 2024 and 2023, as well as a statement of the funded status for the same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320" w:type="dxa"/>
            <w:vAlign w:val="bottom"/>
            <w:gridSpan w:val="3"/>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For the Years Ended March 31,</w:t>
            </w:r>
          </w:p>
        </w:tc>
        <w:tc>
          <w:tcPr>
            <w:tcW w:w="760" w:type="dxa"/>
            <w:vAlign w:val="bottom"/>
            <w:shd w:val="clear" w:color="auto" w:fill="004483"/>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ind w:right="62"/>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320" w:type="dxa"/>
            <w:vAlign w:val="bottom"/>
            <w:tcBorders>
              <w:bottom w:val="single" w:sz="8" w:color="004483"/>
            </w:tcBorders>
            <w:gridSpan w:val="3"/>
          </w:tcPr>
          <w:p>
            <w:pPr>
              <w:jc w:val="right"/>
              <w:ind w:right="37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Reconciliation of Benefit Obligations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Benefit Obligation at April 1,</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29,189</w:t>
            </w:r>
          </w:p>
        </w:tc>
        <w:tc>
          <w:tcPr>
            <w:tcW w:w="108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33,909</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Cost on Projected Benefit Obligation</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1,413</w:t>
            </w: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1,240</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Actuarial Gain</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(829 )</w:t>
            </w: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(4,509 )</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Benefits Paid</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(1,643 )</w:t>
            </w:r>
          </w:p>
        </w:tc>
        <w:tc>
          <w:tcPr>
            <w:tcW w:w="18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(1,451 )</w:t>
            </w:r>
          </w:p>
        </w:tc>
      </w:tr>
      <w:tr>
        <w:trPr>
          <w:trHeight w:val="237"/>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Benefit Obligation at March 31,</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28,130</w:t>
            </w:r>
          </w:p>
        </w:tc>
        <w:tc>
          <w:tcPr>
            <w:tcW w:w="18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29,189</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Reconciliation of Fair Value of Plan Assets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Fair Value of Plan Assets at April 1,</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31,106</w:t>
            </w:r>
          </w:p>
        </w:tc>
        <w:tc>
          <w:tcPr>
            <w:tcW w:w="108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36,313</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Actual Return on Plan Assets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641</w:t>
            </w: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(3,756 )</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Employer Contributions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Benefits Paid</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(1,643 )</w:t>
            </w:r>
          </w:p>
        </w:tc>
        <w:tc>
          <w:tcPr>
            <w:tcW w:w="18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(1,451 )</w:t>
            </w:r>
          </w:p>
        </w:tc>
      </w:tr>
      <w:tr>
        <w:trPr>
          <w:trHeight w:val="236"/>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Fair Value of Plan Assets at March 31,</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30,124</w:t>
            </w:r>
          </w:p>
        </w:tc>
        <w:tc>
          <w:tcPr>
            <w:tcW w:w="18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31,106</w:t>
            </w: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Funded Status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Arial" w:cs="Arial" w:eastAsia="Arial" w:hAnsi="Arial"/>
                <w:sz w:val="16"/>
                <w:szCs w:val="16"/>
                <w:b w:val="1"/>
                <w:bCs w:val="1"/>
                <w:color w:val="auto"/>
              </w:rPr>
              <w:t>Funded Status at March 31,</w:t>
            </w: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1,994</w:t>
            </w:r>
          </w:p>
        </w:tc>
        <w:tc>
          <w:tcPr>
            <w:tcW w:w="10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b w:val="1"/>
                <w:bCs w:val="1"/>
                <w:color w:val="auto"/>
              </w:rPr>
              <w:t>1,917</w:t>
            </w: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440" w:type="dxa"/>
            <w:vAlign w:val="bottom"/>
            <w:tcBorders>
              <w:top w:val="single" w:sz="8" w:color="004483"/>
              <w:bottom w:val="single" w:sz="8" w:color="004483"/>
            </w:tcBorders>
          </w:tcPr>
          <w:p>
            <w:pPr>
              <w:spacing w:after="0" w:line="20" w:lineRule="exact"/>
              <w:rPr>
                <w:sz w:val="1"/>
                <w:szCs w:val="1"/>
                <w:color w:val="auto"/>
              </w:rPr>
            </w:pPr>
          </w:p>
        </w:tc>
        <w:tc>
          <w:tcPr>
            <w:tcW w:w="124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900" w:type="dxa"/>
            <w:vAlign w:val="bottom"/>
            <w:tcBorders>
              <w:top w:val="single" w:sz="8" w:color="004483"/>
              <w:bottom w:val="single" w:sz="8" w:color="004483"/>
            </w:tcBorders>
          </w:tcPr>
          <w:p>
            <w:pPr>
              <w:spacing w:after="0" w:line="20" w:lineRule="exact"/>
              <w:rPr>
                <w:sz w:val="1"/>
                <w:szCs w:val="1"/>
                <w:color w:val="auto"/>
              </w:rPr>
            </w:pPr>
          </w:p>
        </w:tc>
        <w:tc>
          <w:tcPr>
            <w:tcW w:w="760" w:type="dxa"/>
            <w:vAlign w:val="bottom"/>
            <w:tcBorders>
              <w:top w:val="single" w:sz="8" w:color="004483"/>
              <w:bottom w:val="single" w:sz="8" w:color="004483"/>
            </w:tcBorders>
          </w:tcPr>
          <w:p>
            <w:pPr>
              <w:spacing w:after="0" w:line="20" w:lineRule="exact"/>
              <w:rPr>
                <w:sz w:val="1"/>
                <w:szCs w:val="1"/>
                <w:color w:val="auto"/>
              </w:rPr>
            </w:pPr>
          </w:p>
        </w:tc>
      </w:tr>
      <w:tr>
        <w:trPr>
          <w:trHeight w:val="19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Amounts Recognized in the Balance Sheet Include:</w:t>
            </w:r>
          </w:p>
        </w:tc>
        <w:tc>
          <w:tcPr>
            <w:tcW w:w="44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1,994</w:t>
            </w:r>
          </w:p>
        </w:tc>
        <w:tc>
          <w:tcPr>
            <w:tcW w:w="108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1,917</w:t>
            </w:r>
          </w:p>
        </w:tc>
      </w:tr>
      <w:tr>
        <w:trPr>
          <w:trHeight w:val="210"/>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Accumulated Other Comprehensive Losses</w:t>
            </w:r>
          </w:p>
        </w:tc>
        <w:tc>
          <w:tcPr>
            <w:tcW w:w="44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r>
      <w:tr>
        <w:trPr>
          <w:trHeight w:val="237"/>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Actuarial Loss</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4,454</w:t>
            </w:r>
          </w:p>
        </w:tc>
        <w:tc>
          <w:tcPr>
            <w:tcW w:w="18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color w:val="auto"/>
              </w:rPr>
              <w:t>4,662</w:t>
            </w:r>
          </w:p>
        </w:tc>
      </w:tr>
      <w:tr>
        <w:trPr>
          <w:trHeight w:val="209"/>
        </w:trPr>
        <w:tc>
          <w:tcPr>
            <w:tcW w:w="77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Accumulated Other Comprehensive Losses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4,454</w:t>
            </w:r>
          </w:p>
        </w:tc>
        <w:tc>
          <w:tcPr>
            <w:tcW w:w="1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7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4,662</w:t>
            </w:r>
          </w:p>
        </w:tc>
      </w:tr>
      <w:tr>
        <w:trPr>
          <w:trHeight w:val="237"/>
        </w:trPr>
        <w:tc>
          <w:tcPr>
            <w:tcW w:w="77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Tax Impact</w:t>
            </w:r>
          </w:p>
        </w:tc>
        <w:tc>
          <w:tcPr>
            <w:tcW w:w="44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(1,081 )</w:t>
            </w:r>
          </w:p>
        </w:tc>
        <w:tc>
          <w:tcPr>
            <w:tcW w:w="18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(1,115 )</w:t>
            </w:r>
          </w:p>
        </w:tc>
      </w:tr>
      <w:tr>
        <w:trPr>
          <w:trHeight w:val="210"/>
        </w:trPr>
        <w:tc>
          <w:tcPr>
            <w:tcW w:w="7720" w:type="dxa"/>
            <w:vAlign w:val="bottom"/>
          </w:tcPr>
          <w:p>
            <w:pPr>
              <w:ind w:left="200"/>
              <w:spacing w:after="0"/>
              <w:rPr>
                <w:sz w:val="20"/>
                <w:szCs w:val="20"/>
                <w:color w:val="auto"/>
              </w:rPr>
            </w:pPr>
            <w:r>
              <w:rPr>
                <w:rFonts w:ascii="Arial" w:cs="Arial" w:eastAsia="Arial" w:hAnsi="Arial"/>
                <w:sz w:val="16"/>
                <w:szCs w:val="16"/>
                <w:b w:val="1"/>
                <w:bCs w:val="1"/>
                <w:color w:val="auto"/>
              </w:rPr>
              <w:t>Accumulated Other Comprehensive Losses, net of tax</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3,373</w:t>
            </w:r>
          </w:p>
        </w:tc>
        <w:tc>
          <w:tcPr>
            <w:tcW w:w="180" w:type="dxa"/>
            <w:vAlign w:val="bottom"/>
          </w:tcPr>
          <w:p>
            <w:pPr>
              <w:spacing w:after="0"/>
              <w:rPr>
                <w:sz w:val="18"/>
                <w:szCs w:val="18"/>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3,547</w:t>
            </w:r>
          </w:p>
        </w:tc>
      </w:tr>
      <w:tr>
        <w:trPr>
          <w:trHeight w:val="20"/>
        </w:trPr>
        <w:tc>
          <w:tcPr>
            <w:tcW w:w="77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fiscal years ended March 31, 2024, 2023, and 2022, included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480" w:type="dxa"/>
            <w:vAlign w:val="bottom"/>
            <w:shd w:val="clear" w:color="auto" w:fill="004483"/>
          </w:tcPr>
          <w:p>
            <w:pPr>
              <w:spacing w:after="0"/>
              <w:rPr>
                <w:sz w:val="14"/>
                <w:szCs w:val="14"/>
                <w:color w:val="auto"/>
              </w:rPr>
            </w:pPr>
          </w:p>
        </w:tc>
        <w:tc>
          <w:tcPr>
            <w:tcW w:w="3200" w:type="dxa"/>
            <w:vAlign w:val="bottom"/>
            <w:gridSpan w:val="6"/>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For the Years Ended March 31,</w:t>
            </w:r>
          </w:p>
        </w:tc>
        <w:tc>
          <w:tcPr>
            <w:tcW w:w="940" w:type="dxa"/>
            <w:vAlign w:val="bottom"/>
            <w:shd w:val="clear" w:color="auto" w:fill="004483"/>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ind w:right="65"/>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3"/>
                <w:szCs w:val="13"/>
                <w:b w:val="1"/>
                <w:bCs w:val="1"/>
                <w:color w:val="auto"/>
              </w:rPr>
              <w:t>2022</w:t>
            </w:r>
          </w:p>
        </w:tc>
      </w:tr>
      <w:tr>
        <w:trPr>
          <w:trHeight w:val="187"/>
        </w:trPr>
        <w:tc>
          <w:tcPr>
            <w:tcW w:w="6620" w:type="dxa"/>
            <w:vAlign w:val="bottom"/>
            <w:tcBorders>
              <w:bottom w:val="single" w:sz="8" w:color="004483"/>
            </w:tcBorders>
          </w:tcPr>
          <w:p>
            <w:pPr>
              <w:spacing w:after="0"/>
              <w:rPr>
                <w:sz w:val="16"/>
                <w:szCs w:val="16"/>
                <w:color w:val="auto"/>
              </w:rPr>
            </w:pPr>
          </w:p>
        </w:tc>
        <w:tc>
          <w:tcPr>
            <w:tcW w:w="480" w:type="dxa"/>
            <w:vAlign w:val="bottom"/>
            <w:tcBorders>
              <w:bottom w:val="single" w:sz="8" w:color="004483"/>
            </w:tcBorders>
          </w:tcPr>
          <w:p>
            <w:pPr>
              <w:spacing w:after="0"/>
              <w:rPr>
                <w:sz w:val="16"/>
                <w:szCs w:val="16"/>
                <w:color w:val="auto"/>
              </w:rPr>
            </w:pPr>
          </w:p>
        </w:tc>
        <w:tc>
          <w:tcPr>
            <w:tcW w:w="98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2060" w:type="dxa"/>
            <w:vAlign w:val="bottom"/>
            <w:tcBorders>
              <w:bottom w:val="single" w:sz="8" w:color="004483"/>
            </w:tcBorders>
            <w:gridSpan w:val="4"/>
          </w:tcPr>
          <w:p>
            <w:pPr>
              <w:ind w:left="40"/>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6"/>
                <w:szCs w:val="16"/>
                <w:color w:val="auto"/>
              </w:rPr>
            </w:pPr>
          </w:p>
        </w:tc>
      </w:tr>
      <w:tr>
        <w:trPr>
          <w:trHeight w:val="21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Interest Cost of Projected Benefit Obligation</w:t>
            </w: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1,413</w:t>
            </w: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1,240</w:t>
            </w: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1,167</w:t>
            </w:r>
          </w:p>
        </w:tc>
      </w:tr>
      <w:tr>
        <w:trPr>
          <w:trHeight w:val="210"/>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Expected Return on Plan Assets</w:t>
            </w: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(1,512 )</w:t>
            </w: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(1,366 )</w:t>
            </w: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(1,299 )</w:t>
            </w:r>
          </w:p>
        </w:tc>
      </w:tr>
      <w:tr>
        <w:trPr>
          <w:trHeight w:val="236"/>
        </w:trPr>
        <w:tc>
          <w:tcPr>
            <w:tcW w:w="6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Recognized Net Actuarial Loss</w:t>
            </w:r>
          </w:p>
        </w:tc>
        <w:tc>
          <w:tcPr>
            <w:tcW w:w="4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color w:val="auto"/>
              </w:rPr>
              <w:t>250</w:t>
            </w:r>
          </w:p>
        </w:tc>
        <w:tc>
          <w:tcPr>
            <w:tcW w:w="16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123</w:t>
            </w:r>
          </w:p>
        </w:tc>
        <w:tc>
          <w:tcPr>
            <w:tcW w:w="16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143</w:t>
            </w:r>
          </w:p>
        </w:tc>
      </w:tr>
      <w:tr>
        <w:trPr>
          <w:trHeight w:val="210"/>
        </w:trPr>
        <w:tc>
          <w:tcPr>
            <w:tcW w:w="6620" w:type="dxa"/>
            <w:vAlign w:val="bottom"/>
          </w:tcPr>
          <w:p>
            <w:pPr>
              <w:ind w:left="200"/>
              <w:spacing w:after="0"/>
              <w:rPr>
                <w:sz w:val="20"/>
                <w:szCs w:val="20"/>
                <w:color w:val="auto"/>
              </w:rPr>
            </w:pPr>
            <w:r>
              <w:rPr>
                <w:rFonts w:ascii="Arial" w:cs="Arial" w:eastAsia="Arial" w:hAnsi="Arial"/>
                <w:sz w:val="16"/>
                <w:szCs w:val="16"/>
                <w:b w:val="1"/>
                <w:bCs w:val="1"/>
                <w:color w:val="004483"/>
              </w:rPr>
              <w:t>Net Periodic Pension Cost</w:t>
            </w: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151</w:t>
            </w:r>
          </w:p>
        </w:tc>
        <w:tc>
          <w:tcPr>
            <w:tcW w:w="160" w:type="dxa"/>
            <w:vAlign w:val="bottom"/>
          </w:tcPr>
          <w:p>
            <w:pPr>
              <w:spacing w:after="0"/>
              <w:rPr>
                <w:sz w:val="18"/>
                <w:szCs w:val="18"/>
                <w:color w:val="auto"/>
              </w:rPr>
            </w:pPr>
          </w:p>
        </w:tc>
        <w:tc>
          <w:tcPr>
            <w:tcW w:w="48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(3 )</w:t>
            </w:r>
          </w:p>
        </w:tc>
        <w:tc>
          <w:tcPr>
            <w:tcW w:w="160" w:type="dxa"/>
            <w:vAlign w:val="bottom"/>
          </w:tcPr>
          <w:p>
            <w:pPr>
              <w:spacing w:after="0"/>
              <w:rPr>
                <w:sz w:val="18"/>
                <w:szCs w:val="18"/>
                <w:color w:val="auto"/>
              </w:rPr>
            </w:pP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11</w:t>
            </w:r>
          </w:p>
        </w:tc>
      </w:tr>
      <w:tr>
        <w:trPr>
          <w:trHeight w:val="20"/>
        </w:trPr>
        <w:tc>
          <w:tcPr>
            <w:tcW w:w="662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r>
    </w:tbl>
    <w:p>
      <w:pPr>
        <w:spacing w:after="0" w:line="8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Expected benefit payments over the next five years, and the following five years under the pension plans are expected to be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Fiscal Years</w:t>
            </w:r>
          </w:p>
        </w:tc>
        <w:tc>
          <w:tcPr>
            <w:tcW w:w="5000" w:type="dxa"/>
            <w:vAlign w:val="bottom"/>
            <w:tcBorders>
              <w:bottom w:val="single" w:sz="8" w:color="004483"/>
            </w:tcBorders>
          </w:tcPr>
          <w:p>
            <w:pPr>
              <w:spacing w:after="0"/>
              <w:rPr>
                <w:sz w:val="16"/>
                <w:szCs w:val="16"/>
                <w:color w:val="auto"/>
              </w:rPr>
            </w:pPr>
          </w:p>
        </w:tc>
        <w:tc>
          <w:tcPr>
            <w:tcW w:w="1220" w:type="dxa"/>
            <w:vAlign w:val="bottom"/>
            <w:tcBorders>
              <w:bottom w:val="single" w:sz="8" w:color="004483"/>
            </w:tcBorders>
          </w:tcPr>
          <w:p>
            <w:pPr>
              <w:jc w:val="right"/>
              <w:ind w:right="42"/>
              <w:spacing w:after="0"/>
              <w:rPr>
                <w:sz w:val="20"/>
                <w:szCs w:val="20"/>
                <w:color w:val="auto"/>
              </w:rPr>
            </w:pPr>
            <w:r>
              <w:rPr>
                <w:rFonts w:ascii="Arial" w:cs="Arial" w:eastAsia="Arial" w:hAnsi="Arial"/>
                <w:sz w:val="13"/>
                <w:szCs w:val="13"/>
                <w:b w:val="1"/>
                <w:bCs w:val="1"/>
                <w:color w:val="auto"/>
              </w:rPr>
              <w:t>Total</w:t>
            </w:r>
          </w:p>
        </w:tc>
      </w:tr>
      <w:tr>
        <w:trPr>
          <w:trHeight w:val="216"/>
        </w:trPr>
        <w:tc>
          <w:tcPr>
            <w:tcW w:w="50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2025</w:t>
            </w:r>
          </w:p>
        </w:tc>
        <w:tc>
          <w:tcPr>
            <w:tcW w:w="5000" w:type="dxa"/>
            <w:vAlign w:val="bottom"/>
            <w:tcBorders>
              <w:bottom w:val="single" w:sz="8" w:color="A6A6A6"/>
            </w:tcBorders>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1,843</w:t>
            </w:r>
          </w:p>
        </w:tc>
      </w:tr>
      <w:tr>
        <w:trPr>
          <w:trHeight w:val="210"/>
        </w:trPr>
        <w:tc>
          <w:tcPr>
            <w:tcW w:w="50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2026</w:t>
            </w:r>
          </w:p>
        </w:tc>
        <w:tc>
          <w:tcPr>
            <w:tcW w:w="5000" w:type="dxa"/>
            <w:vAlign w:val="bottom"/>
            <w:tcBorders>
              <w:bottom w:val="single" w:sz="8" w:color="A6A6A6"/>
            </w:tcBorders>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1,874</w:t>
            </w:r>
          </w:p>
        </w:tc>
      </w:tr>
      <w:tr>
        <w:trPr>
          <w:trHeight w:val="210"/>
        </w:trPr>
        <w:tc>
          <w:tcPr>
            <w:tcW w:w="50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2027</w:t>
            </w:r>
          </w:p>
        </w:tc>
        <w:tc>
          <w:tcPr>
            <w:tcW w:w="5000" w:type="dxa"/>
            <w:vAlign w:val="bottom"/>
            <w:tcBorders>
              <w:bottom w:val="single" w:sz="8" w:color="A6A6A6"/>
            </w:tcBorders>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1,951</w:t>
            </w:r>
          </w:p>
        </w:tc>
      </w:tr>
      <w:tr>
        <w:trPr>
          <w:trHeight w:val="210"/>
        </w:trPr>
        <w:tc>
          <w:tcPr>
            <w:tcW w:w="50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2028</w:t>
            </w:r>
          </w:p>
        </w:tc>
        <w:tc>
          <w:tcPr>
            <w:tcW w:w="5000" w:type="dxa"/>
            <w:vAlign w:val="bottom"/>
            <w:tcBorders>
              <w:bottom w:val="single" w:sz="8" w:color="A6A6A6"/>
            </w:tcBorders>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1,988</w:t>
            </w:r>
          </w:p>
        </w:tc>
      </w:tr>
      <w:tr>
        <w:trPr>
          <w:trHeight w:val="209"/>
        </w:trPr>
        <w:tc>
          <w:tcPr>
            <w:tcW w:w="50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2029</w:t>
            </w:r>
          </w:p>
        </w:tc>
        <w:tc>
          <w:tcPr>
            <w:tcW w:w="5000" w:type="dxa"/>
            <w:vAlign w:val="bottom"/>
            <w:tcBorders>
              <w:bottom w:val="single" w:sz="8" w:color="A6A6A6"/>
            </w:tcBorders>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1,962</w:t>
            </w:r>
          </w:p>
        </w:tc>
      </w:tr>
      <w:tr>
        <w:trPr>
          <w:trHeight w:val="209"/>
        </w:trPr>
        <w:tc>
          <w:tcPr>
            <w:tcW w:w="5020" w:type="dxa"/>
            <w:vAlign w:val="bottom"/>
            <w:tcBorders>
              <w:bottom w:val="single" w:sz="8" w:color="A3A3A3"/>
            </w:tcBorders>
          </w:tcPr>
          <w:p>
            <w:pPr>
              <w:ind w:left="20"/>
              <w:spacing w:after="0"/>
              <w:rPr>
                <w:sz w:val="20"/>
                <w:szCs w:val="20"/>
                <w:color w:val="auto"/>
              </w:rPr>
            </w:pPr>
            <w:r>
              <w:rPr>
                <w:rFonts w:ascii="Arial" w:cs="Arial" w:eastAsia="Arial" w:hAnsi="Arial"/>
                <w:sz w:val="16"/>
                <w:szCs w:val="16"/>
                <w:b w:val="1"/>
                <w:bCs w:val="1"/>
                <w:color w:val="004483"/>
              </w:rPr>
              <w:t>2030-2034</w:t>
            </w:r>
          </w:p>
        </w:tc>
        <w:tc>
          <w:tcPr>
            <w:tcW w:w="5000" w:type="dxa"/>
            <w:vAlign w:val="bottom"/>
            <w:tcBorders>
              <w:bottom w:val="single" w:sz="8" w:color="A3A3A3"/>
            </w:tcBorders>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3A3A3"/>
            </w:tcBorders>
          </w:tcPr>
          <w:p>
            <w:pPr>
              <w:jc w:val="right"/>
              <w:ind w:right="42"/>
              <w:spacing w:after="0"/>
              <w:rPr>
                <w:sz w:val="20"/>
                <w:szCs w:val="20"/>
                <w:color w:val="auto"/>
              </w:rPr>
            </w:pPr>
            <w:r>
              <w:rPr>
                <w:rFonts w:ascii="Arial" w:cs="Arial" w:eastAsia="Arial" w:hAnsi="Arial"/>
                <w:sz w:val="16"/>
                <w:szCs w:val="16"/>
                <w:color w:val="auto"/>
              </w:rPr>
              <w:t>9,853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assumptions used in the actuarial calculations of the present value of Net Periodic Benefit Costs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080" w:type="dxa"/>
            <w:vAlign w:val="bottom"/>
            <w:shd w:val="clear" w:color="auto" w:fill="004483"/>
          </w:tcPr>
          <w:p>
            <w:pPr>
              <w:spacing w:after="0"/>
              <w:rPr>
                <w:sz w:val="14"/>
                <w:szCs w:val="14"/>
                <w:color w:val="auto"/>
              </w:rPr>
            </w:pPr>
          </w:p>
        </w:tc>
        <w:tc>
          <w:tcPr>
            <w:tcW w:w="680" w:type="dxa"/>
            <w:vAlign w:val="bottom"/>
            <w:shd w:val="clear" w:color="auto" w:fill="004483"/>
          </w:tcPr>
          <w:p>
            <w:pPr>
              <w:spacing w:after="0"/>
              <w:rPr>
                <w:sz w:val="14"/>
                <w:szCs w:val="14"/>
                <w:color w:val="auto"/>
              </w:rPr>
            </w:pPr>
          </w:p>
        </w:tc>
        <w:tc>
          <w:tcPr>
            <w:tcW w:w="1940" w:type="dxa"/>
            <w:vAlign w:val="bottom"/>
            <w:shd w:val="clear" w:color="auto" w:fill="004483"/>
          </w:tcPr>
          <w:p>
            <w:pPr>
              <w:jc w:val="right"/>
              <w:ind w:right="1047"/>
              <w:spacing w:after="0"/>
              <w:rPr>
                <w:sz w:val="20"/>
                <w:szCs w:val="20"/>
                <w:color w:val="auto"/>
              </w:rPr>
            </w:pPr>
            <w:r>
              <w:rPr>
                <w:rFonts w:ascii="Arial" w:cs="Arial" w:eastAsia="Arial" w:hAnsi="Arial"/>
                <w:sz w:val="13"/>
                <w:szCs w:val="13"/>
                <w:b w:val="1"/>
                <w:bCs w:val="1"/>
                <w:color w:val="FFFFFF"/>
              </w:rPr>
              <w:t>March 31,</w:t>
            </w:r>
          </w:p>
        </w:tc>
        <w:tc>
          <w:tcPr>
            <w:tcW w:w="980" w:type="dxa"/>
            <w:vAlign w:val="bottom"/>
            <w:shd w:val="clear" w:color="auto" w:fill="004483"/>
          </w:tcPr>
          <w:p>
            <w:pPr>
              <w:spacing w:after="0"/>
              <w:rPr>
                <w:sz w:val="14"/>
                <w:szCs w:val="14"/>
                <w:color w:val="auto"/>
              </w:rPr>
            </w:pPr>
          </w:p>
        </w:tc>
        <w:tc>
          <w:tcPr>
            <w:tcW w:w="40" w:type="dxa"/>
            <w:vAlign w:val="bottom"/>
          </w:tcPr>
          <w:p>
            <w:pPr>
              <w:spacing w:after="0"/>
              <w:rPr>
                <w:sz w:val="14"/>
                <w:szCs w:val="14"/>
                <w:color w:val="auto"/>
              </w:rPr>
            </w:pPr>
          </w:p>
        </w:tc>
      </w:tr>
      <w:tr>
        <w:trPr>
          <w:trHeight w:val="182"/>
        </w:trPr>
        <w:tc>
          <w:tcPr>
            <w:tcW w:w="6560" w:type="dxa"/>
            <w:vAlign w:val="bottom"/>
            <w:tcBorders>
              <w:bottom w:val="single" w:sz="8" w:color="004483"/>
            </w:tcBorders>
          </w:tcPr>
          <w:p>
            <w:pPr>
              <w:spacing w:after="0"/>
              <w:rPr>
                <w:sz w:val="15"/>
                <w:szCs w:val="15"/>
                <w:color w:val="auto"/>
              </w:rPr>
            </w:pPr>
          </w:p>
        </w:tc>
        <w:tc>
          <w:tcPr>
            <w:tcW w:w="1760" w:type="dxa"/>
            <w:vAlign w:val="bottom"/>
            <w:tcBorders>
              <w:bottom w:val="single" w:sz="8" w:color="004483"/>
            </w:tcBorders>
            <w:gridSpan w:val="2"/>
          </w:tcPr>
          <w:p>
            <w:pPr>
              <w:jc w:val="right"/>
              <w:ind w:right="299"/>
              <w:spacing w:after="0"/>
              <w:rPr>
                <w:sz w:val="20"/>
                <w:szCs w:val="20"/>
                <w:color w:val="auto"/>
              </w:rPr>
            </w:pPr>
            <w:r>
              <w:rPr>
                <w:rFonts w:ascii="Arial" w:cs="Arial" w:eastAsia="Arial" w:hAnsi="Arial"/>
                <w:sz w:val="13"/>
                <w:szCs w:val="13"/>
                <w:b w:val="1"/>
                <w:bCs w:val="1"/>
                <w:color w:val="auto"/>
              </w:rPr>
              <w:t>2024</w:t>
            </w:r>
          </w:p>
        </w:tc>
        <w:tc>
          <w:tcPr>
            <w:tcW w:w="1940" w:type="dxa"/>
            <w:vAlign w:val="bottom"/>
            <w:tcBorders>
              <w:bottom w:val="single" w:sz="8" w:color="004483"/>
            </w:tcBorders>
          </w:tcPr>
          <w:p>
            <w:pPr>
              <w:jc w:val="right"/>
              <w:ind w:right="667"/>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bottom w:val="single" w:sz="8" w:color="004483"/>
            </w:tcBorders>
          </w:tcPr>
          <w:p>
            <w:pPr>
              <w:jc w:val="right"/>
              <w:ind w:right="44"/>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5"/>
                <w:szCs w:val="15"/>
                <w:color w:val="auto"/>
              </w:rPr>
            </w:pPr>
          </w:p>
        </w:tc>
      </w:tr>
      <w:tr>
        <w:trPr>
          <w:trHeight w:val="216"/>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Periodic Benefit Costs</w:t>
            </w:r>
          </w:p>
        </w:tc>
        <w:tc>
          <w:tcPr>
            <w:tcW w:w="10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6560" w:type="dxa"/>
            <w:vAlign w:val="bottom"/>
          </w:tcPr>
          <w:p>
            <w:pPr>
              <w:ind w:left="200"/>
              <w:spacing w:after="0"/>
              <w:rPr>
                <w:sz w:val="20"/>
                <w:szCs w:val="20"/>
                <w:color w:val="auto"/>
              </w:rPr>
            </w:pPr>
            <w:r>
              <w:rPr>
                <w:rFonts w:ascii="Arial" w:cs="Arial" w:eastAsia="Arial" w:hAnsi="Arial"/>
                <w:sz w:val="16"/>
                <w:szCs w:val="16"/>
                <w:b w:val="1"/>
                <w:bCs w:val="1"/>
                <w:color w:val="004483"/>
              </w:rPr>
              <w:t>Discount Rate</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4.99 %</w:t>
            </w:r>
          </w:p>
        </w:tc>
        <w:tc>
          <w:tcPr>
            <w:tcW w:w="1940" w:type="dxa"/>
            <w:vAlign w:val="bottom"/>
          </w:tcPr>
          <w:p>
            <w:pPr>
              <w:jc w:val="right"/>
              <w:ind w:right="487"/>
              <w:spacing w:after="0"/>
              <w:rPr>
                <w:sz w:val="20"/>
                <w:szCs w:val="20"/>
                <w:color w:val="auto"/>
              </w:rPr>
            </w:pPr>
            <w:r>
              <w:rPr>
                <w:rFonts w:ascii="Arial" w:cs="Arial" w:eastAsia="Arial" w:hAnsi="Arial"/>
                <w:sz w:val="16"/>
                <w:szCs w:val="16"/>
                <w:color w:val="auto"/>
              </w:rPr>
              <w:t>3.75 %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3.33 %</w:t>
            </w:r>
          </w:p>
        </w:tc>
      </w:tr>
      <w:tr>
        <w:trPr>
          <w:trHeight w:val="20"/>
        </w:trPr>
        <w:tc>
          <w:tcPr>
            <w:tcW w:w="656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94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6560" w:type="dxa"/>
            <w:vAlign w:val="bottom"/>
          </w:tcPr>
          <w:p>
            <w:pPr>
              <w:ind w:left="200"/>
              <w:spacing w:after="0"/>
              <w:rPr>
                <w:sz w:val="20"/>
                <w:szCs w:val="20"/>
                <w:color w:val="auto"/>
              </w:rPr>
            </w:pPr>
            <w:r>
              <w:rPr>
                <w:rFonts w:ascii="Arial" w:cs="Arial" w:eastAsia="Arial" w:hAnsi="Arial"/>
                <w:sz w:val="16"/>
                <w:szCs w:val="16"/>
                <w:b w:val="1"/>
                <w:bCs w:val="1"/>
                <w:color w:val="004483"/>
              </w:rPr>
              <w:t>Expected Return on Plan Assets</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5.00 %</w:t>
            </w:r>
          </w:p>
        </w:tc>
        <w:tc>
          <w:tcPr>
            <w:tcW w:w="1940" w:type="dxa"/>
            <w:vAlign w:val="bottom"/>
          </w:tcPr>
          <w:p>
            <w:pPr>
              <w:jc w:val="right"/>
              <w:ind w:right="487"/>
              <w:spacing w:after="0"/>
              <w:rPr>
                <w:sz w:val="20"/>
                <w:szCs w:val="20"/>
                <w:color w:val="auto"/>
              </w:rPr>
            </w:pPr>
            <w:r>
              <w:rPr>
                <w:rFonts w:ascii="Arial" w:cs="Arial" w:eastAsia="Arial" w:hAnsi="Arial"/>
                <w:sz w:val="16"/>
                <w:szCs w:val="16"/>
                <w:color w:val="auto"/>
              </w:rPr>
              <w:t>3.85 %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3.50 %</w:t>
            </w:r>
          </w:p>
        </w:tc>
      </w:tr>
      <w:tr>
        <w:trPr>
          <w:trHeight w:val="210"/>
        </w:trPr>
        <w:tc>
          <w:tcPr>
            <w:tcW w:w="6560" w:type="dxa"/>
            <w:vAlign w:val="bottom"/>
            <w:tcBorders>
              <w:top w:val="single" w:sz="8" w:color="A6A6A6"/>
              <w:bottom w:val="single" w:sz="8" w:color="A3A3A3"/>
            </w:tcBorders>
          </w:tcPr>
          <w:p>
            <w:pPr>
              <w:ind w:left="200"/>
              <w:spacing w:after="0"/>
              <w:rPr>
                <w:sz w:val="20"/>
                <w:szCs w:val="20"/>
                <w:color w:val="auto"/>
              </w:rPr>
            </w:pPr>
            <w:r>
              <w:rPr>
                <w:rFonts w:ascii="Arial" w:cs="Arial" w:eastAsia="Arial" w:hAnsi="Arial"/>
                <w:sz w:val="16"/>
                <w:szCs w:val="16"/>
                <w:b w:val="1"/>
                <w:bCs w:val="1"/>
                <w:color w:val="004483"/>
              </w:rPr>
              <w:t>Rate of Compensation Increase</w:t>
            </w:r>
          </w:p>
        </w:tc>
        <w:tc>
          <w:tcPr>
            <w:tcW w:w="1080" w:type="dxa"/>
            <w:vAlign w:val="bottom"/>
            <w:tcBorders>
              <w:top w:val="single" w:sz="8" w:color="A6A6A6"/>
              <w:bottom w:val="single" w:sz="8" w:color="A3A3A3"/>
            </w:tcBorders>
          </w:tcPr>
          <w:p>
            <w:pPr>
              <w:spacing w:after="0"/>
              <w:rPr>
                <w:sz w:val="18"/>
                <w:szCs w:val="18"/>
                <w:color w:val="auto"/>
              </w:rPr>
            </w:pPr>
          </w:p>
        </w:tc>
        <w:tc>
          <w:tcPr>
            <w:tcW w:w="680" w:type="dxa"/>
            <w:vAlign w:val="bottom"/>
            <w:tcBorders>
              <w:top w:val="single" w:sz="8" w:color="A6A6A6"/>
              <w:bottom w:val="single" w:sz="8" w:color="A3A3A3"/>
            </w:tcBorders>
          </w:tcPr>
          <w:p>
            <w:pPr>
              <w:jc w:val="right"/>
              <w:ind w:right="299"/>
              <w:spacing w:after="0"/>
              <w:rPr>
                <w:sz w:val="20"/>
                <w:szCs w:val="20"/>
                <w:color w:val="auto"/>
              </w:rPr>
            </w:pPr>
            <w:r>
              <w:rPr>
                <w:rFonts w:ascii="Arial" w:cs="Arial" w:eastAsia="Arial" w:hAnsi="Arial"/>
                <w:sz w:val="16"/>
                <w:szCs w:val="16"/>
                <w:color w:val="auto"/>
              </w:rPr>
              <w:t>n/a</w:t>
            </w:r>
          </w:p>
        </w:tc>
        <w:tc>
          <w:tcPr>
            <w:tcW w:w="1940" w:type="dxa"/>
            <w:vAlign w:val="bottom"/>
            <w:tcBorders>
              <w:top w:val="single" w:sz="8" w:color="A6A6A6"/>
              <w:bottom w:val="single" w:sz="8" w:color="A3A3A3"/>
            </w:tcBorders>
          </w:tcPr>
          <w:p>
            <w:pPr>
              <w:jc w:val="right"/>
              <w:ind w:right="667"/>
              <w:spacing w:after="0"/>
              <w:rPr>
                <w:sz w:val="20"/>
                <w:szCs w:val="20"/>
                <w:color w:val="auto"/>
              </w:rPr>
            </w:pPr>
            <w:r>
              <w:rPr>
                <w:rFonts w:ascii="Arial" w:cs="Arial" w:eastAsia="Arial" w:hAnsi="Arial"/>
                <w:sz w:val="16"/>
                <w:szCs w:val="16"/>
                <w:color w:val="auto"/>
              </w:rPr>
              <w:t>n/a</w:t>
            </w:r>
          </w:p>
        </w:tc>
        <w:tc>
          <w:tcPr>
            <w:tcW w:w="980" w:type="dxa"/>
            <w:vAlign w:val="bottom"/>
            <w:tcBorders>
              <w:top w:val="single" w:sz="8" w:color="A6A6A6"/>
              <w:bottom w:val="single" w:sz="8" w:color="A3A3A3"/>
            </w:tcBorders>
          </w:tcPr>
          <w:p>
            <w:pPr>
              <w:jc w:val="right"/>
              <w:ind w:right="44"/>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8"/>
                <w:szCs w:val="18"/>
                <w:color w:val="auto"/>
              </w:rPr>
            </w:pPr>
          </w:p>
        </w:tc>
      </w:tr>
      <w:tr>
        <w:trPr>
          <w:trHeight w:val="196"/>
        </w:trPr>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6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shd w:val="clear" w:color="auto" w:fill="004483"/>
          </w:tcPr>
          <w:p>
            <w:pPr>
              <w:spacing w:after="0"/>
              <w:rPr>
                <w:sz w:val="14"/>
                <w:szCs w:val="14"/>
                <w:color w:val="auto"/>
              </w:rPr>
            </w:pPr>
          </w:p>
        </w:tc>
        <w:tc>
          <w:tcPr>
            <w:tcW w:w="1940" w:type="dxa"/>
            <w:vAlign w:val="bottom"/>
            <w:shd w:val="clear" w:color="auto" w:fill="004483"/>
          </w:tcPr>
          <w:p>
            <w:pPr>
              <w:jc w:val="right"/>
              <w:ind w:right="507"/>
              <w:spacing w:after="0"/>
              <w:rPr>
                <w:sz w:val="20"/>
                <w:szCs w:val="20"/>
                <w:color w:val="auto"/>
              </w:rPr>
            </w:pPr>
            <w:r>
              <w:rPr>
                <w:rFonts w:ascii="Arial" w:cs="Arial" w:eastAsia="Arial" w:hAnsi="Arial"/>
                <w:sz w:val="13"/>
                <w:szCs w:val="13"/>
                <w:b w:val="1"/>
                <w:bCs w:val="1"/>
                <w:color w:val="FFFFFF"/>
              </w:rPr>
              <w:t>March 31,</w:t>
            </w:r>
          </w:p>
        </w:tc>
        <w:tc>
          <w:tcPr>
            <w:tcW w:w="980" w:type="dxa"/>
            <w:vAlign w:val="bottom"/>
            <w:shd w:val="clear" w:color="auto" w:fill="004483"/>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656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c>
          <w:tcPr>
            <w:tcW w:w="68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tcPr>
          <w:p>
            <w:pPr>
              <w:jc w:val="right"/>
              <w:ind w:right="927"/>
              <w:spacing w:after="0"/>
              <w:rPr>
                <w:sz w:val="20"/>
                <w:szCs w:val="20"/>
                <w:color w:val="auto"/>
              </w:rPr>
            </w:pPr>
            <w:r>
              <w:rPr>
                <w:rFonts w:ascii="Arial" w:cs="Arial" w:eastAsia="Arial" w:hAnsi="Arial"/>
                <w:sz w:val="13"/>
                <w:szCs w:val="13"/>
                <w:b w:val="1"/>
                <w:bCs w:val="1"/>
                <w:color w:val="auto"/>
              </w:rPr>
              <w:t>2024</w:t>
            </w:r>
          </w:p>
        </w:tc>
        <w:tc>
          <w:tcPr>
            <w:tcW w:w="980" w:type="dxa"/>
            <w:vAlign w:val="bottom"/>
            <w:tcBorders>
              <w:bottom w:val="single" w:sz="8" w:color="004483"/>
            </w:tcBorders>
          </w:tcPr>
          <w:p>
            <w:pPr>
              <w:jc w:val="right"/>
              <w:ind w:right="44"/>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5"/>
                <w:szCs w:val="15"/>
                <w:color w:val="auto"/>
              </w:rPr>
            </w:pPr>
          </w:p>
        </w:tc>
      </w:tr>
      <w:tr>
        <w:trPr>
          <w:trHeight w:val="216"/>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Benefit Obligations</w:t>
            </w:r>
          </w:p>
        </w:tc>
        <w:tc>
          <w:tcPr>
            <w:tcW w:w="10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6560" w:type="dxa"/>
            <w:vAlign w:val="bottom"/>
          </w:tcPr>
          <w:p>
            <w:pPr>
              <w:ind w:left="200"/>
              <w:spacing w:after="0"/>
              <w:rPr>
                <w:sz w:val="20"/>
                <w:szCs w:val="20"/>
                <w:color w:val="auto"/>
              </w:rPr>
            </w:pPr>
            <w:r>
              <w:rPr>
                <w:rFonts w:ascii="Arial" w:cs="Arial" w:eastAsia="Arial" w:hAnsi="Arial"/>
                <w:sz w:val="16"/>
                <w:szCs w:val="16"/>
                <w:b w:val="1"/>
                <w:bCs w:val="1"/>
                <w:color w:val="004483"/>
              </w:rPr>
              <w:t>Discount Rate</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tcPr>
          <w:p>
            <w:pPr>
              <w:jc w:val="right"/>
              <w:ind w:right="767"/>
              <w:spacing w:after="0"/>
              <w:rPr>
                <w:sz w:val="20"/>
                <w:szCs w:val="20"/>
                <w:color w:val="auto"/>
              </w:rPr>
            </w:pPr>
            <w:r>
              <w:rPr>
                <w:rFonts w:ascii="Arial" w:cs="Arial" w:eastAsia="Arial" w:hAnsi="Arial"/>
                <w:sz w:val="16"/>
                <w:szCs w:val="16"/>
                <w:color w:val="auto"/>
              </w:rPr>
              <w:t>5.27 %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4.99 %</w:t>
            </w:r>
          </w:p>
        </w:tc>
      </w:tr>
      <w:tr>
        <w:trPr>
          <w:trHeight w:val="209"/>
        </w:trPr>
        <w:tc>
          <w:tcPr>
            <w:tcW w:w="6560" w:type="dxa"/>
            <w:vAlign w:val="bottom"/>
            <w:tcBorders>
              <w:top w:val="single" w:sz="8" w:color="A6A6A6"/>
              <w:bottom w:val="single" w:sz="8" w:color="A3A3A3"/>
            </w:tcBorders>
          </w:tcPr>
          <w:p>
            <w:pPr>
              <w:ind w:left="200"/>
              <w:spacing w:after="0"/>
              <w:rPr>
                <w:sz w:val="20"/>
                <w:szCs w:val="20"/>
                <w:color w:val="auto"/>
              </w:rPr>
            </w:pPr>
            <w:r>
              <w:rPr>
                <w:rFonts w:ascii="Arial" w:cs="Arial" w:eastAsia="Arial" w:hAnsi="Arial"/>
                <w:sz w:val="16"/>
                <w:szCs w:val="16"/>
                <w:b w:val="1"/>
                <w:bCs w:val="1"/>
                <w:color w:val="004483"/>
              </w:rPr>
              <w:t>Rate of Compensation Increase</w:t>
            </w:r>
          </w:p>
        </w:tc>
        <w:tc>
          <w:tcPr>
            <w:tcW w:w="1080" w:type="dxa"/>
            <w:vAlign w:val="bottom"/>
            <w:tcBorders>
              <w:top w:val="single" w:sz="8" w:color="A6A6A6"/>
              <w:bottom w:val="single" w:sz="8" w:color="A3A3A3"/>
            </w:tcBorders>
          </w:tcPr>
          <w:p>
            <w:pPr>
              <w:spacing w:after="0"/>
              <w:rPr>
                <w:sz w:val="18"/>
                <w:szCs w:val="18"/>
                <w:color w:val="auto"/>
              </w:rPr>
            </w:pPr>
          </w:p>
        </w:tc>
        <w:tc>
          <w:tcPr>
            <w:tcW w:w="680" w:type="dxa"/>
            <w:vAlign w:val="bottom"/>
            <w:tcBorders>
              <w:top w:val="single" w:sz="8" w:color="A6A6A6"/>
              <w:bottom w:val="single" w:sz="8" w:color="A3A3A3"/>
            </w:tcBorders>
          </w:tcPr>
          <w:p>
            <w:pPr>
              <w:spacing w:after="0"/>
              <w:rPr>
                <w:sz w:val="18"/>
                <w:szCs w:val="18"/>
                <w:color w:val="auto"/>
              </w:rPr>
            </w:pPr>
          </w:p>
        </w:tc>
        <w:tc>
          <w:tcPr>
            <w:tcW w:w="1940" w:type="dxa"/>
            <w:vAlign w:val="bottom"/>
            <w:tcBorders>
              <w:top w:val="single" w:sz="8" w:color="A6A6A6"/>
              <w:bottom w:val="single" w:sz="8" w:color="A3A3A3"/>
            </w:tcBorders>
          </w:tcPr>
          <w:p>
            <w:pPr>
              <w:jc w:val="right"/>
              <w:ind w:right="927"/>
              <w:spacing w:after="0"/>
              <w:rPr>
                <w:sz w:val="20"/>
                <w:szCs w:val="20"/>
                <w:color w:val="auto"/>
              </w:rPr>
            </w:pPr>
            <w:r>
              <w:rPr>
                <w:rFonts w:ascii="Arial" w:cs="Arial" w:eastAsia="Arial" w:hAnsi="Arial"/>
                <w:sz w:val="16"/>
                <w:szCs w:val="16"/>
                <w:color w:val="auto"/>
              </w:rPr>
              <w:t>n/a</w:t>
            </w:r>
          </w:p>
        </w:tc>
        <w:tc>
          <w:tcPr>
            <w:tcW w:w="980" w:type="dxa"/>
            <w:vAlign w:val="bottom"/>
            <w:tcBorders>
              <w:top w:val="single" w:sz="8" w:color="A6A6A6"/>
              <w:bottom w:val="single" w:sz="8" w:color="A3A3A3"/>
            </w:tcBorders>
          </w:tcPr>
          <w:p>
            <w:pPr>
              <w:jc w:val="right"/>
              <w:ind w:right="44"/>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8"/>
                <w:szCs w:val="18"/>
                <w:color w:val="auto"/>
              </w:rPr>
            </w:pPr>
          </w:p>
        </w:tc>
      </w:tr>
    </w:tbl>
    <w:p>
      <w:pPr>
        <w:spacing w:after="0" w:line="184"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that include: market-based estimates of inflation, real risk-free rates of return, yield curve structure, credit-risk premiums, and equity-risk premiums. Because our pension plans were frozen beginning in fiscal 2021, the rate of compensation increase is not applicable. We used these components as appropriate to develop benchmark estimates for the expected long-term management approach that we employ.</w:t>
      </w:r>
    </w:p>
    <w:p>
      <w:pPr>
        <w:spacing w:after="0" w:line="5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pension plans’ approximate weighted-average asset allocation at March 31, 2024 and 2023, and the range of target allocation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00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Range of</w:t>
            </w:r>
          </w:p>
        </w:tc>
        <w:tc>
          <w:tcPr>
            <w:tcW w:w="2660" w:type="dxa"/>
            <w:vAlign w:val="bottom"/>
            <w:gridSpan w:val="3"/>
            <w:shd w:val="clear" w:color="auto" w:fill="004483"/>
          </w:tcPr>
          <w:p>
            <w:pPr>
              <w:ind w:left="320"/>
              <w:spacing w:after="0"/>
              <w:rPr>
                <w:sz w:val="20"/>
                <w:szCs w:val="20"/>
                <w:color w:val="auto"/>
              </w:rPr>
            </w:pPr>
            <w:r>
              <w:rPr>
                <w:rFonts w:ascii="Arial" w:cs="Arial" w:eastAsia="Arial" w:hAnsi="Arial"/>
                <w:sz w:val="13"/>
                <w:szCs w:val="13"/>
                <w:b w:val="1"/>
                <w:bCs w:val="1"/>
                <w:color w:val="FFFFFF"/>
                <w:w w:val="95"/>
              </w:rPr>
              <w:t>Percentage of Plan Assets at March 31,</w:t>
            </w:r>
          </w:p>
        </w:tc>
        <w:tc>
          <w:tcPr>
            <w:tcW w:w="420" w:type="dxa"/>
            <w:vAlign w:val="bottom"/>
            <w:shd w:val="clear" w:color="auto" w:fill="00448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4000" w:type="dxa"/>
            <w:vAlign w:val="bottom"/>
            <w:gridSpan w:val="3"/>
            <w:vMerge w:val="continue"/>
          </w:tcPr>
          <w:p>
            <w:pPr>
              <w:spacing w:after="0"/>
              <w:rPr>
                <w:sz w:val="11"/>
                <w:szCs w:val="11"/>
                <w:color w:val="auto"/>
              </w:rPr>
            </w:pPr>
          </w:p>
        </w:tc>
        <w:tc>
          <w:tcPr>
            <w:tcW w:w="1480" w:type="dxa"/>
            <w:vAlign w:val="bottom"/>
            <w:vMerge w:val="restart"/>
          </w:tcPr>
          <w:p>
            <w:pPr>
              <w:jc w:val="right"/>
              <w:ind w:right="45"/>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w w:val="96"/>
              </w:rPr>
              <w:t>2023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60" w:type="dxa"/>
            <w:vAlign w:val="bottom"/>
            <w:tcBorders>
              <w:bottom w:val="single" w:sz="8" w:color="004483"/>
            </w:tcBorders>
          </w:tcPr>
          <w:p>
            <w:pPr>
              <w:spacing w:after="0"/>
              <w:rPr>
                <w:sz w:val="16"/>
                <w:szCs w:val="16"/>
                <w:color w:val="auto"/>
              </w:rPr>
            </w:pPr>
          </w:p>
        </w:tc>
        <w:tc>
          <w:tcPr>
            <w:tcW w:w="4000" w:type="dxa"/>
            <w:vAlign w:val="bottom"/>
            <w:tcBorders>
              <w:bottom w:val="single" w:sz="8" w:color="004483"/>
            </w:tcBorders>
            <w:gridSpan w:val="3"/>
          </w:tcPr>
          <w:p>
            <w:pPr>
              <w:jc w:val="right"/>
              <w:ind w:right="140"/>
              <w:spacing w:after="0"/>
              <w:rPr>
                <w:sz w:val="20"/>
                <w:szCs w:val="20"/>
                <w:color w:val="auto"/>
              </w:rPr>
            </w:pPr>
            <w:r>
              <w:rPr>
                <w:rFonts w:ascii="Arial" w:cs="Arial" w:eastAsia="Arial" w:hAnsi="Arial"/>
                <w:sz w:val="13"/>
                <w:szCs w:val="13"/>
                <w:b w:val="1"/>
                <w:bCs w:val="1"/>
                <w:color w:val="auto"/>
              </w:rPr>
              <w:t>Target Allocation</w:t>
            </w:r>
          </w:p>
        </w:tc>
        <w:tc>
          <w:tcPr>
            <w:tcW w:w="1480" w:type="dxa"/>
            <w:vAlign w:val="bottom"/>
            <w:tcBorders>
              <w:bottom w:val="single" w:sz="8" w:color="004483"/>
            </w:tcBorders>
            <w:vMerge w:val="continue"/>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06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Asset Category</w:t>
            </w:r>
          </w:p>
        </w:tc>
        <w:tc>
          <w:tcPr>
            <w:tcW w:w="33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3380" w:type="dxa"/>
            <w:vAlign w:val="bottom"/>
          </w:tcPr>
          <w:p>
            <w:pPr>
              <w:jc w:val="right"/>
              <w:spacing w:after="0"/>
              <w:rPr>
                <w:sz w:val="20"/>
                <w:szCs w:val="20"/>
                <w:color w:val="auto"/>
              </w:rPr>
            </w:pPr>
            <w:r>
              <w:rPr>
                <w:rFonts w:ascii="Arial" w:cs="Arial" w:eastAsia="Arial" w:hAnsi="Arial"/>
                <w:sz w:val="16"/>
                <w:szCs w:val="16"/>
                <w:color w:val="auto"/>
              </w:rPr>
              <w:t>10</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 20%</w:t>
            </w:r>
          </w:p>
        </w:tc>
        <w:tc>
          <w:tcPr>
            <w:tcW w:w="266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4160" w:type="dxa"/>
            <w:vAlign w:val="bottom"/>
            <w:shd w:val="clear" w:color="auto" w:fill="A6A6A6"/>
          </w:tcPr>
          <w:p>
            <w:pPr>
              <w:spacing w:after="0" w:line="20" w:lineRule="exact"/>
              <w:rPr>
                <w:sz w:val="1"/>
                <w:szCs w:val="1"/>
                <w:color w:val="auto"/>
              </w:rPr>
            </w:pPr>
          </w:p>
        </w:tc>
        <w:tc>
          <w:tcPr>
            <w:tcW w:w="33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b w:val="1"/>
                <w:bCs w:val="1"/>
                <w:color w:val="004483"/>
              </w:rPr>
              <w:t>Debt Securities</w:t>
            </w:r>
          </w:p>
        </w:tc>
        <w:tc>
          <w:tcPr>
            <w:tcW w:w="3380" w:type="dxa"/>
            <w:vAlign w:val="bottom"/>
          </w:tcPr>
          <w:p>
            <w:pPr>
              <w:jc w:val="right"/>
              <w:spacing w:after="0"/>
              <w:rPr>
                <w:sz w:val="20"/>
                <w:szCs w:val="20"/>
                <w:color w:val="auto"/>
              </w:rPr>
            </w:pPr>
            <w:r>
              <w:rPr>
                <w:rFonts w:ascii="Arial" w:cs="Arial" w:eastAsia="Arial" w:hAnsi="Arial"/>
                <w:sz w:val="16"/>
                <w:szCs w:val="16"/>
                <w:color w:val="auto"/>
              </w:rPr>
              <w:t>60</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 90%</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98 %</w:t>
            </w:r>
          </w:p>
        </w:tc>
        <w:tc>
          <w:tcPr>
            <w:tcW w:w="10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
        </w:trPr>
        <w:tc>
          <w:tcPr>
            <w:tcW w:w="4160" w:type="dxa"/>
            <w:vAlign w:val="bottom"/>
            <w:shd w:val="clear" w:color="auto" w:fill="A6A6A6"/>
          </w:tcPr>
          <w:p>
            <w:pPr>
              <w:spacing w:after="0" w:line="20" w:lineRule="exact"/>
              <w:rPr>
                <w:sz w:val="1"/>
                <w:szCs w:val="1"/>
                <w:color w:val="auto"/>
              </w:rPr>
            </w:pPr>
          </w:p>
        </w:tc>
        <w:tc>
          <w:tcPr>
            <w:tcW w:w="33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ind w:left="20"/>
              <w:spacing w:after="0"/>
              <w:rPr>
                <w:sz w:val="20"/>
                <w:szCs w:val="20"/>
                <w:color w:val="auto"/>
              </w:rPr>
            </w:pPr>
            <w:r>
              <w:rPr>
                <w:rFonts w:ascii="Arial" w:cs="Arial" w:eastAsia="Arial" w:hAnsi="Arial"/>
                <w:sz w:val="16"/>
                <w:szCs w:val="16"/>
                <w:b w:val="1"/>
                <w:bCs w:val="1"/>
                <w:color w:val="004483"/>
              </w:rPr>
              <w:t>Other</w:t>
            </w:r>
          </w:p>
        </w:tc>
        <w:tc>
          <w:tcPr>
            <w:tcW w:w="3380" w:type="dxa"/>
            <w:vAlign w:val="bottom"/>
          </w:tcPr>
          <w:p>
            <w:pPr>
              <w:jc w:val="right"/>
              <w:spacing w:after="0"/>
              <w:rPr>
                <w:sz w:val="20"/>
                <w:szCs w:val="20"/>
                <w:color w:val="auto"/>
              </w:rPr>
            </w:pPr>
            <w:r>
              <w:rPr>
                <w:rFonts w:ascii="Arial" w:cs="Arial" w:eastAsia="Arial" w:hAnsi="Arial"/>
                <w:sz w:val="16"/>
                <w:szCs w:val="16"/>
                <w:color w:val="auto"/>
              </w:rPr>
              <w:t>0</w:t>
            </w:r>
          </w:p>
        </w:tc>
        <w:tc>
          <w:tcPr>
            <w:tcW w:w="480" w:type="dxa"/>
            <w:vAlign w:val="bottom"/>
          </w:tcPr>
          <w:p>
            <w:pPr>
              <w:jc w:val="right"/>
              <w:spacing w:after="0"/>
              <w:rPr>
                <w:sz w:val="20"/>
                <w:szCs w:val="20"/>
                <w:color w:val="auto"/>
              </w:rPr>
            </w:pPr>
            <w:r>
              <w:rPr>
                <w:rFonts w:ascii="Arial" w:cs="Arial" w:eastAsia="Arial" w:hAnsi="Arial"/>
                <w:sz w:val="16"/>
                <w:szCs w:val="16"/>
                <w:color w:val="auto"/>
              </w:rPr>
              <w:t>– 20%</w:t>
            </w:r>
          </w:p>
        </w:tc>
        <w:tc>
          <w:tcPr>
            <w:tcW w:w="1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2 %</w:t>
            </w:r>
          </w:p>
        </w:tc>
        <w:tc>
          <w:tcPr>
            <w:tcW w:w="10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4160" w:type="dxa"/>
            <w:vAlign w:val="bottom"/>
            <w:shd w:val="clear" w:color="auto" w:fill="A6A6A6"/>
          </w:tcPr>
          <w:p>
            <w:pPr>
              <w:spacing w:after="0" w:line="20" w:lineRule="exact"/>
              <w:rPr>
                <w:sz w:val="1"/>
                <w:szCs w:val="1"/>
                <w:color w:val="auto"/>
              </w:rPr>
            </w:pPr>
          </w:p>
        </w:tc>
        <w:tc>
          <w:tcPr>
            <w:tcW w:w="338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40" w:type="dxa"/>
            <w:vAlign w:val="bottom"/>
            <w:shd w:val="clear" w:color="auto" w:fill="A3A3A3"/>
          </w:tcPr>
          <w:p>
            <w:pPr>
              <w:spacing w:after="0" w:line="20" w:lineRule="exact"/>
              <w:rPr>
                <w:sz w:val="1"/>
                <w:szCs w:val="1"/>
                <w:color w:val="auto"/>
              </w:rPr>
            </w:pPr>
          </w:p>
        </w:tc>
        <w:tc>
          <w:tcPr>
            <w:tcW w:w="14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shd w:val="clear" w:color="auto" w:fill="A3A3A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420" w:type="dxa"/>
            <w:vAlign w:val="bottom"/>
            <w:tcBorders>
              <w:top w:val="single" w:sz="8" w:color="004483"/>
            </w:tcBorders>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3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100 %</w:t>
            </w:r>
          </w:p>
        </w:tc>
        <w:tc>
          <w:tcPr>
            <w:tcW w:w="10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100 %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004483"/>
              <w:bottom w:val="single" w:sz="8" w:color="004483"/>
            </w:tcBorders>
          </w:tcPr>
          <w:p>
            <w:pPr>
              <w:spacing w:after="0" w:line="20" w:lineRule="exact"/>
              <w:rPr>
                <w:sz w:val="1"/>
                <w:szCs w:val="1"/>
                <w:color w:val="auto"/>
              </w:rPr>
            </w:pPr>
          </w:p>
        </w:tc>
        <w:tc>
          <w:tcPr>
            <w:tcW w:w="420" w:type="dxa"/>
            <w:vAlign w:val="bottom"/>
            <w:tcBorders>
              <w:top w:val="single" w:sz="8" w:color="004483"/>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6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 generating returns, net of management fees, that exceed market-based benchmarks. None of the plans hold any Company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actuarial estimates, we do not anticipate making any contributions to our defined benefit plans for fiscal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35" w:right="299" w:bottom="1440" w:gutter="0" w:footer="0" w:header="0"/>
        </w:sectPr>
      </w:pPr>
    </w:p>
    <w:bookmarkStart w:id="96" w:name="page97"/>
    <w:bookmarkEnd w:id="96"/>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plans’ consolidated assets by category as of March 31, 2024 and 2023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shd w:val="clear" w:color="auto" w:fill="004483"/>
          </w:tcPr>
          <w:p>
            <w:pPr>
              <w:spacing w:after="0"/>
              <w:rPr>
                <w:sz w:val="14"/>
                <w:szCs w:val="14"/>
                <w:color w:val="auto"/>
              </w:rPr>
            </w:pPr>
          </w:p>
        </w:tc>
        <w:tc>
          <w:tcPr>
            <w:tcW w:w="2020" w:type="dxa"/>
            <w:vAlign w:val="bottom"/>
            <w:gridSpan w:val="3"/>
            <w:shd w:val="clear" w:color="auto" w:fill="004483"/>
          </w:tcPr>
          <w:p>
            <w:pPr>
              <w:jc w:val="right"/>
              <w:ind w:right="519"/>
              <w:spacing w:after="0"/>
              <w:rPr>
                <w:sz w:val="20"/>
                <w:szCs w:val="20"/>
                <w:color w:val="auto"/>
              </w:rPr>
            </w:pPr>
            <w:r>
              <w:rPr>
                <w:rFonts w:ascii="Arial" w:cs="Arial" w:eastAsia="Arial" w:hAnsi="Arial"/>
                <w:sz w:val="13"/>
                <w:szCs w:val="13"/>
                <w:b w:val="1"/>
                <w:bCs w:val="1"/>
                <w:color w:val="FFFFFF"/>
              </w:rPr>
              <w:t>March 31,</w:t>
            </w:r>
          </w:p>
        </w:tc>
        <w:tc>
          <w:tcPr>
            <w:tcW w:w="920" w:type="dxa"/>
            <w:vAlign w:val="bottom"/>
            <w:shd w:val="clear" w:color="auto" w:fill="004483"/>
          </w:tcPr>
          <w:p>
            <w:pPr>
              <w:spacing w:after="0"/>
              <w:rPr>
                <w:sz w:val="14"/>
                <w:szCs w:val="14"/>
                <w:color w:val="auto"/>
              </w:rPr>
            </w:pPr>
          </w:p>
        </w:tc>
      </w:tr>
      <w:tr>
        <w:trPr>
          <w:trHeight w:val="158"/>
        </w:trPr>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ind w:right="67"/>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Arial" w:cs="Arial" w:eastAsia="Arial" w:hAnsi="Arial"/>
                <w:sz w:val="13"/>
                <w:szCs w:val="13"/>
                <w:b w:val="1"/>
                <w:bCs w:val="1"/>
                <w:color w:val="auto"/>
              </w:rPr>
              <w:t>2023</w:t>
            </w:r>
          </w:p>
        </w:tc>
      </w:tr>
      <w:tr>
        <w:trPr>
          <w:trHeight w:val="187"/>
        </w:trPr>
        <w:tc>
          <w:tcPr>
            <w:tcW w:w="752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580" w:type="dxa"/>
            <w:vAlign w:val="bottom"/>
            <w:tcBorders>
              <w:bottom w:val="single" w:sz="8" w:color="004483"/>
            </w:tcBorders>
          </w:tcPr>
          <w:p>
            <w:pPr>
              <w:spacing w:after="0"/>
              <w:rPr>
                <w:sz w:val="16"/>
                <w:szCs w:val="16"/>
                <w:color w:val="auto"/>
              </w:rPr>
            </w:pPr>
          </w:p>
        </w:tc>
        <w:tc>
          <w:tcPr>
            <w:tcW w:w="2020" w:type="dxa"/>
            <w:vAlign w:val="bottom"/>
            <w:tcBorders>
              <w:bottom w:val="single" w:sz="8" w:color="004483"/>
            </w:tcBorders>
            <w:gridSpan w:val="3"/>
          </w:tcPr>
          <w:p>
            <w:pPr>
              <w:jc w:val="right"/>
              <w:ind w:right="21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6"/>
                <w:szCs w:val="16"/>
                <w:color w:val="auto"/>
              </w:rPr>
            </w:pPr>
          </w:p>
        </w:tc>
      </w:tr>
      <w:tr>
        <w:trPr>
          <w:trHeight w:val="216"/>
        </w:trPr>
        <w:tc>
          <w:tcPr>
            <w:tcW w:w="77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gridSpan w:val="2"/>
          </w:tcPr>
          <w:p>
            <w:pPr>
              <w:jc w:val="right"/>
              <w:ind w:right="5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2,878</w:t>
            </w:r>
          </w:p>
        </w:tc>
      </w:tr>
      <w:tr>
        <w:trPr>
          <w:trHeight w:val="209"/>
        </w:trPr>
        <w:tc>
          <w:tcPr>
            <w:tcW w:w="77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004483"/>
              </w:rPr>
              <w:t>Fixed Income Securities</w:t>
            </w:r>
          </w:p>
        </w:tc>
        <w:tc>
          <w:tcPr>
            <w:tcW w:w="5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29,541</w:t>
            </w:r>
          </w:p>
        </w:tc>
        <w:tc>
          <w:tcPr>
            <w:tcW w:w="18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27,811</w:t>
            </w:r>
          </w:p>
        </w:tc>
      </w:tr>
      <w:tr>
        <w:trPr>
          <w:trHeight w:val="237"/>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004483"/>
              </w:rPr>
              <w:t>Cash Equivalents</w:t>
            </w:r>
          </w:p>
        </w:tc>
        <w:tc>
          <w:tcPr>
            <w:tcW w:w="58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color w:val="auto"/>
              </w:rPr>
              <w:t>583</w:t>
            </w:r>
          </w:p>
        </w:tc>
        <w:tc>
          <w:tcPr>
            <w:tcW w:w="180" w:type="dxa"/>
            <w:vAlign w:val="bottom"/>
          </w:tcPr>
          <w:p>
            <w:pPr>
              <w:spacing w:after="0"/>
              <w:rPr>
                <w:sz w:val="20"/>
                <w:szCs w:val="20"/>
                <w:color w:val="auto"/>
              </w:rPr>
            </w:pPr>
          </w:p>
        </w:tc>
        <w:tc>
          <w:tcPr>
            <w:tcW w:w="74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417</w:t>
            </w:r>
          </w:p>
        </w:tc>
      </w:tr>
      <w:tr>
        <w:trPr>
          <w:trHeight w:val="209"/>
        </w:trPr>
        <w:tc>
          <w:tcPr>
            <w:tcW w:w="7520" w:type="dxa"/>
            <w:vAlign w:val="bottom"/>
            <w:tcBorders>
              <w:top w:val="single" w:sz="8" w:color="A6A6A6"/>
            </w:tcBorders>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3A3A3"/>
            </w:tcBorders>
          </w:tcPr>
          <w:p>
            <w:pPr>
              <w:spacing w:after="0"/>
              <w:rPr>
                <w:sz w:val="18"/>
                <w:szCs w:val="18"/>
                <w:color w:val="auto"/>
              </w:rPr>
            </w:pPr>
          </w:p>
        </w:tc>
        <w:tc>
          <w:tcPr>
            <w:tcW w:w="580" w:type="dxa"/>
            <w:vAlign w:val="bottom"/>
            <w:tcBorders>
              <w:top w:val="single" w:sz="8" w:color="004483"/>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6"/>
                <w:szCs w:val="16"/>
                <w:b w:val="1"/>
                <w:bCs w:val="1"/>
                <w:color w:val="auto"/>
              </w:rPr>
              <w:t>30,124</w:t>
            </w:r>
          </w:p>
        </w:tc>
        <w:tc>
          <w:tcPr>
            <w:tcW w:w="180" w:type="dxa"/>
            <w:vAlign w:val="bottom"/>
            <w:tcBorders>
              <w:top w:val="single" w:sz="8" w:color="A3A3A3"/>
            </w:tcBorders>
          </w:tcPr>
          <w:p>
            <w:pPr>
              <w:spacing w:after="0"/>
              <w:rPr>
                <w:sz w:val="18"/>
                <w:szCs w:val="18"/>
                <w:color w:val="auto"/>
              </w:rPr>
            </w:pPr>
          </w:p>
        </w:tc>
        <w:tc>
          <w:tcPr>
            <w:tcW w:w="740" w:type="dxa"/>
            <w:vAlign w:val="bottom"/>
            <w:tcBorders>
              <w:top w:val="single" w:sz="8" w:color="004483"/>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004483"/>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31,106</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r>
    </w:tbl>
    <w:p>
      <w:pPr>
        <w:spacing w:after="0" w:line="89"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fair values of our defined benefit plans’ consolidated assets were determined using the fair value hierarchy of inputs described in Footnote (A) to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2024,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w w:val="95"/>
              </w:rPr>
              <w:t>Significant Other</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Active Markets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for Identical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Observable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47"/>
              <w:spacing w:after="0" w:line="135" w:lineRule="exact"/>
              <w:rPr>
                <w:sz w:val="20"/>
                <w:szCs w:val="20"/>
                <w:color w:val="auto"/>
              </w:rPr>
            </w:pPr>
            <w:r>
              <w:rPr>
                <w:rFonts w:ascii="Arial" w:cs="Arial" w:eastAsia="Arial" w:hAnsi="Arial"/>
                <w:sz w:val="13"/>
                <w:szCs w:val="13"/>
                <w:b w:val="1"/>
                <w:bCs w:val="1"/>
                <w:color w:val="auto"/>
              </w:rPr>
              <w:t>Unobservable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Assets (Level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Inputs (Level 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7"/>
              <w:spacing w:after="0"/>
              <w:rPr>
                <w:sz w:val="20"/>
                <w:szCs w:val="20"/>
                <w:color w:val="auto"/>
              </w:rPr>
            </w:pPr>
            <w:r>
              <w:rPr>
                <w:rFonts w:ascii="Arial" w:cs="Arial" w:eastAsia="Arial" w:hAnsi="Arial"/>
                <w:sz w:val="13"/>
                <w:szCs w:val="13"/>
                <w:b w:val="1"/>
                <w:bCs w:val="1"/>
                <w:color w:val="auto"/>
                <w:w w:val="98"/>
              </w:rPr>
              <w:t>Inputs (Level 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64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Asset Categories</w:t>
            </w:r>
          </w:p>
        </w:tc>
        <w:tc>
          <w:tcPr>
            <w:tcW w:w="14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1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520" w:type="dxa"/>
            <w:vAlign w:val="bottom"/>
            <w:tcBorders>
              <w:bottom w:val="single" w:sz="8" w:color="004483"/>
            </w:tcBorders>
            <w:gridSpan w:val="4"/>
          </w:tcPr>
          <w:p>
            <w:pPr>
              <w:jc w:val="right"/>
              <w:ind w:right="727"/>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8"/>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8"/>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Fixed Income Securities</w:t>
            </w:r>
          </w:p>
        </w:tc>
        <w:tc>
          <w:tcPr>
            <w:tcW w:w="140" w:type="dxa"/>
            <w:vAlign w:val="bottom"/>
            <w:tcBorders>
              <w:top w:val="single" w:sz="8" w:color="A3A3A3"/>
              <w:bottom w:val="single" w:sz="8" w:color="A3A3A3"/>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ind w:right="48"/>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3A3A3"/>
              <w:bottom w:val="single" w:sz="8" w:color="A3A3A3"/>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ind w:right="48"/>
              <w:spacing w:after="0"/>
              <w:rPr>
                <w:sz w:val="20"/>
                <w:szCs w:val="20"/>
                <w:color w:val="auto"/>
              </w:rPr>
            </w:pPr>
            <w:r>
              <w:rPr>
                <w:rFonts w:ascii="Arial" w:cs="Arial" w:eastAsia="Arial" w:hAnsi="Arial"/>
                <w:sz w:val="16"/>
                <w:szCs w:val="16"/>
                <w:color w:val="auto"/>
              </w:rPr>
              <w:t>29,541</w:t>
            </w:r>
          </w:p>
        </w:tc>
        <w:tc>
          <w:tcPr>
            <w:tcW w:w="140" w:type="dxa"/>
            <w:vAlign w:val="bottom"/>
            <w:tcBorders>
              <w:top w:val="single" w:sz="8" w:color="A3A3A3"/>
              <w:bottom w:val="single" w:sz="8" w:color="A3A3A3"/>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080" w:type="dxa"/>
            <w:vAlign w:val="bottom"/>
            <w:tcBorders>
              <w:top w:val="single" w:sz="8" w:color="A6A6A6"/>
              <w:bottom w:val="single" w:sz="8" w:color="A6A6A6"/>
            </w:tcBorders>
          </w:tcPr>
          <w:p>
            <w:pPr>
              <w:jc w:val="right"/>
              <w:ind w:right="47"/>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3A3A3"/>
              <w:bottom w:val="single" w:sz="8" w:color="A3A3A3"/>
            </w:tcBorders>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ind w:right="43"/>
              <w:spacing w:after="0"/>
              <w:rPr>
                <w:sz w:val="20"/>
                <w:szCs w:val="20"/>
                <w:color w:val="auto"/>
              </w:rPr>
            </w:pPr>
            <w:r>
              <w:rPr>
                <w:rFonts w:ascii="Arial" w:cs="Arial" w:eastAsia="Arial" w:hAnsi="Arial"/>
                <w:sz w:val="16"/>
                <w:szCs w:val="16"/>
                <w:color w:val="auto"/>
              </w:rPr>
              <w:t>29,541</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Cash Equivalents</w:t>
            </w:r>
          </w:p>
        </w:tc>
        <w:tc>
          <w:tcPr>
            <w:tcW w:w="140" w:type="dxa"/>
            <w:vAlign w:val="bottom"/>
            <w:tcBorders>
              <w:bottom w:val="single" w:sz="8" w:color="A3A3A3"/>
            </w:tcBorders>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color w:val="auto"/>
              </w:rPr>
              <w:t>583</w:t>
            </w:r>
          </w:p>
        </w:tc>
        <w:tc>
          <w:tcPr>
            <w:tcW w:w="160" w:type="dxa"/>
            <w:vAlign w:val="bottom"/>
            <w:tcBorders>
              <w:bottom w:val="single" w:sz="8" w:color="A3A3A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7"/>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b w:val="1"/>
                <w:bCs w:val="1"/>
                <w:color w:val="auto"/>
              </w:rPr>
              <w:t>583</w:t>
            </w:r>
          </w:p>
        </w:tc>
        <w:tc>
          <w:tcPr>
            <w:tcW w:w="16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b w:val="1"/>
                <w:bCs w:val="1"/>
                <w:color w:val="auto"/>
              </w:rPr>
              <w:t>29,541</w:t>
            </w: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7"/>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30,124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2023,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w w:val="95"/>
              </w:rPr>
              <w:t>Significant 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Active Markets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for Identical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Observable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47"/>
              <w:spacing w:after="0" w:line="135" w:lineRule="exact"/>
              <w:rPr>
                <w:sz w:val="20"/>
                <w:szCs w:val="20"/>
                <w:color w:val="auto"/>
              </w:rPr>
            </w:pPr>
            <w:r>
              <w:rPr>
                <w:rFonts w:ascii="Arial" w:cs="Arial" w:eastAsia="Arial" w:hAnsi="Arial"/>
                <w:sz w:val="13"/>
                <w:szCs w:val="13"/>
                <w:b w:val="1"/>
                <w:bCs w:val="1"/>
                <w:color w:val="auto"/>
              </w:rPr>
              <w:t>Unobservable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Assets (Level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Inputs (Level 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7"/>
              <w:spacing w:after="0"/>
              <w:rPr>
                <w:sz w:val="20"/>
                <w:szCs w:val="20"/>
                <w:color w:val="auto"/>
              </w:rPr>
            </w:pPr>
            <w:r>
              <w:rPr>
                <w:rFonts w:ascii="Arial" w:cs="Arial" w:eastAsia="Arial" w:hAnsi="Arial"/>
                <w:sz w:val="13"/>
                <w:szCs w:val="13"/>
                <w:b w:val="1"/>
                <w:bCs w:val="1"/>
                <w:color w:val="auto"/>
                <w:w w:val="98"/>
              </w:rPr>
              <w:t>Inputs (Level 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64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Asset Categories</w:t>
            </w:r>
          </w:p>
        </w:tc>
        <w:tc>
          <w:tcPr>
            <w:tcW w:w="14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1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520" w:type="dxa"/>
            <w:vAlign w:val="bottom"/>
            <w:tcBorders>
              <w:bottom w:val="single" w:sz="8" w:color="004483"/>
            </w:tcBorders>
            <w:gridSpan w:val="4"/>
          </w:tcPr>
          <w:p>
            <w:pPr>
              <w:jc w:val="right"/>
              <w:ind w:right="727"/>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8"/>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8"/>
              <w:spacing w:after="0"/>
              <w:rPr>
                <w:sz w:val="20"/>
                <w:szCs w:val="20"/>
                <w:color w:val="auto"/>
              </w:rPr>
            </w:pPr>
            <w:r>
              <w:rPr>
                <w:rFonts w:ascii="Arial" w:cs="Arial" w:eastAsia="Arial" w:hAnsi="Arial"/>
                <w:sz w:val="16"/>
                <w:szCs w:val="16"/>
                <w:color w:val="auto"/>
              </w:rPr>
              <w:t>2,878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10"/>
        </w:trPr>
        <w:tc>
          <w:tcPr>
            <w:tcW w:w="56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Fixed Income Securities</w:t>
            </w:r>
          </w:p>
        </w:tc>
        <w:tc>
          <w:tcPr>
            <w:tcW w:w="140" w:type="dxa"/>
            <w:vAlign w:val="bottom"/>
            <w:tcBorders>
              <w:top w:val="single" w:sz="8" w:color="A3A3A3"/>
              <w:bottom w:val="single" w:sz="8" w:color="A3A3A3"/>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ind w:right="48"/>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3A3A3"/>
              <w:bottom w:val="single" w:sz="8" w:color="A3A3A3"/>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ind w:right="48"/>
              <w:spacing w:after="0"/>
              <w:rPr>
                <w:sz w:val="20"/>
                <w:szCs w:val="20"/>
                <w:color w:val="auto"/>
              </w:rPr>
            </w:pPr>
            <w:r>
              <w:rPr>
                <w:rFonts w:ascii="Arial" w:cs="Arial" w:eastAsia="Arial" w:hAnsi="Arial"/>
                <w:sz w:val="16"/>
                <w:szCs w:val="16"/>
                <w:color w:val="auto"/>
              </w:rPr>
              <w:t>27,811</w:t>
            </w:r>
          </w:p>
        </w:tc>
        <w:tc>
          <w:tcPr>
            <w:tcW w:w="140" w:type="dxa"/>
            <w:vAlign w:val="bottom"/>
            <w:tcBorders>
              <w:top w:val="single" w:sz="8" w:color="A3A3A3"/>
              <w:bottom w:val="single" w:sz="8" w:color="A3A3A3"/>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080" w:type="dxa"/>
            <w:vAlign w:val="bottom"/>
            <w:tcBorders>
              <w:top w:val="single" w:sz="8" w:color="A6A6A6"/>
              <w:bottom w:val="single" w:sz="8" w:color="A6A6A6"/>
            </w:tcBorders>
          </w:tcPr>
          <w:p>
            <w:pPr>
              <w:jc w:val="right"/>
              <w:ind w:right="47"/>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3A3A3"/>
              <w:bottom w:val="single" w:sz="8" w:color="A3A3A3"/>
            </w:tcBorders>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ind w:right="43"/>
              <w:spacing w:after="0"/>
              <w:rPr>
                <w:sz w:val="20"/>
                <w:szCs w:val="20"/>
                <w:color w:val="auto"/>
              </w:rPr>
            </w:pPr>
            <w:r>
              <w:rPr>
                <w:rFonts w:ascii="Arial" w:cs="Arial" w:eastAsia="Arial" w:hAnsi="Arial"/>
                <w:sz w:val="16"/>
                <w:szCs w:val="16"/>
                <w:color w:val="auto"/>
              </w:rPr>
              <w:t>27,811</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Cash Equivalents</w:t>
            </w:r>
          </w:p>
        </w:tc>
        <w:tc>
          <w:tcPr>
            <w:tcW w:w="140" w:type="dxa"/>
            <w:vAlign w:val="bottom"/>
            <w:tcBorders>
              <w:bottom w:val="single" w:sz="8" w:color="A3A3A3"/>
            </w:tcBorders>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color w:val="auto"/>
              </w:rPr>
              <w:t>417</w:t>
            </w:r>
          </w:p>
        </w:tc>
        <w:tc>
          <w:tcPr>
            <w:tcW w:w="160" w:type="dxa"/>
            <w:vAlign w:val="bottom"/>
            <w:tcBorders>
              <w:bottom w:val="single" w:sz="8" w:color="A3A3A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47"/>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b w:val="1"/>
                <w:bCs w:val="1"/>
                <w:color w:val="auto"/>
              </w:rPr>
              <w:t>417</w:t>
            </w:r>
          </w:p>
        </w:tc>
        <w:tc>
          <w:tcPr>
            <w:tcW w:w="16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8"/>
              <w:spacing w:after="0"/>
              <w:rPr>
                <w:sz w:val="20"/>
                <w:szCs w:val="20"/>
                <w:color w:val="auto"/>
              </w:rPr>
            </w:pPr>
            <w:r>
              <w:rPr>
                <w:rFonts w:ascii="Arial" w:cs="Arial" w:eastAsia="Arial" w:hAnsi="Arial"/>
                <w:sz w:val="16"/>
                <w:szCs w:val="16"/>
                <w:b w:val="1"/>
                <w:bCs w:val="1"/>
                <w:color w:val="auto"/>
              </w:rPr>
              <w:t>30,689</w:t>
            </w: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7"/>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3"/>
              <w:spacing w:after="0"/>
              <w:rPr>
                <w:sz w:val="20"/>
                <w:szCs w:val="20"/>
                <w:color w:val="auto"/>
              </w:rPr>
            </w:pPr>
            <w:r>
              <w:rPr>
                <w:rFonts w:ascii="Arial" w:cs="Arial" w:eastAsia="Arial" w:hAnsi="Arial"/>
                <w:sz w:val="16"/>
                <w:szCs w:val="16"/>
                <w:b w:val="1"/>
                <w:bCs w:val="1"/>
                <w:color w:val="auto"/>
              </w:rPr>
              <w:t>31,106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Profit Sharing Plans</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also provide profit sharing plans, which cover substantially all salaried and certain hourly employees. The profit 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 period. Costs relating to the employer discretionary contributions for our plan totaled $9.6 million, $9.1 million, and $8.5 million in fiscal years 2024, 2023, and 2022, respectively.</w:t>
      </w:r>
    </w:p>
    <w:p>
      <w:pPr>
        <w:spacing w:after="0" w:line="6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also made matching contributions to the hourly profit sharing plan for certain of our entities totaling $1.8 million, $1.4 million, and $1.3 million for these employees during fiscal years 2024, 2023, and 2022, respectively.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Approximately 50 of our employees belong to two different multi-employer plans. One of the collective bargaining agreements for the employees who participate in the multi-employer plans expired in February 2024 and is currently being renegotiated, and the other expires in March 2025. Our expense related to these plans was approximately $1.7 million, $1.8 million, and $1.7 million during fiscal years 2024, 2023, and 2022, respectively. We anticipate the total expense in fiscal 2025 related to these plans will be approximately $2.0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Eagle Materials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audited the accompanying consolidated balance sheets of Eagle Materials Inc. and Subsidiaries (the Company) as of March 31, 2024 and 2023, the related consolidated statements of earnings, comprehensive earnings, stockholders' equity and cash flows for each of the three years in the period ended March 31, 2024, and the related notes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U.S. generally accepted accounting principles.</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2024, based on criteria established in Internal Control–Integrated Framework issued by the Committee of Sponsoring Organizations of the Treadway Commission (2013 framework), and our report dated May 22, 2024 expressed an unqualified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Raw Materials and Materials-in-Progress inventory existence</w:t>
      </w:r>
    </w:p>
    <w:p>
      <w:pPr>
        <w:spacing w:after="0" w:line="127" w:lineRule="exact"/>
        <w:rPr>
          <w:sz w:val="20"/>
          <w:szCs w:val="20"/>
          <w:color w:val="auto"/>
        </w:rPr>
      </w:pPr>
    </w:p>
    <w:p>
      <w:pPr>
        <w:ind w:left="2220" w:right="220" w:hanging="2200"/>
        <w:spacing w:after="0" w:line="245" w:lineRule="auto"/>
        <w:rPr>
          <w:sz w:val="20"/>
          <w:szCs w:val="20"/>
          <w:color w:val="auto"/>
        </w:rPr>
      </w:pPr>
      <w:r>
        <w:rPr>
          <w:rFonts w:ascii="Arial" w:cs="Arial" w:eastAsia="Arial" w:hAnsi="Arial"/>
          <w:sz w:val="19"/>
          <w:szCs w:val="19"/>
          <w:i w:val="1"/>
          <w:iCs w:val="1"/>
          <w:color w:val="auto"/>
        </w:rPr>
        <w:t xml:space="preserve">Description of the Matter </w:t>
      </w:r>
      <w:r>
        <w:rPr>
          <w:rFonts w:ascii="Arial" w:cs="Arial" w:eastAsia="Arial" w:hAnsi="Arial"/>
          <w:sz w:val="17"/>
          <w:szCs w:val="17"/>
          <w:color w:val="auto"/>
        </w:rPr>
        <w:t>As described in Note A, the Company’s raw materials and materials-in-progress inventory balance was $122.8</w:t>
      </w:r>
      <w:r>
        <w:rPr>
          <w:rFonts w:ascii="Arial" w:cs="Arial" w:eastAsia="Arial" w:hAnsi="Arial"/>
          <w:sz w:val="19"/>
          <w:szCs w:val="19"/>
          <w:i w:val="1"/>
          <w:iCs w:val="1"/>
          <w:color w:val="auto"/>
        </w:rPr>
        <w:t xml:space="preserve"> </w:t>
      </w:r>
      <w:r>
        <w:rPr>
          <w:rFonts w:ascii="Arial" w:cs="Arial" w:eastAsia="Arial" w:hAnsi="Arial"/>
          <w:sz w:val="17"/>
          <w:szCs w:val="17"/>
          <w:color w:val="auto"/>
        </w:rPr>
        <w:t>million at March 31, 2024. Components of this balance include raw materials that are purchased from third</w:t>
      </w:r>
    </w:p>
    <w:p>
      <w:pPr>
        <w:ind w:left="2220" w:right="260"/>
        <w:spacing w:after="0" w:line="242" w:lineRule="auto"/>
        <w:rPr>
          <w:sz w:val="20"/>
          <w:szCs w:val="20"/>
          <w:color w:val="auto"/>
        </w:rPr>
      </w:pPr>
      <w:r>
        <w:rPr>
          <w:rFonts w:ascii="Arial" w:cs="Arial" w:eastAsia="Arial" w:hAnsi="Arial"/>
          <w:sz w:val="18"/>
          <w:szCs w:val="18"/>
          <w:color w:val="auto"/>
        </w:rPr>
        <w:t>parties, as well as clinker, which is internally manufactured and represents an intermediary product before it is ground into cement powder. Due to the nature of raw materials and materials-in-progress inventory, the Company utilizes technology to measure certain volumes of the inventory stockpiles and applies standard density factors to convert the measurements to tons of inventory, which is then compared to the Company’s recorded balance.</w:t>
      </w:r>
    </w:p>
    <w:p>
      <w:pPr>
        <w:spacing w:after="0" w:line="72" w:lineRule="exact"/>
        <w:rPr>
          <w:sz w:val="20"/>
          <w:szCs w:val="20"/>
          <w:color w:val="auto"/>
        </w:rPr>
      </w:pPr>
    </w:p>
    <w:p>
      <w:pPr>
        <w:jc w:val="both"/>
        <w:ind w:left="2220" w:right="320"/>
        <w:spacing w:after="0" w:line="261" w:lineRule="auto"/>
        <w:rPr>
          <w:sz w:val="20"/>
          <w:szCs w:val="20"/>
          <w:color w:val="auto"/>
        </w:rPr>
      </w:pPr>
      <w:r>
        <w:rPr>
          <w:rFonts w:ascii="Arial" w:cs="Arial" w:eastAsia="Arial" w:hAnsi="Arial"/>
          <w:sz w:val="18"/>
          <w:szCs w:val="18"/>
          <w:color w:val="auto"/>
        </w:rPr>
        <w:t>Auditing management’s process for measuring certain raw materials and materials-in-progress inventory was complex as auditor judgment was necessary to evaluate the Company’s process for measuring the inventory, given the technology utilized, and converting the measurements to tonnage.</w:t>
      </w:r>
    </w:p>
    <w:p>
      <w:pPr>
        <w:spacing w:after="0" w:line="81"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9"/>
          <w:szCs w:val="19"/>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16"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9"/>
          <w:szCs w:val="19"/>
          <w:i w:val="1"/>
          <w:iCs w:val="1"/>
          <w:color w:val="auto"/>
        </w:rPr>
        <w:t>Matter in Our Audit</w:t>
      </w:r>
      <w:r>
        <w:rPr>
          <w:sz w:val="20"/>
          <w:szCs w:val="20"/>
          <w:color w:val="auto"/>
        </w:rPr>
        <w:tab/>
      </w:r>
      <w:r>
        <w:rPr>
          <w:rFonts w:ascii="Arial" w:cs="Arial" w:eastAsia="Arial" w:hAnsi="Arial"/>
          <w:sz w:val="17"/>
          <w:szCs w:val="17"/>
          <w:color w:val="auto"/>
        </w:rPr>
        <w:t>Company’s process of determining the existence of certain raw materials and materials-in-progress inventory.</w:t>
      </w:r>
    </w:p>
    <w:p>
      <w:pPr>
        <w:spacing w:after="0" w:line="74" w:lineRule="exact"/>
        <w:rPr>
          <w:sz w:val="20"/>
          <w:szCs w:val="20"/>
          <w:color w:val="auto"/>
        </w:rPr>
      </w:pPr>
    </w:p>
    <w:p>
      <w:pPr>
        <w:ind w:left="2220" w:right="40"/>
        <w:spacing w:after="0" w:line="245" w:lineRule="auto"/>
        <w:rPr>
          <w:sz w:val="20"/>
          <w:szCs w:val="20"/>
          <w:color w:val="auto"/>
        </w:rPr>
      </w:pPr>
      <w:r>
        <w:rPr>
          <w:rFonts w:ascii="Arial" w:cs="Arial" w:eastAsia="Arial" w:hAnsi="Arial"/>
          <w:sz w:val="18"/>
          <w:szCs w:val="18"/>
          <w:color w:val="auto"/>
        </w:rPr>
        <w:t>To test the existence of certain raw materials and materials-in-progress inventory, we performed audit procedures, assisted by specialists, that included, among others, obtaining inventory measurements performed by third parties, observing management’s inspection and measurement of inventory, testing the measurement techniques of the inventory stockpiles, testing the underlying calculations of the measurements in the conversion calculations utilizing density factors, and evaluating the appropriateness of the density factors utilized in the calculations as compared to industry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May 22, 2024</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EVALUATION OF DISCLOSURE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established a system of disclosure controls and other procedures that are designed to ensure that information related to the Company, that is required to be disclosed by us in the reports that we file or submit under the Exchange Act is recorded, processed, summarized, and reported within the time periods specified by the SEC's rules and forms, and that such information is accumulated and communicated to management, including our Chief Executive Officer (CEO) and CFO,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7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There were no changes that occurred during our last fiscal quarter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MANAGEMENT REPORT ON INTERNAL CONTROL OVER FINANCIAL REPORTING</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Based on our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March 31, 2024. The effectiveness of our internal control over financial reporting as of March 31, 2024,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Eagle Materials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have audited Eagle Materials Inc. and Subsidiaries’ internal control over financial reporting as of March 31, 2024,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2024, based on the COSO criteria.</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2024 and 2023, the related consolidated statements of earnings, comprehensive earnings, stockholders’ equity and cash flows for each of the three years in the period ended March 31, 2024, and the related notes, and our report dated May 22, 2024 expressed an unqualified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1"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w:t>
      </w:r>
      <w:r>
        <w:rPr>
          <w:rFonts w:ascii="Arial" w:cs="Arial" w:eastAsia="Arial" w:hAnsi="Arial"/>
          <w:sz w:val="17"/>
          <w:szCs w:val="17"/>
          <w:color w:val="auto"/>
        </w:rPr>
        <w:t>opinion.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May 22, 2024</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fourth quarter ended March 31,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03" w:name="page104"/>
    <w:bookmarkEnd w:id="103"/>
    <w:p>
      <w:pPr>
        <w:spacing w:after="0"/>
        <w:rPr>
          <w:sz w:val="20"/>
          <w:szCs w:val="20"/>
          <w:color w:val="auto"/>
        </w:rPr>
      </w:pPr>
      <w:r>
        <w:rPr>
          <w:rFonts w:ascii="Arial" w:cs="Arial" w:eastAsia="Arial" w:hAnsi="Arial"/>
          <w:sz w:val="23"/>
          <w:szCs w:val="23"/>
          <w:b w:val="1"/>
          <w:bCs w:val="1"/>
          <w:color w:val="004483"/>
        </w:rPr>
        <w:t>PART III</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August 1, 2024 Annual Meeting of Stockholders (the 2024 EXP Proxy Statement):</w:t>
      </w:r>
    </w:p>
    <w:p>
      <w:pPr>
        <w:spacing w:after="0" w:line="174"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b w:val="1"/>
          <w:bCs w:val="1"/>
          <w:color w:val="auto"/>
        </w:rPr>
        <w:t>Items</w:t>
      </w:r>
      <w:r>
        <w:rPr>
          <w:sz w:val="20"/>
          <w:szCs w:val="20"/>
          <w:color w:val="auto"/>
        </w:rPr>
        <w:tab/>
      </w:r>
      <w:r>
        <w:rPr>
          <w:rFonts w:ascii="Arial" w:cs="Arial" w:eastAsia="Arial" w:hAnsi="Arial"/>
          <w:sz w:val="16"/>
          <w:szCs w:val="16"/>
          <w:b w:val="1"/>
          <w:bCs w:val="1"/>
          <w:color w:val="auto"/>
        </w:rPr>
        <w:t>Caption in the 2024 EXP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3" w:lineRule="exact"/>
        <w:rPr>
          <w:sz w:val="20"/>
          <w:szCs w:val="20"/>
          <w:color w:val="auto"/>
        </w:rPr>
      </w:pPr>
    </w:p>
    <w:p>
      <w:pPr>
        <w:ind w:left="780" w:hanging="759"/>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004483"/>
        </w:rPr>
        <w:t>Executive Officers Who Are Not Directors</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004483"/>
        </w:rPr>
        <w:t>Election of Directors and Related Matters</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004483"/>
        </w:rPr>
        <w:t>Stock Ownership - Insider Trading and Prohibited Transactions in Company Securities</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004483"/>
        </w:rPr>
        <w:t>Stock Ownership – Code of Conduct</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00448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0"/>
          <w:szCs w:val="20"/>
          <w:color w:val="auto"/>
        </w:rPr>
      </w:pPr>
    </w:p>
    <w:p>
      <w:pPr>
        <w:ind w:left="780" w:hanging="759"/>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0044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780" w:hanging="759"/>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004483"/>
        </w:rPr>
        <w:t>Potential Payments Upon Termination or Change in Control</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004483"/>
        </w:rPr>
        <w:t>Stock Ownership</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004483"/>
        </w:rPr>
        <w:t>Stock Ownership –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780" w:hanging="759"/>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004483"/>
        </w:rPr>
        <w:t>Election of Directors and Related Matters</w:t>
      </w:r>
    </w:p>
    <w:p>
      <w:pPr>
        <w:spacing w:after="0" w:line="59" w:lineRule="exact"/>
        <w:rPr>
          <w:rFonts w:ascii="Arial" w:cs="Arial" w:eastAsia="Arial" w:hAnsi="Arial"/>
          <w:sz w:val="16"/>
          <w:szCs w:val="16"/>
          <w:color w:val="auto"/>
        </w:rPr>
      </w:pPr>
    </w:p>
    <w:p>
      <w:pPr>
        <w:ind w:left="780" w:hanging="759"/>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004483"/>
        </w:rPr>
        <w:t>Relationship with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CODE OF ETHICS</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The policies comprising the Company’s code of ethics are detailed in </w:t>
      </w:r>
      <w:r>
        <w:rPr>
          <w:rFonts w:ascii="Arial" w:cs="Arial" w:eastAsia="Arial" w:hAnsi="Arial"/>
          <w:sz w:val="18"/>
          <w:szCs w:val="18"/>
          <w:i w:val="1"/>
          <w:iCs w:val="1"/>
          <w:color w:val="auto"/>
        </w:rPr>
        <w:t>The Eagle Way – A Guide to Decision-Making on Business Conduct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Issues. </w:t>
      </w:r>
      <w:r>
        <w:rPr>
          <w:rFonts w:ascii="Arial" w:cs="Arial" w:eastAsia="Arial" w:hAnsi="Arial"/>
          <w:sz w:val="18"/>
          <w:szCs w:val="18"/>
          <w:color w:val="auto"/>
        </w:rPr>
        <w:t>This represents the code of ethics for the principal executive officer, principal financial officer, and principal accounting officer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6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104" w:name="page105"/>
    <w:bookmarkEnd w:id="104"/>
    <w:p>
      <w:pPr>
        <w:spacing w:after="0" w:line="200" w:lineRule="exact"/>
        <w:rPr>
          <w:sz w:val="20"/>
          <w:szCs w:val="20"/>
          <w:color w:val="auto"/>
        </w:rPr>
      </w:pPr>
    </w:p>
    <w:p>
      <w:pPr>
        <w:spacing w:after="0" w:line="276" w:lineRule="exact"/>
        <w:rPr>
          <w:sz w:val="20"/>
          <w:szCs w:val="20"/>
          <w:color w:val="auto"/>
        </w:rPr>
      </w:pPr>
    </w:p>
    <w:p>
      <w:pPr>
        <w:ind w:right="1280"/>
        <w:spacing w:after="0" w:line="309"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EQUITY COMPENSATION PLAN</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shows the number of outstanding options and shares available for future issuance of options under the Company's equity compensation plans as of March 31, 2024. Our equity compensation plans have been approved by the Company's stockholders.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for future</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securities to</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6"/>
              </w:rPr>
              <w:t>Weighted-average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issuance</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be issued upon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equity</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exercise price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plans excluding</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Incentive Plan</w:t>
            </w: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warrants, 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warrants,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reflected in</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004483"/>
            </w:tcBorders>
            <w:vMerge w:val="continue"/>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40" w:type="dxa"/>
            <w:vAlign w:val="bottom"/>
            <w:tcBorders>
              <w:bottom w:val="single" w:sz="8" w:color="004483"/>
            </w:tcBorders>
            <w:vMerge w:val="continue"/>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rights</w:t>
            </w: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rights</w:t>
            </w:r>
          </w:p>
        </w:tc>
        <w:tc>
          <w:tcPr>
            <w:tcW w:w="100" w:type="dxa"/>
            <w:vAlign w:val="bottom"/>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column</w:t>
            </w:r>
          </w:p>
        </w:tc>
        <w:tc>
          <w:tcPr>
            <w:tcW w:w="0" w:type="dxa"/>
            <w:vAlign w:val="bottom"/>
          </w:tcPr>
          <w:p>
            <w:pPr>
              <w:spacing w:after="0"/>
              <w:rPr>
                <w:sz w:val="1"/>
                <w:szCs w:val="1"/>
                <w:color w:val="auto"/>
              </w:rPr>
            </w:pP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004483"/>
              </w:rPr>
              <w:t>Equity compensation plans approved by stockholders</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2013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251,016</w:t>
            </w:r>
          </w:p>
        </w:tc>
        <w:tc>
          <w:tcPr>
            <w:tcW w:w="120" w:type="dxa"/>
            <w:vAlign w:val="bottom"/>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90.51</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1,411,798</w:t>
            </w:r>
          </w:p>
        </w:tc>
        <w:tc>
          <w:tcPr>
            <w:tcW w:w="0" w:type="dxa"/>
            <w:vAlign w:val="bottom"/>
          </w:tcPr>
          <w:p>
            <w:pPr>
              <w:spacing w:after="0"/>
              <w:rPr>
                <w:sz w:val="1"/>
                <w:szCs w:val="1"/>
                <w:color w:val="auto"/>
              </w:rPr>
            </w:pPr>
          </w:p>
        </w:tc>
      </w:tr>
      <w:tr>
        <w:trPr>
          <w:trHeight w:val="209"/>
        </w:trPr>
        <w:tc>
          <w:tcPr>
            <w:tcW w:w="5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Equity compensation plans approved by stockholders</w:t>
            </w:r>
          </w:p>
        </w:tc>
        <w:tc>
          <w:tcPr>
            <w:tcW w:w="140" w:type="dxa"/>
            <w:vAlign w:val="bottom"/>
            <w:tcBorders>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A6A6A6"/>
            </w:tcBorders>
          </w:tcPr>
          <w:p>
            <w:pPr>
              <w:spacing w:after="0"/>
              <w:rPr>
                <w:sz w:val="18"/>
                <w:szCs w:val="18"/>
                <w:color w:val="auto"/>
              </w:rPr>
            </w:pPr>
          </w:p>
        </w:tc>
        <w:tc>
          <w:tcPr>
            <w:tcW w:w="12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18"/>
                <w:szCs w:val="18"/>
                <w:color w:val="auto"/>
              </w:rPr>
            </w:pPr>
          </w:p>
        </w:tc>
        <w:tc>
          <w:tcPr>
            <w:tcW w:w="240" w:type="dxa"/>
            <w:vAlign w:val="bottom"/>
            <w:tcBorders>
              <w:top w:val="single" w:sz="8" w:color="A6A6A6"/>
              <w:bottom w:val="single" w:sz="8" w:color="A6A6A6"/>
            </w:tcBorders>
            <w:gridSpan w:val="2"/>
          </w:tcPr>
          <w:p>
            <w:pPr>
              <w:ind w:left="1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190.97</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Equity compensation plans not approved by stockholders</w:t>
            </w:r>
          </w:p>
        </w:tc>
        <w:tc>
          <w:tcPr>
            <w:tcW w:w="140" w:type="dxa"/>
            <w:vAlign w:val="bottom"/>
            <w:tcBorders>
              <w:bottom w:val="single" w:sz="8" w:color="A6A6A6"/>
            </w:tcBorders>
          </w:tcPr>
          <w:p>
            <w:pPr>
              <w:spacing w:after="0"/>
              <w:rPr>
                <w:sz w:val="20"/>
                <w:szCs w:val="20"/>
                <w:color w:val="auto"/>
              </w:rPr>
            </w:pPr>
          </w:p>
        </w:tc>
        <w:tc>
          <w:tcPr>
            <w:tcW w:w="1240" w:type="dxa"/>
            <w:vAlign w:val="bottom"/>
            <w:tcBorders>
              <w:bottom w:val="single" w:sz="8" w:color="A6A6A6"/>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252,364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004483"/>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1,411,798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color w:val="004483"/>
        </w:rPr>
        <w:t>PART IV</w:t>
      </w: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03" w:lineRule="exact"/>
        <w:rPr>
          <w:rFonts w:ascii="Arial" w:cs="Arial" w:eastAsia="Arial" w:hAnsi="Arial"/>
          <w:sz w:val="18"/>
          <w:szCs w:val="18"/>
          <w:color w:val="auto"/>
        </w:rPr>
      </w:pPr>
    </w:p>
    <w:p>
      <w:pPr>
        <w:ind w:left="480" w:hanging="248"/>
        <w:spacing w:after="0"/>
        <w:tabs>
          <w:tab w:leader="none" w:pos="48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1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Reference is made to the Index to Financial Statements under Item 8 in Part II hereof, where these documents are listed.</w:t>
      </w:r>
    </w:p>
    <w:p>
      <w:pPr>
        <w:spacing w:after="0" w:line="85" w:lineRule="exact"/>
        <w:rPr>
          <w:rFonts w:ascii="Arial" w:cs="Arial" w:eastAsia="Arial" w:hAnsi="Arial"/>
          <w:sz w:val="18"/>
          <w:szCs w:val="18"/>
          <w:color w:val="auto"/>
        </w:rPr>
      </w:pPr>
    </w:p>
    <w:p>
      <w:pPr>
        <w:ind w:left="480" w:hanging="248"/>
        <w:spacing w:after="0"/>
        <w:tabs>
          <w:tab w:leader="none" w:pos="48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Schedules</w:t>
      </w:r>
    </w:p>
    <w:p>
      <w:pPr>
        <w:spacing w:after="0" w:line="13" w:lineRule="exact"/>
        <w:rPr>
          <w:rFonts w:ascii="Arial" w:cs="Arial" w:eastAsia="Arial" w:hAnsi="Arial"/>
          <w:sz w:val="18"/>
          <w:szCs w:val="18"/>
          <w:color w:val="auto"/>
        </w:rPr>
      </w:pPr>
    </w:p>
    <w:p>
      <w:pPr>
        <w:ind w:left="480" w:right="60"/>
        <w:spacing w:after="0" w:line="250" w:lineRule="auto"/>
        <w:rPr>
          <w:rFonts w:ascii="Arial" w:cs="Arial" w:eastAsia="Arial" w:hAnsi="Arial"/>
          <w:sz w:val="18"/>
          <w:szCs w:val="18"/>
          <w:color w:val="auto"/>
        </w:rPr>
      </w:pPr>
      <w:r>
        <w:rPr>
          <w:rFonts w:ascii="Arial" w:cs="Arial" w:eastAsia="Arial" w:hAnsi="Arial"/>
          <w:sz w:val="18"/>
          <w:szCs w:val="18"/>
          <w:color w:val="auto"/>
        </w:rPr>
        <w:t>Schedules are omitted because they are not applicable or not required, or the information required to be set forth therein is included in the Consolidated Financial Statements referenced above in section (a) (1) of this Item 15.</w:t>
      </w:r>
    </w:p>
    <w:p>
      <w:pPr>
        <w:spacing w:after="0" w:line="63" w:lineRule="exact"/>
        <w:rPr>
          <w:rFonts w:ascii="Arial" w:cs="Arial" w:eastAsia="Arial" w:hAnsi="Arial"/>
          <w:sz w:val="18"/>
          <w:szCs w:val="18"/>
          <w:color w:val="auto"/>
        </w:rPr>
      </w:pPr>
    </w:p>
    <w:p>
      <w:pPr>
        <w:ind w:left="480" w:hanging="248"/>
        <w:spacing w:after="0"/>
        <w:tabs>
          <w:tab w:leader="none" w:pos="48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13" w:lineRule="exact"/>
        <w:rPr>
          <w:rFonts w:ascii="Arial" w:cs="Arial" w:eastAsia="Arial" w:hAnsi="Arial"/>
          <w:sz w:val="18"/>
          <w:szCs w:val="18"/>
          <w:color w:val="auto"/>
        </w:rPr>
      </w:pPr>
    </w:p>
    <w:p>
      <w:pPr>
        <w:ind w:left="480" w:right="200"/>
        <w:spacing w:after="0" w:line="250" w:lineRule="auto"/>
        <w:rPr>
          <w:rFonts w:ascii="Arial" w:cs="Arial" w:eastAsia="Arial" w:hAnsi="Arial"/>
          <w:sz w:val="18"/>
          <w:szCs w:val="18"/>
          <w:color w:val="auto"/>
        </w:rPr>
      </w:pPr>
      <w:r>
        <w:rPr>
          <w:rFonts w:ascii="Arial" w:cs="Arial" w:eastAsia="Arial" w:hAnsi="Arial"/>
          <w:sz w:val="18"/>
          <w:szCs w:val="18"/>
          <w:color w:val="auto"/>
        </w:rPr>
        <w:t>The information on exhibits required by this Item 15 is set forth in the Eagle Materials Inc. Index to Exhibits appearing on pages 104-109 of this Report.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INDEX TO EXHIBITS</w:t>
      </w:r>
    </w:p>
    <w:p>
      <w:pPr>
        <w:spacing w:after="0" w:line="231" w:lineRule="auto"/>
        <w:rPr>
          <w:sz w:val="20"/>
          <w:szCs w:val="20"/>
          <w:color w:val="auto"/>
        </w:rPr>
      </w:pPr>
      <w:r>
        <w:rPr>
          <w:rFonts w:ascii="Arial" w:cs="Arial" w:eastAsia="Arial" w:hAnsi="Arial"/>
          <w:sz w:val="20"/>
          <w:szCs w:val="20"/>
          <w:b w:val="1"/>
          <w:bCs w:val="1"/>
          <w:color w:val="auto"/>
        </w:rPr>
        <w:t>EAGLE MATERIALS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SUBSIDIARIES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980" w:type="dxa"/>
            <w:vAlign w:val="bottom"/>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6"/>
                <w:szCs w:val="16"/>
                <w:color w:val="auto"/>
              </w:rPr>
            </w:pPr>
          </w:p>
        </w:tc>
        <w:tc>
          <w:tcPr>
            <w:tcW w:w="10000" w:type="dxa"/>
            <w:vAlign w:val="bottom"/>
            <w:gridSpan w:val="27"/>
          </w:tcPr>
          <w:p>
            <w:pPr>
              <w:spacing w:after="0"/>
              <w:rPr>
                <w:sz w:val="20"/>
                <w:szCs w:val="20"/>
                <w:color w:val="auto"/>
              </w:rPr>
            </w:pPr>
            <w:r>
              <w:rPr>
                <w:rFonts w:ascii="Arial" w:cs="Arial" w:eastAsia="Arial" w:hAnsi="Arial"/>
                <w:sz w:val="14"/>
                <w:szCs w:val="14"/>
                <w:color w:val="auto"/>
              </w:rPr>
              <w:t>DESCRIPTION OF EXHIBITS</w:t>
            </w:r>
          </w:p>
        </w:tc>
      </w:tr>
      <w:tr>
        <w:trPr>
          <w:trHeight w:val="20"/>
        </w:trPr>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0">
              <w:r>
                <w:rPr>
                  <w:rFonts w:ascii="Arial" w:cs="Arial" w:eastAsia="Arial" w:hAnsi="Arial"/>
                  <w:sz w:val="16"/>
                  <w:szCs w:val="16"/>
                  <w:color w:val="auto"/>
                </w:rPr>
                <w:t>Amended and Restated Agreement and Plan of Merger, dated as of November 4, 2003, among Centex Corporation, Centex Construction</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6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auto"/>
              </w:rPr>
            </w:pPr>
            <w:hyperlink r:id="rId180">
              <w:r>
                <w:rPr>
                  <w:rFonts w:ascii="Arial" w:cs="Arial" w:eastAsia="Arial" w:hAnsi="Arial"/>
                  <w:sz w:val="16"/>
                  <w:szCs w:val="16"/>
                  <w:color w:val="auto"/>
                </w:rPr>
                <w:t>Products, Inc. (now known as Eagle Materials Inc.), and ARG Merger Corporation filed as Exhibit 2.1 to the Company’s Current Report on</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auto"/>
              </w:rPr>
            </w:pPr>
            <w:hyperlink r:id="rId180">
              <w:r>
                <w:rPr>
                  <w:rFonts w:ascii="Arial" w:cs="Arial" w:eastAsia="Arial" w:hAnsi="Arial"/>
                  <w:sz w:val="16"/>
                  <w:szCs w:val="16"/>
                  <w:color w:val="auto"/>
                </w:rPr>
                <w:t>Form 8-K/A filed with the Securities and Exchange Commission (the Commission) on November 12, 2003 (File No. 001-12984)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auto"/>
              </w:rPr>
            </w:pPr>
            <w:hyperlink r:id="rId180">
              <w:r>
                <w:rPr>
                  <w:rFonts w:ascii="Arial" w:cs="Arial" w:eastAsia="Arial" w:hAnsi="Arial"/>
                  <w:sz w:val="16"/>
                  <w:szCs w:val="16"/>
                  <w:color w:val="auto"/>
                </w:rPr>
                <w:t>incorporated herein by reference.</w:t>
              </w:r>
            </w:hyperlink>
          </w:p>
        </w:tc>
        <w:tc>
          <w:tcPr>
            <w:tcW w:w="7060" w:type="dxa"/>
            <w:vAlign w:val="bottom"/>
            <w:tcBorders>
              <w:top w:val="single" w:sz="8" w:color="0000EE"/>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1">
              <w:r>
                <w:rPr>
                  <w:rFonts w:ascii="Arial" w:cs="Arial" w:eastAsia="Arial" w:hAnsi="Arial"/>
                  <w:sz w:val="16"/>
                  <w:szCs w:val="16"/>
                  <w:color w:val="auto"/>
                </w:rPr>
                <w:t>Amended and Restated Distribution Agreement dated as of November 4, 2003 between Centex Corporation and Centex Construction</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tcBorders>
              <w:top w:val="single" w:sz="8" w:color="0000EE"/>
            </w:tcBorders>
            <w:gridSpan w:val="16"/>
          </w:tcPr>
          <w:p>
            <w:pPr>
              <w:spacing w:after="0" w:line="169" w:lineRule="exact"/>
              <w:rPr>
                <w:rFonts w:ascii="Arial" w:cs="Arial" w:eastAsia="Arial" w:hAnsi="Arial"/>
                <w:sz w:val="16"/>
                <w:szCs w:val="16"/>
                <w:color w:val="auto"/>
              </w:rPr>
            </w:pPr>
            <w:hyperlink r:id="rId181">
              <w:r>
                <w:rPr>
                  <w:rFonts w:ascii="Arial" w:cs="Arial" w:eastAsia="Arial" w:hAnsi="Arial"/>
                  <w:sz w:val="16"/>
                  <w:szCs w:val="16"/>
                  <w:color w:val="auto"/>
                </w:rPr>
                <w:t>Products, Inc. (now known as Eagle Materials Inc.) filed as Exhibit 2.2 to the Company’s Current Report on Form 8-K/A filed with the</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auto"/>
              </w:rPr>
            </w:pPr>
            <w:hyperlink r:id="rId181">
              <w:r>
                <w:rPr>
                  <w:rFonts w:ascii="Arial" w:cs="Arial" w:eastAsia="Arial" w:hAnsi="Arial"/>
                  <w:sz w:val="16"/>
                  <w:szCs w:val="16"/>
                  <w:color w:val="auto"/>
                </w:rPr>
                <w:t>Commission on November 12, 2003 (File No. 001-12984) and incorporated herein by reference.</w:t>
              </w:r>
            </w:hyperlink>
          </w:p>
        </w:tc>
        <w:tc>
          <w:tcPr>
            <w:tcW w:w="2640" w:type="dxa"/>
            <w:vAlign w:val="bottom"/>
            <w:tcBorders>
              <w:top w:val="single" w:sz="8" w:color="0000EE"/>
            </w:tcBorders>
            <w:gridSpan w:val="6"/>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2">
              <w:r>
                <w:rPr>
                  <w:rFonts w:ascii="Arial" w:cs="Arial" w:eastAsia="Arial" w:hAnsi="Arial"/>
                  <w:sz w:val="16"/>
                  <w:szCs w:val="16"/>
                  <w:color w:val="auto"/>
                </w:rPr>
                <w:t>Restated Certificate of Incorporation filed as Exhibit 3.1 to the Company’s Current Report on Form 8-K filed with the Commission on April</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20" w:type="dxa"/>
            <w:vAlign w:val="bottom"/>
            <w:tcBorders>
              <w:top w:val="single" w:sz="8" w:color="0000EE"/>
            </w:tcBorders>
            <w:gridSpan w:val="21"/>
          </w:tcPr>
          <w:p>
            <w:pPr>
              <w:spacing w:after="0" w:line="169" w:lineRule="exact"/>
              <w:rPr>
                <w:rFonts w:ascii="Arial" w:cs="Arial" w:eastAsia="Arial" w:hAnsi="Arial"/>
                <w:sz w:val="16"/>
                <w:szCs w:val="16"/>
                <w:color w:val="auto"/>
              </w:rPr>
            </w:pPr>
            <w:hyperlink r:id="rId182">
              <w:r>
                <w:rPr>
                  <w:rFonts w:ascii="Arial" w:cs="Arial" w:eastAsia="Arial" w:hAnsi="Arial"/>
                  <w:sz w:val="16"/>
                  <w:szCs w:val="16"/>
                  <w:color w:val="auto"/>
                </w:rPr>
                <w:t>11, 2006 (File No. 001-12984) and incorporated herein by reference.</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3">
              <w:r>
                <w:rPr>
                  <w:rFonts w:ascii="Arial" w:cs="Arial" w:eastAsia="Arial" w:hAnsi="Arial"/>
                  <w:sz w:val="16"/>
                  <w:szCs w:val="16"/>
                  <w:color w:val="auto"/>
                </w:rPr>
                <w:t>Restated Certificate of Designation, Preferences and Rights of Series A Preferred Stock filed as Exhibit 3.2 to the Company’s Current</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4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auto"/>
              </w:rPr>
            </w:pPr>
            <w:hyperlink r:id="rId183">
              <w:r>
                <w:rPr>
                  <w:rFonts w:ascii="Arial" w:cs="Arial" w:eastAsia="Arial" w:hAnsi="Arial"/>
                  <w:sz w:val="16"/>
                  <w:szCs w:val="16"/>
                  <w:color w:val="auto"/>
                </w:rPr>
                <w:t>Report on Form 8-K filed with the Commission on April 11, 2006 (File No. 001-12984) and incorporated herein by reference.</w:t>
              </w:r>
            </w:hyperlink>
          </w:p>
        </w:tc>
        <w:tc>
          <w:tcPr>
            <w:tcW w:w="74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4">
              <w:r>
                <w:rPr>
                  <w:rFonts w:ascii="Arial" w:cs="Arial" w:eastAsia="Arial" w:hAnsi="Arial"/>
                  <w:sz w:val="16"/>
                  <w:szCs w:val="16"/>
                  <w:color w:val="auto"/>
                </w:rPr>
                <w:t>Second Amended and Restated Bylaws filed as Exhibit 3.1 to the Company’s Current Report on Form 8-K, filed with the Commission on</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auto"/>
              </w:rPr>
            </w:pPr>
            <w:hyperlink r:id="rId184">
              <w:r>
                <w:rPr>
                  <w:rFonts w:ascii="Arial" w:cs="Arial" w:eastAsia="Arial" w:hAnsi="Arial"/>
                  <w:sz w:val="16"/>
                  <w:szCs w:val="16"/>
                  <w:color w:val="auto"/>
                </w:rPr>
                <w:t>November 7, 2022 (File No. 001-12984) and incorporated herein by reference.</w:t>
              </w:r>
            </w:hyperlink>
          </w:p>
        </w:tc>
        <w:tc>
          <w:tcPr>
            <w:tcW w:w="416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5">
              <w:r>
                <w:rPr>
                  <w:rFonts w:ascii="Arial" w:cs="Arial" w:eastAsia="Arial" w:hAnsi="Arial"/>
                  <w:sz w:val="16"/>
                  <w:szCs w:val="16"/>
                  <w:color w:val="auto"/>
                </w:rPr>
                <w:t>Description of Securities filed as Exhibit 4.1 to the Company's Annual Report on Form 10-K for the fiscal year ended March 31, 2022, filed</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2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auto"/>
              </w:rPr>
            </w:pPr>
            <w:hyperlink r:id="rId185">
              <w:r>
                <w:rPr>
                  <w:rFonts w:ascii="Arial" w:cs="Arial" w:eastAsia="Arial" w:hAnsi="Arial"/>
                  <w:sz w:val="16"/>
                  <w:szCs w:val="16"/>
                  <w:color w:val="auto"/>
                </w:rPr>
                <w:t>with the Commission on May 20, 2022 (File No. 001-12984) and incorporated herein by reference.</w:t>
              </w:r>
            </w:hyperlink>
          </w:p>
        </w:tc>
        <w:tc>
          <w:tcPr>
            <w:tcW w:w="29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6">
              <w:r>
                <w:rPr>
                  <w:rFonts w:ascii="Arial" w:cs="Arial" w:eastAsia="Arial" w:hAnsi="Arial"/>
                  <w:sz w:val="16"/>
                  <w:szCs w:val="16"/>
                  <w:color w:val="auto"/>
                </w:rPr>
                <w:t>Credit Agreement, dated as of July 1, 2021, among the Company, the lenders identified therein and JPMorgan Chase Bank, N.A., as the</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tcBorders>
              <w:bottom w:val="single" w:sz="8" w:color="0000EE"/>
            </w:tcBorders>
            <w:gridSpan w:val="27"/>
          </w:tcPr>
          <w:p>
            <w:pPr>
              <w:spacing w:after="0" w:line="169" w:lineRule="exact"/>
              <w:rPr>
                <w:rFonts w:ascii="Arial" w:cs="Arial" w:eastAsia="Arial" w:hAnsi="Arial"/>
                <w:sz w:val="16"/>
                <w:szCs w:val="16"/>
                <w:color w:val="auto"/>
              </w:rPr>
            </w:pPr>
            <w:hyperlink r:id="rId186">
              <w:r>
                <w:rPr>
                  <w:rFonts w:ascii="Arial" w:cs="Arial" w:eastAsia="Arial" w:hAnsi="Arial"/>
                  <w:sz w:val="16"/>
                  <w:szCs w:val="16"/>
                  <w:color w:val="auto"/>
                </w:rPr>
                <w:t>administrative agent, issuing bank and swingline lender thereunder, filed as Exhibit 10.1 to the Company’s Current Report on Form 8-K filed</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gridSpan w:val="27"/>
          </w:tcPr>
          <w:p>
            <w:pPr>
              <w:spacing w:after="0" w:line="169" w:lineRule="exact"/>
              <w:rPr>
                <w:rFonts w:ascii="Arial" w:cs="Arial" w:eastAsia="Arial" w:hAnsi="Arial"/>
                <w:sz w:val="16"/>
                <w:szCs w:val="16"/>
                <w:color w:val="auto"/>
              </w:rPr>
            </w:pPr>
            <w:hyperlink r:id="rId186">
              <w:r>
                <w:rPr>
                  <w:rFonts w:ascii="Arial" w:cs="Arial" w:eastAsia="Arial" w:hAnsi="Arial"/>
                  <w:sz w:val="16"/>
                  <w:szCs w:val="16"/>
                  <w:color w:val="auto"/>
                </w:rPr>
                <w:t>with the Commission on July 1, 2021 (File No. 001-12984)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4.2(a)</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7">
              <w:r>
                <w:rPr>
                  <w:rFonts w:ascii="Arial" w:cs="Arial" w:eastAsia="Arial" w:hAnsi="Arial"/>
                  <w:sz w:val="16"/>
                  <w:szCs w:val="16"/>
                  <w:color w:val="auto"/>
                </w:rPr>
                <w:t>Amendment No. 1, dated as of May 5, 2022, to that certain Credit Agreement, dated as of July 1, 2021, among the lenders identified therein</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187">
              <w:r>
                <w:rPr>
                  <w:rFonts w:ascii="Arial" w:cs="Arial" w:eastAsia="Arial" w:hAnsi="Arial"/>
                  <w:sz w:val="16"/>
                  <w:szCs w:val="16"/>
                  <w:color w:val="auto"/>
                </w:rPr>
                <w:t>and JPMorgan Chase Bank, N.A., as the administrative agent, issuing bank and swingline lender thereunder, filed as Exhibit 10.1 to the</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20" w:type="dxa"/>
            <w:vAlign w:val="bottom"/>
            <w:tcBorders>
              <w:top w:val="single" w:sz="8" w:color="0000EE"/>
            </w:tcBorders>
            <w:gridSpan w:val="18"/>
          </w:tcPr>
          <w:p>
            <w:pPr>
              <w:spacing w:after="0" w:line="169" w:lineRule="exact"/>
              <w:rPr>
                <w:rFonts w:ascii="Arial" w:cs="Arial" w:eastAsia="Arial" w:hAnsi="Arial"/>
                <w:sz w:val="16"/>
                <w:szCs w:val="16"/>
                <w:color w:val="auto"/>
              </w:rPr>
            </w:pPr>
            <w:hyperlink r:id="rId187">
              <w:r>
                <w:rPr>
                  <w:rFonts w:ascii="Arial" w:cs="Arial" w:eastAsia="Arial" w:hAnsi="Arial"/>
                  <w:sz w:val="16"/>
                  <w:szCs w:val="16"/>
                  <w:color w:val="auto"/>
                </w:rPr>
                <w:t>Company’s Current Report on Form 8-K filed with the Commission on May 6, 2022 (File No. 001-12984) and incorporated herein by</w:t>
              </w:r>
            </w:hyperlink>
          </w:p>
        </w:tc>
        <w:tc>
          <w:tcPr>
            <w:tcW w:w="16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0000EE"/>
              <w:bottom w:val="single" w:sz="8" w:color="0000EE"/>
            </w:tcBorders>
          </w:tcPr>
          <w:p>
            <w:pPr>
              <w:spacing w:after="0" w:line="169" w:lineRule="exact"/>
              <w:rPr>
                <w:rFonts w:ascii="Arial" w:cs="Arial" w:eastAsia="Arial" w:hAnsi="Arial"/>
                <w:sz w:val="16"/>
                <w:szCs w:val="16"/>
                <w:color w:val="auto"/>
              </w:rPr>
            </w:pPr>
            <w:hyperlink r:id="rId187">
              <w:r>
                <w:rPr>
                  <w:rFonts w:ascii="Arial" w:cs="Arial" w:eastAsia="Arial" w:hAnsi="Arial"/>
                  <w:sz w:val="16"/>
                  <w:szCs w:val="16"/>
                  <w:color w:val="auto"/>
                </w:rPr>
                <w:t>reference.</w:t>
              </w:r>
            </w:hyperlink>
          </w:p>
        </w:tc>
        <w:tc>
          <w:tcPr>
            <w:tcW w:w="8700" w:type="dxa"/>
            <w:vAlign w:val="bottom"/>
            <w:tcBorders>
              <w:top w:val="single" w:sz="8" w:color="0000EE"/>
            </w:tcBorders>
            <w:gridSpan w:val="11"/>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8">
              <w:r>
                <w:rPr>
                  <w:rFonts w:ascii="Arial" w:cs="Arial" w:eastAsia="Arial" w:hAnsi="Arial"/>
                  <w:sz w:val="16"/>
                  <w:szCs w:val="16"/>
                  <w:color w:val="auto"/>
                </w:rPr>
                <w:t>Indenture, dated as of May 8, 2009, between the Company and The Bank of New York Mellon Trust Company, N.A., filed as Exhibit 4.1 to</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188">
              <w:r>
                <w:rPr>
                  <w:rFonts w:ascii="Arial" w:cs="Arial" w:eastAsia="Arial" w:hAnsi="Arial"/>
                  <w:sz w:val="16"/>
                  <w:szCs w:val="16"/>
                  <w:color w:val="auto"/>
                </w:rPr>
                <w:t>the Company’s Registration Statement on Form S-3 filed with the Commission on May 11, 2009 (File No. 001-12984) and incorporated</w:t>
              </w:r>
            </w:hyperlink>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auto"/>
                <w:w w:val="99"/>
              </w:rPr>
            </w:pPr>
            <w:hyperlink r:id="rId188">
              <w:r>
                <w:rPr>
                  <w:rFonts w:ascii="Arial" w:cs="Arial" w:eastAsia="Arial" w:hAnsi="Arial"/>
                  <w:sz w:val="16"/>
                  <w:szCs w:val="16"/>
                  <w:color w:val="auto"/>
                  <w:w w:val="99"/>
                </w:rPr>
                <w:t>herein by reference.</w:t>
              </w:r>
            </w:hyperlink>
          </w:p>
        </w:tc>
        <w:tc>
          <w:tcPr>
            <w:tcW w:w="8220" w:type="dxa"/>
            <w:vAlign w:val="bottom"/>
            <w:tcBorders>
              <w:top w:val="single" w:sz="8" w:color="0000EE"/>
            </w:tcBorders>
            <w:gridSpan w:val="15"/>
          </w:tcPr>
          <w:p>
            <w:pPr>
              <w:spacing w:after="0"/>
              <w:rPr>
                <w:sz w:val="14"/>
                <w:szCs w:val="14"/>
                <w:color w:val="auto"/>
              </w:rPr>
            </w:pPr>
          </w:p>
        </w:tc>
        <w:tc>
          <w:tcPr>
            <w:tcW w:w="280" w:type="dxa"/>
            <w:vAlign w:val="bottom"/>
            <w:gridSpan w:val="9"/>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9">
              <w:r>
                <w:rPr>
                  <w:rFonts w:ascii="Arial" w:cs="Arial" w:eastAsia="Arial" w:hAnsi="Arial"/>
                  <w:sz w:val="16"/>
                  <w:szCs w:val="16"/>
                  <w:color w:val="auto"/>
                </w:rPr>
                <w:t>Second Supplemental Indenture, dated as of July 1, 2021, between the Company and The Bank of New York Mellon Trust Company, N.A.,</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4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189">
              <w:r>
                <w:rPr>
                  <w:rFonts w:ascii="Arial" w:cs="Arial" w:eastAsia="Arial" w:hAnsi="Arial"/>
                  <w:sz w:val="16"/>
                  <w:szCs w:val="16"/>
                  <w:color w:val="auto"/>
                </w:rPr>
                <w:t>filed as Exhibit 4.2 to the Company’s Current Report on Form 8-K filed with the Commission on July 1, 2021 (File No. 001-12984) and</w:t>
              </w:r>
            </w:hyperlink>
          </w:p>
        </w:tc>
        <w:tc>
          <w:tcPr>
            <w:tcW w:w="60" w:type="dxa"/>
            <w:vAlign w:val="bottom"/>
          </w:tcPr>
          <w:p>
            <w:pPr>
              <w:spacing w:after="0"/>
              <w:rPr>
                <w:sz w:val="14"/>
                <w:szCs w:val="14"/>
                <w:color w:val="auto"/>
              </w:rPr>
            </w:pPr>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auto"/>
              </w:rPr>
            </w:pPr>
            <w:hyperlink r:id="rId189">
              <w:r>
                <w:rPr>
                  <w:rFonts w:ascii="Arial" w:cs="Arial" w:eastAsia="Arial" w:hAnsi="Arial"/>
                  <w:sz w:val="16"/>
                  <w:szCs w:val="16"/>
                  <w:color w:val="auto"/>
                </w:rPr>
                <w:t>incorporated herein by reference.</w:t>
              </w:r>
            </w:hyperlink>
          </w:p>
        </w:tc>
        <w:tc>
          <w:tcPr>
            <w:tcW w:w="7220" w:type="dxa"/>
            <w:vAlign w:val="bottom"/>
            <w:tcBorders>
              <w:top w:val="single" w:sz="8" w:color="0000EE"/>
            </w:tcBorders>
            <w:gridSpan w:val="12"/>
          </w:tcPr>
          <w:p>
            <w:pPr>
              <w:spacing w:after="0"/>
              <w:rPr>
                <w:sz w:val="14"/>
                <w:szCs w:val="14"/>
                <w:color w:val="auto"/>
              </w:rPr>
            </w:pPr>
          </w:p>
        </w:tc>
        <w:tc>
          <w:tcPr>
            <w:tcW w:w="400" w:type="dxa"/>
            <w:vAlign w:val="bottom"/>
            <w:gridSpan w:val="12"/>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4"/>
                <w:szCs w:val="24"/>
                <w:color w:val="auto"/>
              </w:rPr>
            </w:pPr>
          </w:p>
        </w:tc>
        <w:tc>
          <w:tcPr>
            <w:tcW w:w="10000" w:type="dxa"/>
            <w:vAlign w:val="bottom"/>
            <w:gridSpan w:val="27"/>
          </w:tcPr>
          <w:p>
            <w:pPr>
              <w:spacing w:after="0"/>
              <w:rPr>
                <w:rFonts w:ascii="Arial" w:cs="Arial" w:eastAsia="Arial" w:hAnsi="Arial"/>
                <w:sz w:val="16"/>
                <w:szCs w:val="16"/>
                <w:color w:val="auto"/>
              </w:rPr>
            </w:pPr>
            <w:hyperlink r:id="rId189">
              <w:r>
                <w:rPr>
                  <w:rFonts w:ascii="Arial" w:cs="Arial" w:eastAsia="Arial" w:hAnsi="Arial"/>
                  <w:sz w:val="16"/>
                  <w:szCs w:val="16"/>
                  <w:color w:val="auto"/>
                </w:rPr>
                <w:t>Form of 2.500% Senior Note due 2031, filed as Exhibit 4.3 to the Company’s Current Report on Form 8-K filed with the Commission on July</w:t>
              </w:r>
            </w:hyperlink>
          </w:p>
        </w:tc>
      </w:tr>
      <w:tr>
        <w:trPr>
          <w:trHeight w:val="169"/>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189">
              <w:r>
                <w:rPr>
                  <w:rFonts w:ascii="Arial" w:cs="Arial" w:eastAsia="Arial" w:hAnsi="Arial"/>
                  <w:sz w:val="16"/>
                  <w:szCs w:val="16"/>
                  <w:color w:val="auto"/>
                </w:rPr>
                <w:t>1, 2021 (File No. 001-12984)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10.1</w:t>
            </w:r>
          </w:p>
        </w:tc>
        <w:tc>
          <w:tcPr>
            <w:tcW w:w="10040" w:type="dxa"/>
            <w:vAlign w:val="bottom"/>
            <w:gridSpan w:val="38"/>
          </w:tcPr>
          <w:p>
            <w:pPr>
              <w:spacing w:after="0"/>
              <w:rPr>
                <w:rFonts w:ascii="Arial" w:cs="Arial" w:eastAsia="Arial" w:hAnsi="Arial"/>
                <w:sz w:val="16"/>
                <w:szCs w:val="16"/>
                <w:color w:val="auto"/>
              </w:rPr>
            </w:pPr>
            <w:hyperlink r:id="rId191">
              <w:r>
                <w:rPr>
                  <w:rFonts w:ascii="Arial" w:cs="Arial" w:eastAsia="Arial" w:hAnsi="Arial"/>
                  <w:sz w:val="16"/>
                  <w:szCs w:val="16"/>
                  <w:color w:val="auto"/>
                </w:rPr>
                <w:t>Limited Partnership Agreement of Texas Lehigh Cement Company LP by and between Texas Cement Company and Lehigh Portland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0020" w:type="dxa"/>
            <w:vAlign w:val="bottom"/>
            <w:gridSpan w:val="37"/>
          </w:tcPr>
          <w:p>
            <w:pPr>
              <w:spacing w:after="0" w:line="169" w:lineRule="exact"/>
              <w:rPr>
                <w:rFonts w:ascii="Arial" w:cs="Arial" w:eastAsia="Arial" w:hAnsi="Arial"/>
                <w:sz w:val="16"/>
                <w:szCs w:val="16"/>
                <w:color w:val="auto"/>
              </w:rPr>
            </w:pPr>
            <w:hyperlink r:id="rId191">
              <w:r>
                <w:rPr>
                  <w:rFonts w:ascii="Arial" w:cs="Arial" w:eastAsia="Arial" w:hAnsi="Arial"/>
                  <w:sz w:val="16"/>
                  <w:szCs w:val="16"/>
                  <w:color w:val="auto"/>
                </w:rPr>
                <w:t>Cement Company effective as of October 1, 2000, filed as Exhibit 10.2 to the Company’s Annual Report on Form 10-K for the fiscal year</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12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auto"/>
              </w:rPr>
            </w:pPr>
            <w:hyperlink r:id="rId191">
              <w:r>
                <w:rPr>
                  <w:rFonts w:ascii="Arial" w:cs="Arial" w:eastAsia="Arial" w:hAnsi="Arial"/>
                  <w:sz w:val="16"/>
                  <w:szCs w:val="16"/>
                  <w:color w:val="auto"/>
                </w:rPr>
                <w:t>ended March 31, 2001, filed with the Commission on June 27, 2001 (File No. 001-12984) and incorporated herein by reference.</w:t>
              </w:r>
            </w:hyperlink>
          </w:p>
        </w:tc>
        <w:tc>
          <w:tcPr>
            <w:tcW w:w="680" w:type="dxa"/>
            <w:vAlign w:val="bottom"/>
            <w:tcBorders>
              <w:top w:val="single" w:sz="8" w:color="0000EE"/>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10.1(a)</w:t>
            </w:r>
          </w:p>
        </w:tc>
        <w:tc>
          <w:tcPr>
            <w:tcW w:w="10040" w:type="dxa"/>
            <w:vAlign w:val="bottom"/>
            <w:gridSpan w:val="38"/>
          </w:tcPr>
          <w:p>
            <w:pPr>
              <w:spacing w:after="0"/>
              <w:rPr>
                <w:rFonts w:ascii="Arial" w:cs="Arial" w:eastAsia="Arial" w:hAnsi="Arial"/>
                <w:sz w:val="16"/>
                <w:szCs w:val="16"/>
                <w:color w:val="auto"/>
              </w:rPr>
            </w:pPr>
            <w:hyperlink r:id="rId192">
              <w:r>
                <w:rPr>
                  <w:rFonts w:ascii="Arial" w:cs="Arial" w:eastAsia="Arial" w:hAnsi="Arial"/>
                  <w:sz w:val="16"/>
                  <w:szCs w:val="16"/>
                  <w:color w:val="auto"/>
                </w:rPr>
                <w:t>Amendment No. 1 to Agreement of Limited Partnership by and among Texas Cement Company; TLCC LP LLC; TLCC GP LLC; Lehigh</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EE"/>
            </w:tcBorders>
            <w:gridSpan w:val="25"/>
          </w:tcPr>
          <w:p>
            <w:pPr>
              <w:spacing w:after="0" w:line="169" w:lineRule="exact"/>
              <w:rPr>
                <w:rFonts w:ascii="Arial" w:cs="Arial" w:eastAsia="Arial" w:hAnsi="Arial"/>
                <w:sz w:val="16"/>
                <w:szCs w:val="16"/>
                <w:color w:val="auto"/>
              </w:rPr>
            </w:pPr>
            <w:hyperlink r:id="rId192">
              <w:r>
                <w:rPr>
                  <w:rFonts w:ascii="Arial" w:cs="Arial" w:eastAsia="Arial" w:hAnsi="Arial"/>
                  <w:sz w:val="16"/>
                  <w:szCs w:val="16"/>
                  <w:color w:val="auto"/>
                </w:rPr>
                <w:t>Portland Cement Company; Lehigh Portland Investments, LLC; and Lehigh Portland Holdings, LLC effective as of October 2, 2000,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10"/>
          </w:tcPr>
          <w:p>
            <w:pPr>
              <w:ind w:left="20"/>
              <w:spacing w:after="0" w:line="169" w:lineRule="exact"/>
              <w:rPr>
                <w:rFonts w:ascii="Arial" w:cs="Arial" w:eastAsia="Arial" w:hAnsi="Arial"/>
                <w:sz w:val="16"/>
                <w:szCs w:val="16"/>
                <w:color w:val="auto"/>
              </w:rPr>
            </w:pPr>
            <w:hyperlink r:id="rId192">
              <w:r>
                <w:rPr>
                  <w:rFonts w:ascii="Arial" w:cs="Arial" w:eastAsia="Arial" w:hAnsi="Arial"/>
                  <w:sz w:val="16"/>
                  <w:szCs w:val="16"/>
                  <w:color w:val="auto"/>
                </w:rPr>
                <w:t>as</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98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auto"/>
              </w:rPr>
            </w:pPr>
            <w:hyperlink r:id="rId192">
              <w:r>
                <w:rPr>
                  <w:rFonts w:ascii="Arial" w:cs="Arial" w:eastAsia="Arial" w:hAnsi="Arial"/>
                  <w:sz w:val="16"/>
                  <w:szCs w:val="16"/>
                  <w:color w:val="auto"/>
                </w:rPr>
                <w:t>Exhibit 10.2(a) to the 2001 Form 10-K (File No. 001-12984) and incorporated herein by reference.</w:t>
              </w:r>
            </w:hyperlink>
          </w:p>
        </w:tc>
        <w:tc>
          <w:tcPr>
            <w:tcW w:w="3000" w:type="dxa"/>
            <w:vAlign w:val="bottom"/>
            <w:tcBorders>
              <w:top w:val="single" w:sz="8" w:color="0000EE"/>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10.2</w:t>
            </w:r>
          </w:p>
        </w:tc>
        <w:tc>
          <w:tcPr>
            <w:tcW w:w="10040" w:type="dxa"/>
            <w:vAlign w:val="bottom"/>
            <w:gridSpan w:val="38"/>
          </w:tcPr>
          <w:p>
            <w:pPr>
              <w:spacing w:after="0"/>
              <w:rPr>
                <w:rFonts w:ascii="Arial" w:cs="Arial" w:eastAsia="Arial" w:hAnsi="Arial"/>
                <w:sz w:val="16"/>
                <w:szCs w:val="16"/>
                <w:color w:val="auto"/>
              </w:rPr>
            </w:pPr>
            <w:hyperlink r:id="rId193">
              <w:r>
                <w:rPr>
                  <w:rFonts w:ascii="Arial" w:cs="Arial" w:eastAsia="Arial" w:hAnsi="Arial"/>
                  <w:sz w:val="16"/>
                  <w:szCs w:val="16"/>
                  <w:color w:val="auto"/>
                </w:rPr>
                <w:t>The Eagle Materials Inc. Amended and Restated Incentive Plan, filed as Exhibit A to the Company’s Schedule 14A filed with the</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60" w:type="dxa"/>
            <w:vAlign w:val="bottom"/>
            <w:tcBorders>
              <w:top w:val="single" w:sz="8" w:color="0000EE"/>
              <w:bottom w:val="single" w:sz="8" w:color="0000EE"/>
            </w:tcBorders>
            <w:gridSpan w:val="9"/>
            <w:vMerge w:val="restart"/>
          </w:tcPr>
          <w:p>
            <w:pPr>
              <w:spacing w:after="0" w:line="169" w:lineRule="exact"/>
              <w:rPr>
                <w:rFonts w:ascii="Arial" w:cs="Arial" w:eastAsia="Arial" w:hAnsi="Arial"/>
                <w:sz w:val="16"/>
                <w:szCs w:val="16"/>
                <w:color w:val="auto"/>
              </w:rPr>
            </w:pPr>
            <w:hyperlink r:id="rId193">
              <w:r>
                <w:rPr>
                  <w:rFonts w:ascii="Arial" w:cs="Arial" w:eastAsia="Arial" w:hAnsi="Arial"/>
                  <w:sz w:val="16"/>
                  <w:szCs w:val="16"/>
                  <w:color w:val="auto"/>
                </w:rPr>
                <w:t>Commission on June 21, 2013 (File No. 001-12984) and incorporated herein by 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193">
              <w:r>
                <w:rPr>
                  <w:rFonts w:ascii="Arial" w:cs="Arial" w:eastAsia="Arial" w:hAnsi="Arial"/>
                  <w:sz w:val="8"/>
                  <w:szCs w:val="8"/>
                  <w:color w:val="auto"/>
                </w:rPr>
                <w:t>(1)</w:t>
              </w:r>
            </w:hyperlink>
          </w:p>
        </w:tc>
        <w:tc>
          <w:tcPr>
            <w:tcW w:w="1000" w:type="dxa"/>
            <w:vAlign w:val="bottom"/>
            <w:tcBorders>
              <w:top w:val="single" w:sz="8" w:color="0000EE"/>
              <w:bottom w:val="single" w:sz="8" w:color="0000EE"/>
            </w:tcBorders>
            <w:gridSpan w:val="3"/>
            <w:vMerge w:val="restart"/>
          </w:tcPr>
          <w:p>
            <w:pPr>
              <w:spacing w:after="0"/>
              <w:rPr>
                <w:sz w:val="7"/>
                <w:szCs w:val="7"/>
                <w:color w:val="auto"/>
              </w:rPr>
            </w:pPr>
          </w:p>
        </w:tc>
        <w:tc>
          <w:tcPr>
            <w:tcW w:w="460" w:type="dxa"/>
            <w:vAlign w:val="bottom"/>
            <w:tcBorders>
              <w:top w:val="single" w:sz="8" w:color="0000EE"/>
              <w:bottom w:val="single" w:sz="8" w:color="0000EE"/>
            </w:tcBorders>
            <w:gridSpan w:val="2"/>
            <w:vMerge w:val="restart"/>
          </w:tcPr>
          <w:p>
            <w:pPr>
              <w:spacing w:after="0"/>
              <w:rPr>
                <w:sz w:val="7"/>
                <w:szCs w:val="7"/>
                <w:color w:val="auto"/>
              </w:rPr>
            </w:pPr>
          </w:p>
        </w:tc>
        <w:tc>
          <w:tcPr>
            <w:tcW w:w="110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6460" w:type="dxa"/>
            <w:vAlign w:val="bottom"/>
            <w:tcBorders>
              <w:bottom w:val="single" w:sz="8" w:color="0000EE"/>
            </w:tcBorders>
            <w:gridSpan w:val="9"/>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1180" w:type="dxa"/>
            <w:vAlign w:val="bottom"/>
          </w:tcPr>
          <w:p>
            <w:pPr>
              <w:spacing w:after="0"/>
              <w:rPr>
                <w:sz w:val="20"/>
                <w:szCs w:val="20"/>
                <w:color w:val="auto"/>
              </w:rPr>
            </w:pPr>
            <w:r>
              <w:rPr>
                <w:rFonts w:ascii="Arial" w:cs="Arial" w:eastAsia="Arial" w:hAnsi="Arial"/>
                <w:sz w:val="16"/>
                <w:szCs w:val="16"/>
                <w:color w:val="auto"/>
              </w:rPr>
              <w:t>10.2(a)</w:t>
            </w:r>
          </w:p>
        </w:tc>
        <w:tc>
          <w:tcPr>
            <w:tcW w:w="10040" w:type="dxa"/>
            <w:vAlign w:val="bottom"/>
            <w:gridSpan w:val="38"/>
          </w:tcPr>
          <w:p>
            <w:pPr>
              <w:spacing w:after="0"/>
              <w:rPr>
                <w:rFonts w:ascii="Arial" w:cs="Arial" w:eastAsia="Arial" w:hAnsi="Arial"/>
                <w:sz w:val="16"/>
                <w:szCs w:val="16"/>
                <w:color w:val="auto"/>
              </w:rPr>
            </w:pPr>
            <w:hyperlink r:id="rId194">
              <w:r>
                <w:rPr>
                  <w:rFonts w:ascii="Arial" w:cs="Arial" w:eastAsia="Arial" w:hAnsi="Arial"/>
                  <w:sz w:val="16"/>
                  <w:szCs w:val="16"/>
                  <w:color w:val="auto"/>
                </w:rPr>
                <w:t>Amendment to Amended and Restated Incentive Plan, filed as Exhibit 10.4 to the Company’s Quarterly Report on Form 10-Q for the</w:t>
              </w:r>
            </w:hyperlink>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500" w:type="dxa"/>
            <w:vAlign w:val="bottom"/>
            <w:tcBorders>
              <w:top w:val="single" w:sz="8" w:color="0000EE"/>
              <w:bottom w:val="single" w:sz="8" w:color="0000EE"/>
            </w:tcBorders>
            <w:gridSpan w:val="21"/>
            <w:vMerge w:val="restart"/>
          </w:tcPr>
          <w:p>
            <w:pPr>
              <w:spacing w:after="0" w:line="175" w:lineRule="exact"/>
              <w:rPr>
                <w:rFonts w:ascii="Arial" w:cs="Arial" w:eastAsia="Arial" w:hAnsi="Arial"/>
                <w:sz w:val="16"/>
                <w:szCs w:val="16"/>
                <w:color w:val="auto"/>
              </w:rPr>
            </w:pPr>
            <w:hyperlink r:id="rId194">
              <w:r>
                <w:rPr>
                  <w:rFonts w:ascii="Arial" w:cs="Arial" w:eastAsia="Arial" w:hAnsi="Arial"/>
                  <w:sz w:val="16"/>
                  <w:szCs w:val="16"/>
                  <w:color w:val="auto"/>
                </w:rPr>
                <w:t>quarter ended June 30, 2017, filed with the Commission on July 28, 2017 (File No. 001-12984) and incorporated herein by reference.</w:t>
              </w:r>
            </w:hyperlink>
          </w:p>
        </w:tc>
        <w:tc>
          <w:tcPr>
            <w:tcW w:w="40" w:type="dxa"/>
            <w:vAlign w:val="bottom"/>
            <w:vMerge w:val="restart"/>
          </w:tcPr>
          <w:p>
            <w:pPr>
              <w:spacing w:after="0"/>
              <w:rPr>
                <w:sz w:val="8"/>
                <w:szCs w:val="8"/>
                <w:color w:val="auto"/>
              </w:rPr>
            </w:pPr>
          </w:p>
        </w:tc>
        <w:tc>
          <w:tcPr>
            <w:tcW w:w="140" w:type="dxa"/>
            <w:vAlign w:val="bottom"/>
            <w:tcBorders>
              <w:bottom w:val="single" w:sz="8" w:color="0000EE"/>
            </w:tcBorders>
            <w:gridSpan w:val="2"/>
          </w:tcPr>
          <w:p>
            <w:pPr>
              <w:jc w:val="right"/>
              <w:spacing w:after="0" w:line="75" w:lineRule="exact"/>
              <w:rPr>
                <w:rFonts w:ascii="Arial" w:cs="Arial" w:eastAsia="Arial" w:hAnsi="Arial"/>
                <w:sz w:val="8"/>
                <w:szCs w:val="8"/>
                <w:color w:val="auto"/>
              </w:rPr>
            </w:pPr>
            <w:hyperlink r:id="rId194">
              <w:r>
                <w:rPr>
                  <w:rFonts w:ascii="Arial" w:cs="Arial" w:eastAsia="Arial" w:hAnsi="Arial"/>
                  <w:sz w:val="8"/>
                  <w:szCs w:val="8"/>
                  <w:color w:val="auto"/>
                </w:rPr>
                <w:t>(1)</w:t>
              </w:r>
            </w:hyperlink>
          </w:p>
        </w:tc>
        <w:tc>
          <w:tcPr>
            <w:tcW w:w="40" w:type="dxa"/>
            <w:vAlign w:val="bottom"/>
            <w:gridSpan w:val="2"/>
            <w:vMerge w:val="restart"/>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9500" w:type="dxa"/>
            <w:vAlign w:val="bottom"/>
            <w:tcBorders>
              <w:bottom w:val="single" w:sz="8" w:color="0000EE"/>
            </w:tcBorders>
            <w:gridSpan w:val="21"/>
            <w:vMerge w:val="continue"/>
          </w:tcPr>
          <w:p>
            <w:pPr>
              <w:spacing w:after="0"/>
              <w:rPr>
                <w:sz w:val="5"/>
                <w:szCs w:val="5"/>
                <w:color w:val="auto"/>
              </w:rPr>
            </w:pPr>
          </w:p>
        </w:tc>
        <w:tc>
          <w:tcPr>
            <w:tcW w:w="40" w:type="dxa"/>
            <w:vAlign w:val="bottom"/>
            <w:tcBorders>
              <w:bottom w:val="single" w:sz="8" w:color="0000EE"/>
            </w:tcBorders>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10.3</w:t>
            </w:r>
          </w:p>
        </w:tc>
        <w:tc>
          <w:tcPr>
            <w:tcW w:w="10040" w:type="dxa"/>
            <w:vAlign w:val="bottom"/>
            <w:gridSpan w:val="38"/>
          </w:tcPr>
          <w:p>
            <w:pPr>
              <w:spacing w:after="0"/>
              <w:rPr>
                <w:rFonts w:ascii="Arial" w:cs="Arial" w:eastAsia="Arial" w:hAnsi="Arial"/>
                <w:sz w:val="16"/>
                <w:szCs w:val="16"/>
                <w:color w:val="auto"/>
              </w:rPr>
            </w:pPr>
            <w:hyperlink r:id="rId195">
              <w:r>
                <w:rPr>
                  <w:rFonts w:ascii="Arial" w:cs="Arial" w:eastAsia="Arial" w:hAnsi="Arial"/>
                  <w:sz w:val="16"/>
                  <w:szCs w:val="16"/>
                  <w:color w:val="auto"/>
                </w:rPr>
                <w:t>Eagle Materials Inc. 2023 Equity Incentive Plan, filed as Exhibit 4.3 to the Company’s Registration Statement on Form S-8 filed with the</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EE"/>
            </w:tcBorders>
            <w:gridSpan w:val="27"/>
          </w:tcPr>
          <w:p>
            <w:pPr>
              <w:spacing w:after="0" w:line="169" w:lineRule="exact"/>
              <w:rPr>
                <w:rFonts w:ascii="Arial" w:cs="Arial" w:eastAsia="Arial" w:hAnsi="Arial"/>
                <w:sz w:val="15"/>
                <w:szCs w:val="15"/>
                <w:color w:val="auto"/>
              </w:rPr>
            </w:pPr>
            <w:hyperlink r:id="rId195">
              <w:r>
                <w:rPr>
                  <w:rFonts w:ascii="Arial" w:cs="Arial" w:eastAsia="Arial" w:hAnsi="Arial"/>
                  <w:sz w:val="15"/>
                  <w:szCs w:val="15"/>
                  <w:color w:val="auto"/>
                </w:rPr>
                <w:t>Commission on August 4, 2023 (File No. 001-12984) and incorporated herein by reference.</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38"/>
          </w:tcPr>
          <w:p>
            <w:pPr>
              <w:spacing w:after="0"/>
              <w:rPr>
                <w:rFonts w:ascii="Arial" w:cs="Arial" w:eastAsia="Arial" w:hAnsi="Arial"/>
                <w:sz w:val="16"/>
                <w:szCs w:val="16"/>
                <w:color w:val="auto"/>
              </w:rPr>
            </w:pPr>
            <w:hyperlink r:id="rId196">
              <w:r>
                <w:rPr>
                  <w:rFonts w:ascii="Arial" w:cs="Arial" w:eastAsia="Arial" w:hAnsi="Arial"/>
                  <w:sz w:val="16"/>
                  <w:szCs w:val="16"/>
                  <w:color w:val="auto"/>
                </w:rPr>
                <w:t>Form of Restricted Stock Unit Agreement for Non-Employee Directors filed as Exhibit 10.1 to the Company’s Current Report on Form 8-K</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60" w:type="dxa"/>
            <w:vAlign w:val="bottom"/>
            <w:tcBorders>
              <w:top w:val="single" w:sz="8" w:color="0000EE"/>
              <w:bottom w:val="single" w:sz="8" w:color="0000EE"/>
            </w:tcBorders>
            <w:gridSpan w:val="13"/>
            <w:vMerge w:val="restart"/>
          </w:tcPr>
          <w:p>
            <w:pPr>
              <w:spacing w:after="0" w:line="169" w:lineRule="exact"/>
              <w:rPr>
                <w:rFonts w:ascii="Arial" w:cs="Arial" w:eastAsia="Arial" w:hAnsi="Arial"/>
                <w:sz w:val="16"/>
                <w:szCs w:val="16"/>
                <w:color w:val="auto"/>
              </w:rPr>
            </w:pPr>
            <w:hyperlink r:id="rId196">
              <w:r>
                <w:rPr>
                  <w:rFonts w:ascii="Arial" w:cs="Arial" w:eastAsia="Arial" w:hAnsi="Arial"/>
                  <w:sz w:val="16"/>
                  <w:szCs w:val="16"/>
                  <w:color w:val="auto"/>
                </w:rPr>
                <w:t>filed with the Commission on August 1, 2006 (File No. 001-12984) and 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196">
              <w:r>
                <w:rPr>
                  <w:rFonts w:ascii="Arial" w:cs="Arial" w:eastAsia="Arial" w:hAnsi="Arial"/>
                  <w:sz w:val="8"/>
                  <w:szCs w:val="8"/>
                  <w:color w:val="auto"/>
                </w:rPr>
                <w:t>(1)</w:t>
              </w:r>
            </w:hyperlink>
          </w:p>
        </w:tc>
        <w:tc>
          <w:tcPr>
            <w:tcW w:w="460" w:type="dxa"/>
            <w:vAlign w:val="bottom"/>
            <w:tcBorders>
              <w:top w:val="single" w:sz="8" w:color="0000EE"/>
              <w:bottom w:val="single" w:sz="8" w:color="0000EE"/>
            </w:tcBorders>
            <w:gridSpan w:val="2"/>
            <w:vMerge w:val="restart"/>
          </w:tcPr>
          <w:p>
            <w:pPr>
              <w:spacing w:after="0"/>
              <w:rPr>
                <w:sz w:val="7"/>
                <w:szCs w:val="7"/>
                <w:color w:val="auto"/>
              </w:rPr>
            </w:pPr>
          </w:p>
        </w:tc>
        <w:tc>
          <w:tcPr>
            <w:tcW w:w="1760" w:type="dxa"/>
            <w:vAlign w:val="bottom"/>
            <w:tcBorders>
              <w:top w:val="single" w:sz="8" w:color="0000EE"/>
              <w:bottom w:val="single" w:sz="8" w:color="0000EE"/>
            </w:tcBorders>
            <w:gridSpan w:val="14"/>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460" w:type="dxa"/>
            <w:vAlign w:val="bottom"/>
            <w:tcBorders>
              <w:bottom w:val="single" w:sz="8" w:color="0000EE"/>
            </w:tcBorders>
            <w:gridSpan w:val="13"/>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760" w:type="dxa"/>
            <w:vAlign w:val="bottom"/>
            <w:gridSpan w:val="1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10.5</w:t>
            </w:r>
          </w:p>
        </w:tc>
        <w:tc>
          <w:tcPr>
            <w:tcW w:w="10040" w:type="dxa"/>
            <w:vAlign w:val="bottom"/>
            <w:gridSpan w:val="38"/>
          </w:tcPr>
          <w:p>
            <w:pPr>
              <w:spacing w:after="0"/>
              <w:rPr>
                <w:rFonts w:ascii="Arial" w:cs="Arial" w:eastAsia="Arial" w:hAnsi="Arial"/>
                <w:sz w:val="16"/>
                <w:szCs w:val="16"/>
                <w:color w:val="auto"/>
              </w:rPr>
            </w:pPr>
            <w:hyperlink r:id="rId197">
              <w:r>
                <w:rPr>
                  <w:rFonts w:ascii="Arial" w:cs="Arial" w:eastAsia="Arial" w:hAnsi="Arial"/>
                  <w:sz w:val="16"/>
                  <w:szCs w:val="16"/>
                  <w:color w:val="auto"/>
                </w:rPr>
                <w:t>Form of Restricted Stock Agreement filed as Exhibit 10.8 to the Company’s Quarterly Report on Form 10-Q for the quarter ended June 30,</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920" w:type="dxa"/>
            <w:vAlign w:val="bottom"/>
            <w:tcBorders>
              <w:top w:val="single" w:sz="8" w:color="0000EE"/>
              <w:bottom w:val="single" w:sz="8" w:color="0000EE"/>
            </w:tcBorders>
            <w:gridSpan w:val="15"/>
            <w:vMerge w:val="restart"/>
          </w:tcPr>
          <w:p>
            <w:pPr>
              <w:spacing w:after="0" w:line="169" w:lineRule="exact"/>
              <w:rPr>
                <w:rFonts w:ascii="Arial" w:cs="Arial" w:eastAsia="Arial" w:hAnsi="Arial"/>
                <w:sz w:val="16"/>
                <w:szCs w:val="16"/>
                <w:color w:val="auto"/>
              </w:rPr>
            </w:pPr>
            <w:hyperlink r:id="rId197">
              <w:r>
                <w:rPr>
                  <w:rFonts w:ascii="Arial" w:cs="Arial" w:eastAsia="Arial" w:hAnsi="Arial"/>
                  <w:sz w:val="16"/>
                  <w:szCs w:val="16"/>
                  <w:color w:val="auto"/>
                </w:rPr>
                <w:t>2010, filed with the Commission on August 6, 2010 (File No. 001-12984) and 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197">
              <w:r>
                <w:rPr>
                  <w:rFonts w:ascii="Arial" w:cs="Arial" w:eastAsia="Arial" w:hAnsi="Arial"/>
                  <w:sz w:val="8"/>
                  <w:szCs w:val="8"/>
                  <w:color w:val="auto"/>
                </w:rPr>
                <w:t>(1)</w:t>
              </w:r>
            </w:hyperlink>
          </w:p>
        </w:tc>
        <w:tc>
          <w:tcPr>
            <w:tcW w:w="1860" w:type="dxa"/>
            <w:vAlign w:val="bottom"/>
            <w:tcBorders>
              <w:top w:val="single" w:sz="8" w:color="0000EE"/>
              <w:bottom w:val="single" w:sz="8" w:color="0000EE"/>
            </w:tcBorders>
            <w:gridSpan w:val="18"/>
            <w:vMerge w:val="restart"/>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920" w:type="dxa"/>
            <w:vAlign w:val="bottom"/>
            <w:tcBorders>
              <w:bottom w:val="single" w:sz="8" w:color="0000EE"/>
            </w:tcBorders>
            <w:gridSpan w:val="15"/>
            <w:vMerge w:val="continue"/>
          </w:tcPr>
          <w:p>
            <w:pPr>
              <w:spacing w:after="0"/>
              <w:rPr>
                <w:sz w:val="5"/>
                <w:szCs w:val="5"/>
                <w:color w:val="auto"/>
              </w:rPr>
            </w:pPr>
          </w:p>
        </w:tc>
        <w:tc>
          <w:tcPr>
            <w:tcW w:w="160" w:type="dxa"/>
            <w:vAlign w:val="bottom"/>
          </w:tcPr>
          <w:p>
            <w:pPr>
              <w:spacing w:after="0"/>
              <w:rPr>
                <w:sz w:val="5"/>
                <w:szCs w:val="5"/>
                <w:color w:val="auto"/>
              </w:rPr>
            </w:pPr>
          </w:p>
        </w:tc>
        <w:tc>
          <w:tcPr>
            <w:tcW w:w="1860" w:type="dxa"/>
            <w:vAlign w:val="bottom"/>
            <w:gridSpan w:val="18"/>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10.6</w:t>
            </w:r>
          </w:p>
        </w:tc>
        <w:tc>
          <w:tcPr>
            <w:tcW w:w="10040" w:type="dxa"/>
            <w:vAlign w:val="bottom"/>
            <w:gridSpan w:val="38"/>
          </w:tcPr>
          <w:p>
            <w:pPr>
              <w:spacing w:after="0"/>
              <w:rPr>
                <w:rFonts w:ascii="Arial" w:cs="Arial" w:eastAsia="Arial" w:hAnsi="Arial"/>
                <w:sz w:val="16"/>
                <w:szCs w:val="16"/>
                <w:color w:val="auto"/>
              </w:rPr>
            </w:pPr>
            <w:hyperlink r:id="rId198">
              <w:r>
                <w:rPr>
                  <w:rFonts w:ascii="Arial" w:cs="Arial" w:eastAsia="Arial" w:hAnsi="Arial"/>
                  <w:sz w:val="16"/>
                  <w:szCs w:val="16"/>
                  <w:color w:val="auto"/>
                </w:rPr>
                <w:t>Form of Restricted Stock Agreement for Non-Employee Directors filed as Exhibit 10.5 to the Company’s Quarterly Report on Form 10-Q for</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36"/>
          </w:tcPr>
          <w:p>
            <w:pPr>
              <w:spacing w:after="0" w:line="169" w:lineRule="exact"/>
              <w:rPr>
                <w:rFonts w:ascii="Arial" w:cs="Arial" w:eastAsia="Arial" w:hAnsi="Arial"/>
                <w:sz w:val="16"/>
                <w:szCs w:val="16"/>
                <w:color w:val="auto"/>
              </w:rPr>
            </w:pPr>
            <w:hyperlink r:id="rId198">
              <w:r>
                <w:rPr>
                  <w:rFonts w:ascii="Arial" w:cs="Arial" w:eastAsia="Arial" w:hAnsi="Arial"/>
                  <w:sz w:val="16"/>
                  <w:szCs w:val="16"/>
                  <w:color w:val="auto"/>
                </w:rPr>
                <w:t>the quarter ended September 30, 2013, filed with the Commission on November 7, 2013 (File No. 001-12984) and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198">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198">
              <w:r>
                <w:rPr>
                  <w:rFonts w:ascii="Arial" w:cs="Arial" w:eastAsia="Arial" w:hAnsi="Arial"/>
                  <w:sz w:val="8"/>
                  <w:szCs w:val="8"/>
                  <w:color w:val="auto"/>
                </w:rPr>
                <w:t>(1)</w:t>
              </w:r>
            </w:hyperlink>
          </w:p>
        </w:tc>
        <w:tc>
          <w:tcPr>
            <w:tcW w:w="60" w:type="dxa"/>
            <w:vAlign w:val="bottom"/>
            <w:tcBorders>
              <w:top w:val="single" w:sz="8" w:color="0000EE"/>
              <w:bottom w:val="single" w:sz="8" w:color="0000EE"/>
            </w:tcBorders>
            <w:vMerge w:val="restart"/>
          </w:tcPr>
          <w:p>
            <w:pPr>
              <w:spacing w:after="0"/>
              <w:rPr>
                <w:sz w:val="7"/>
                <w:szCs w:val="7"/>
                <w:color w:val="auto"/>
              </w:rPr>
            </w:pPr>
          </w:p>
        </w:tc>
        <w:tc>
          <w:tcPr>
            <w:tcW w:w="160" w:type="dxa"/>
            <w:vAlign w:val="bottom"/>
            <w:tcBorders>
              <w:top w:val="single" w:sz="8" w:color="0000EE"/>
              <w:bottom w:val="single" w:sz="8" w:color="0000EE"/>
            </w:tcBorders>
            <w:gridSpan w:val="2"/>
            <w:vMerge w:val="restart"/>
          </w:tcPr>
          <w:p>
            <w:pPr>
              <w:spacing w:after="0"/>
              <w:rPr>
                <w:sz w:val="7"/>
                <w:szCs w:val="7"/>
                <w:color w:val="auto"/>
              </w:rPr>
            </w:pPr>
          </w:p>
        </w:tc>
        <w:tc>
          <w:tcPr>
            <w:tcW w:w="1440" w:type="dxa"/>
            <w:vAlign w:val="bottom"/>
            <w:tcBorders>
              <w:top w:val="single" w:sz="8" w:color="0000EE"/>
              <w:bottom w:val="single" w:sz="8" w:color="0000EE"/>
            </w:tcBorders>
            <w:gridSpan w:val="2"/>
            <w:vMerge w:val="restart"/>
          </w:tcPr>
          <w:p>
            <w:pPr>
              <w:spacing w:after="0"/>
              <w:rPr>
                <w:sz w:val="7"/>
                <w:szCs w:val="7"/>
                <w:color w:val="auto"/>
              </w:rPr>
            </w:pPr>
          </w:p>
        </w:tc>
        <w:tc>
          <w:tcPr>
            <w:tcW w:w="7320" w:type="dxa"/>
            <w:vAlign w:val="bottom"/>
            <w:tcBorders>
              <w:top w:val="single" w:sz="8" w:color="0000EE"/>
              <w:bottom w:val="single" w:sz="8" w:color="0000EE"/>
            </w:tcBorders>
            <w:gridSpan w:val="23"/>
            <w:vMerge w:val="restart"/>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7320" w:type="dxa"/>
            <w:vAlign w:val="bottom"/>
            <w:gridSpan w:val="2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10.7</w:t>
            </w:r>
          </w:p>
        </w:tc>
        <w:tc>
          <w:tcPr>
            <w:tcW w:w="10040" w:type="dxa"/>
            <w:vAlign w:val="bottom"/>
            <w:gridSpan w:val="38"/>
          </w:tcPr>
          <w:p>
            <w:pPr>
              <w:spacing w:after="0"/>
              <w:rPr>
                <w:rFonts w:ascii="Arial" w:cs="Arial" w:eastAsia="Arial" w:hAnsi="Arial"/>
                <w:sz w:val="16"/>
                <w:szCs w:val="16"/>
                <w:color w:val="auto"/>
              </w:rPr>
            </w:pPr>
            <w:hyperlink r:id="rId199">
              <w:r>
                <w:rPr>
                  <w:rFonts w:ascii="Arial" w:cs="Arial" w:eastAsia="Arial" w:hAnsi="Arial"/>
                  <w:sz w:val="16"/>
                  <w:szCs w:val="16"/>
                  <w:color w:val="auto"/>
                </w:rPr>
                <w:t>Form of Non-Qualified Stock Option Agreement for Senior Executives filed as Exhibit 10.2 to the Company’s Quarterly Report on Form 10-</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940" w:type="dxa"/>
            <w:vAlign w:val="bottom"/>
            <w:tcBorders>
              <w:top w:val="single" w:sz="8" w:color="0000EE"/>
            </w:tcBorders>
            <w:gridSpan w:val="34"/>
          </w:tcPr>
          <w:p>
            <w:pPr>
              <w:spacing w:after="0" w:line="169" w:lineRule="exact"/>
              <w:rPr>
                <w:rFonts w:ascii="Arial" w:cs="Arial" w:eastAsia="Arial" w:hAnsi="Arial"/>
                <w:sz w:val="16"/>
                <w:szCs w:val="16"/>
                <w:color w:val="auto"/>
              </w:rPr>
            </w:pPr>
            <w:hyperlink r:id="rId199">
              <w:r>
                <w:rPr>
                  <w:rFonts w:ascii="Arial" w:cs="Arial" w:eastAsia="Arial" w:hAnsi="Arial"/>
                  <w:sz w:val="16"/>
                  <w:szCs w:val="16"/>
                  <w:color w:val="auto"/>
                </w:rPr>
                <w:t>Q for the quarter ended September 30, 2014, filed with the Commission on November 5, 2014 (File No. 001-12984) and incorporated herein</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top w:val="single" w:sz="8" w:color="0000EE"/>
              <w:bottom w:val="single" w:sz="8" w:color="0000EE"/>
            </w:tcBorders>
            <w:gridSpan w:val="4"/>
            <w:vMerge w:val="restart"/>
          </w:tcPr>
          <w:p>
            <w:pPr>
              <w:spacing w:after="0" w:line="169" w:lineRule="exact"/>
              <w:rPr>
                <w:rFonts w:ascii="Arial" w:cs="Arial" w:eastAsia="Arial" w:hAnsi="Arial"/>
                <w:sz w:val="16"/>
                <w:szCs w:val="16"/>
                <w:color w:val="auto"/>
                <w:w w:val="98"/>
              </w:rPr>
            </w:pPr>
            <w:hyperlink r:id="rId199">
              <w:r>
                <w:rPr>
                  <w:rFonts w:ascii="Arial" w:cs="Arial" w:eastAsia="Arial" w:hAnsi="Arial"/>
                  <w:sz w:val="16"/>
                  <w:szCs w:val="16"/>
                  <w:color w:val="auto"/>
                  <w:w w:val="98"/>
                </w:rPr>
                <w:t>by 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199">
              <w:r>
                <w:rPr>
                  <w:rFonts w:ascii="Arial" w:cs="Arial" w:eastAsia="Arial" w:hAnsi="Arial"/>
                  <w:sz w:val="8"/>
                  <w:szCs w:val="8"/>
                  <w:color w:val="auto"/>
                </w:rPr>
                <w:t>(1)</w:t>
              </w:r>
            </w:hyperlink>
          </w:p>
        </w:tc>
        <w:tc>
          <w:tcPr>
            <w:tcW w:w="1440" w:type="dxa"/>
            <w:vAlign w:val="bottom"/>
            <w:tcBorders>
              <w:top w:val="single" w:sz="8" w:color="0000EE"/>
              <w:bottom w:val="single" w:sz="8" w:color="0000EE"/>
            </w:tcBorders>
            <w:gridSpan w:val="2"/>
            <w:vMerge w:val="restart"/>
          </w:tcPr>
          <w:p>
            <w:pPr>
              <w:spacing w:after="0"/>
              <w:rPr>
                <w:sz w:val="7"/>
                <w:szCs w:val="7"/>
                <w:color w:val="auto"/>
              </w:rPr>
            </w:pPr>
          </w:p>
        </w:tc>
        <w:tc>
          <w:tcPr>
            <w:tcW w:w="7480" w:type="dxa"/>
            <w:vAlign w:val="bottom"/>
            <w:tcBorders>
              <w:top w:val="single" w:sz="8" w:color="0000EE"/>
              <w:bottom w:val="single" w:sz="8" w:color="0000EE"/>
            </w:tcBorders>
            <w:gridSpan w:val="29"/>
            <w:vMerge w:val="restart"/>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940" w:type="dxa"/>
            <w:vAlign w:val="bottom"/>
            <w:tcBorders>
              <w:bottom w:val="single" w:sz="8" w:color="0000EE"/>
            </w:tcBorders>
            <w:gridSpan w:val="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748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6"/>
                <w:szCs w:val="16"/>
                <w:color w:val="auto"/>
              </w:rPr>
              <w:t>10.7(a)</w:t>
            </w:r>
          </w:p>
        </w:tc>
        <w:tc>
          <w:tcPr>
            <w:tcW w:w="10040" w:type="dxa"/>
            <w:vAlign w:val="bottom"/>
            <w:gridSpan w:val="38"/>
          </w:tcPr>
          <w:p>
            <w:pPr>
              <w:spacing w:after="0"/>
              <w:rPr>
                <w:rFonts w:ascii="Arial" w:cs="Arial" w:eastAsia="Arial" w:hAnsi="Arial"/>
                <w:sz w:val="16"/>
                <w:szCs w:val="16"/>
                <w:color w:val="auto"/>
              </w:rPr>
            </w:pPr>
            <w:hyperlink r:id="rId200">
              <w:r>
                <w:rPr>
                  <w:rFonts w:ascii="Arial" w:cs="Arial" w:eastAsia="Arial" w:hAnsi="Arial"/>
                  <w:sz w:val="16"/>
                  <w:szCs w:val="16"/>
                  <w:color w:val="auto"/>
                </w:rPr>
                <w:t>Form of Non-Qualified Stock Option Agreement for Non-Employee Directors filed as Exhibit 10.4 to the Company’s Quarterly Report 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200">
              <w:r>
                <w:rPr>
                  <w:rFonts w:ascii="Arial" w:cs="Arial" w:eastAsia="Arial" w:hAnsi="Arial"/>
                  <w:sz w:val="16"/>
                  <w:szCs w:val="16"/>
                  <w:color w:val="auto"/>
                </w:rPr>
                <w:t>Form 10-Q for the quarter ended September 30, 2014, filed with the Commission on November 5, 2014 (File No. 001-12984) and</w:t>
              </w:r>
            </w:hyperlink>
          </w:p>
        </w:tc>
        <w:tc>
          <w:tcPr>
            <w:tcW w:w="6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7"/>
            <w:vMerge w:val="restart"/>
          </w:tcPr>
          <w:p>
            <w:pPr>
              <w:spacing w:after="0" w:line="169" w:lineRule="exact"/>
              <w:rPr>
                <w:rFonts w:ascii="Arial" w:cs="Arial" w:eastAsia="Arial" w:hAnsi="Arial"/>
                <w:sz w:val="16"/>
                <w:szCs w:val="16"/>
                <w:color w:val="auto"/>
              </w:rPr>
            </w:pPr>
            <w:hyperlink r:id="rId200">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0">
              <w:r>
                <w:rPr>
                  <w:rFonts w:ascii="Arial" w:cs="Arial" w:eastAsia="Arial" w:hAnsi="Arial"/>
                  <w:sz w:val="8"/>
                  <w:szCs w:val="8"/>
                  <w:color w:val="auto"/>
                </w:rPr>
                <w:t>(1)</w:t>
              </w:r>
            </w:hyperlink>
          </w:p>
        </w:tc>
        <w:tc>
          <w:tcPr>
            <w:tcW w:w="6720" w:type="dxa"/>
            <w:vAlign w:val="bottom"/>
            <w:tcBorders>
              <w:top w:val="single" w:sz="8" w:color="0000EE"/>
              <w:bottom w:val="single" w:sz="8" w:color="0000EE"/>
            </w:tcBorders>
            <w:gridSpan w:val="12"/>
            <w:vMerge w:val="restart"/>
          </w:tcPr>
          <w:p>
            <w:pPr>
              <w:spacing w:after="0"/>
              <w:rPr>
                <w:sz w:val="7"/>
                <w:szCs w:val="7"/>
                <w:color w:val="auto"/>
              </w:rPr>
            </w:pPr>
          </w:p>
        </w:tc>
        <w:tc>
          <w:tcPr>
            <w:tcW w:w="32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gridSpan w:val="4"/>
          </w:tcPr>
          <w:p>
            <w:pPr>
              <w:spacing w:after="0"/>
              <w:rPr>
                <w:sz w:val="7"/>
                <w:szCs w:val="7"/>
                <w:color w:val="auto"/>
              </w:rPr>
            </w:pPr>
          </w:p>
        </w:tc>
        <w:tc>
          <w:tcPr>
            <w:tcW w:w="120" w:type="dxa"/>
            <w:vAlign w:val="bottom"/>
            <w:gridSpan w:val="4"/>
          </w:tcPr>
          <w:p>
            <w:pPr>
              <w:spacing w:after="0"/>
              <w:rPr>
                <w:sz w:val="7"/>
                <w:szCs w:val="7"/>
                <w:color w:val="auto"/>
              </w:rPr>
            </w:pPr>
          </w:p>
        </w:tc>
        <w:tc>
          <w:tcPr>
            <w:tcW w:w="120" w:type="dxa"/>
            <w:vAlign w:val="bottom"/>
            <w:gridSpan w:val="5"/>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6720" w:type="dxa"/>
            <w:vAlign w:val="bottom"/>
            <w:gridSpan w:val="12"/>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10.7(b)</w:t>
            </w:r>
          </w:p>
        </w:tc>
        <w:tc>
          <w:tcPr>
            <w:tcW w:w="10040" w:type="dxa"/>
            <w:vAlign w:val="bottom"/>
            <w:gridSpan w:val="38"/>
          </w:tcPr>
          <w:p>
            <w:pPr>
              <w:spacing w:after="0"/>
              <w:rPr>
                <w:rFonts w:ascii="Arial" w:cs="Arial" w:eastAsia="Arial" w:hAnsi="Arial"/>
                <w:sz w:val="16"/>
                <w:szCs w:val="16"/>
                <w:color w:val="auto"/>
              </w:rPr>
            </w:pPr>
            <w:hyperlink r:id="rId201">
              <w:r>
                <w:rPr>
                  <w:rFonts w:ascii="Arial" w:cs="Arial" w:eastAsia="Arial" w:hAnsi="Arial"/>
                  <w:sz w:val="16"/>
                  <w:szCs w:val="16"/>
                  <w:color w:val="auto"/>
                </w:rPr>
                <w:t>Form of Restricted Stock Agreement for Non-Employee Directors filed as Exhibit 10.5 to the Company’s Quarterly Report on Form 10-Q for</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36"/>
          </w:tcPr>
          <w:p>
            <w:pPr>
              <w:spacing w:after="0" w:line="169" w:lineRule="exact"/>
              <w:rPr>
                <w:rFonts w:ascii="Arial" w:cs="Arial" w:eastAsia="Arial" w:hAnsi="Arial"/>
                <w:sz w:val="16"/>
                <w:szCs w:val="16"/>
                <w:color w:val="auto"/>
              </w:rPr>
            </w:pPr>
            <w:hyperlink r:id="rId201">
              <w:r>
                <w:rPr>
                  <w:rFonts w:ascii="Arial" w:cs="Arial" w:eastAsia="Arial" w:hAnsi="Arial"/>
                  <w:sz w:val="16"/>
                  <w:szCs w:val="16"/>
                  <w:color w:val="auto"/>
                </w:rPr>
                <w:t>the quarter ended September 30, 2014, filed with the Commission on November 5, 2014 (File No. 001-12984) and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1">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1">
              <w:r>
                <w:rPr>
                  <w:rFonts w:ascii="Arial" w:cs="Arial" w:eastAsia="Arial" w:hAnsi="Arial"/>
                  <w:sz w:val="8"/>
                  <w:szCs w:val="8"/>
                  <w:color w:val="auto"/>
                </w:rPr>
                <w:t>(1)</w:t>
              </w:r>
            </w:hyperlink>
          </w:p>
        </w:tc>
        <w:tc>
          <w:tcPr>
            <w:tcW w:w="8980" w:type="dxa"/>
            <w:vAlign w:val="bottom"/>
            <w:tcBorders>
              <w:top w:val="single" w:sz="8" w:color="0000EE"/>
              <w:bottom w:val="single" w:sz="8" w:color="0000EE"/>
            </w:tcBorders>
            <w:gridSpan w:val="28"/>
            <w:vMerge w:val="restart"/>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gridSpan w:val="5"/>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980" w:type="dxa"/>
            <w:vAlign w:val="bottom"/>
            <w:gridSpan w:val="28"/>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10.8</w:t>
            </w:r>
          </w:p>
        </w:tc>
        <w:tc>
          <w:tcPr>
            <w:tcW w:w="10040" w:type="dxa"/>
            <w:vAlign w:val="bottom"/>
            <w:gridSpan w:val="38"/>
          </w:tcPr>
          <w:p>
            <w:pPr>
              <w:spacing w:after="0"/>
              <w:rPr>
                <w:rFonts w:ascii="Arial" w:cs="Arial" w:eastAsia="Arial" w:hAnsi="Arial"/>
                <w:sz w:val="16"/>
                <w:szCs w:val="16"/>
                <w:color w:val="auto"/>
              </w:rPr>
            </w:pPr>
            <w:hyperlink r:id="rId202">
              <w:r>
                <w:rPr>
                  <w:rFonts w:ascii="Arial" w:cs="Arial" w:eastAsia="Arial" w:hAnsi="Arial"/>
                  <w:sz w:val="16"/>
                  <w:szCs w:val="16"/>
                  <w:color w:val="auto"/>
                </w:rPr>
                <w:t>Form of Non-Qualified Stock Option Agreement for Senior Executives filed as Exhibit 10.6 to the Company’s Quarterly Report on Form 10-</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920" w:type="dxa"/>
            <w:vAlign w:val="bottom"/>
            <w:tcBorders>
              <w:top w:val="single" w:sz="8" w:color="0000EE"/>
            </w:tcBorders>
            <w:gridSpan w:val="33"/>
          </w:tcPr>
          <w:p>
            <w:pPr>
              <w:spacing w:after="0" w:line="169" w:lineRule="exact"/>
              <w:rPr>
                <w:rFonts w:ascii="Arial" w:cs="Arial" w:eastAsia="Arial" w:hAnsi="Arial"/>
                <w:sz w:val="16"/>
                <w:szCs w:val="16"/>
                <w:color w:val="auto"/>
              </w:rPr>
            </w:pPr>
            <w:hyperlink r:id="rId202">
              <w:r>
                <w:rPr>
                  <w:rFonts w:ascii="Arial" w:cs="Arial" w:eastAsia="Arial" w:hAnsi="Arial"/>
                  <w:sz w:val="16"/>
                  <w:szCs w:val="16"/>
                  <w:color w:val="auto"/>
                </w:rPr>
                <w:t>Q for the quarter ended June 30, 2015, filed with the Commission on August 4, 2015 (File No. 001-12984) and incorporated herein by</w:t>
              </w:r>
            </w:hyperlink>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2">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2">
              <w:r>
                <w:rPr>
                  <w:rFonts w:ascii="Arial" w:cs="Arial" w:eastAsia="Arial" w:hAnsi="Arial"/>
                  <w:sz w:val="8"/>
                  <w:szCs w:val="8"/>
                  <w:color w:val="auto"/>
                </w:rPr>
                <w:t>(1)</w:t>
              </w:r>
            </w:hyperlink>
          </w:p>
        </w:tc>
        <w:tc>
          <w:tcPr>
            <w:tcW w:w="8700" w:type="dxa"/>
            <w:vAlign w:val="bottom"/>
            <w:tcBorders>
              <w:top w:val="single" w:sz="8" w:color="0000EE"/>
              <w:bottom w:val="single" w:sz="8" w:color="0000EE"/>
            </w:tcBorders>
            <w:gridSpan w:val="20"/>
            <w:vMerge w:val="restart"/>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gridSpan w:val="4"/>
          </w:tcPr>
          <w:p>
            <w:pPr>
              <w:spacing w:after="0"/>
              <w:rPr>
                <w:sz w:val="7"/>
                <w:szCs w:val="7"/>
                <w:color w:val="auto"/>
              </w:rPr>
            </w:pPr>
          </w:p>
        </w:tc>
        <w:tc>
          <w:tcPr>
            <w:tcW w:w="240" w:type="dxa"/>
            <w:vAlign w:val="bottom"/>
            <w:gridSpan w:val="9"/>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700" w:type="dxa"/>
            <w:vAlign w:val="bottom"/>
            <w:gridSpan w:val="20"/>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10.8(a)</w:t>
            </w:r>
          </w:p>
        </w:tc>
        <w:tc>
          <w:tcPr>
            <w:tcW w:w="10040" w:type="dxa"/>
            <w:vAlign w:val="bottom"/>
            <w:gridSpan w:val="38"/>
          </w:tcPr>
          <w:p>
            <w:pPr>
              <w:spacing w:after="0"/>
              <w:rPr>
                <w:rFonts w:ascii="Arial" w:cs="Arial" w:eastAsia="Arial" w:hAnsi="Arial"/>
                <w:sz w:val="16"/>
                <w:szCs w:val="16"/>
                <w:color w:val="auto"/>
              </w:rPr>
            </w:pPr>
            <w:hyperlink r:id="rId203">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203">
              <w:r>
                <w:rPr>
                  <w:rFonts w:ascii="Arial" w:cs="Arial" w:eastAsia="Arial" w:hAnsi="Arial"/>
                  <w:sz w:val="16"/>
                  <w:szCs w:val="16"/>
                  <w:color w:val="auto"/>
                </w:rPr>
                <w:t>Form 10-Q for the quarter ended September 30, 2015, filed with the Commission on October 27, 2015 (File No. 001-12984) and</w:t>
              </w:r>
            </w:hyperlink>
          </w:p>
        </w:tc>
        <w:tc>
          <w:tcPr>
            <w:tcW w:w="60" w:type="dxa"/>
            <w:vAlign w:val="bottom"/>
            <w:gridSpan w:val="2"/>
          </w:tcPr>
          <w:p>
            <w:pPr>
              <w:spacing w:after="0"/>
              <w:rPr>
                <w:sz w:val="14"/>
                <w:szCs w:val="14"/>
                <w:color w:val="auto"/>
              </w:rPr>
            </w:pPr>
          </w:p>
        </w:tc>
        <w:tc>
          <w:tcPr>
            <w:tcW w:w="2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7"/>
            <w:vMerge w:val="restart"/>
          </w:tcPr>
          <w:p>
            <w:pPr>
              <w:spacing w:after="0" w:line="169" w:lineRule="exact"/>
              <w:rPr>
                <w:rFonts w:ascii="Arial" w:cs="Arial" w:eastAsia="Arial" w:hAnsi="Arial"/>
                <w:sz w:val="16"/>
                <w:szCs w:val="16"/>
                <w:color w:val="auto"/>
              </w:rPr>
            </w:pPr>
            <w:hyperlink r:id="rId203">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3">
              <w:r>
                <w:rPr>
                  <w:rFonts w:ascii="Arial" w:cs="Arial" w:eastAsia="Arial" w:hAnsi="Arial"/>
                  <w:sz w:val="8"/>
                  <w:szCs w:val="8"/>
                  <w:color w:val="auto"/>
                </w:rPr>
                <w:t>(1)</w:t>
              </w:r>
            </w:hyperlink>
          </w:p>
        </w:tc>
        <w:tc>
          <w:tcPr>
            <w:tcW w:w="6660" w:type="dxa"/>
            <w:vAlign w:val="bottom"/>
            <w:tcBorders>
              <w:top w:val="single" w:sz="8" w:color="0000EE"/>
              <w:bottom w:val="single" w:sz="8" w:color="0000EE"/>
            </w:tcBorders>
            <w:gridSpan w:val="11"/>
            <w:vMerge w:val="restart"/>
          </w:tcPr>
          <w:p>
            <w:pPr>
              <w:spacing w:after="0"/>
              <w:rPr>
                <w:sz w:val="7"/>
                <w:szCs w:val="7"/>
                <w:color w:val="auto"/>
              </w:rPr>
            </w:pPr>
          </w:p>
        </w:tc>
        <w:tc>
          <w:tcPr>
            <w:tcW w:w="480" w:type="dxa"/>
            <w:vAlign w:val="bottom"/>
            <w:gridSpan w:val="5"/>
          </w:tcPr>
          <w:p>
            <w:pPr>
              <w:spacing w:after="0"/>
              <w:rPr>
                <w:sz w:val="7"/>
                <w:szCs w:val="7"/>
                <w:color w:val="auto"/>
              </w:rPr>
            </w:pPr>
          </w:p>
        </w:tc>
        <w:tc>
          <w:tcPr>
            <w:tcW w:w="100" w:type="dxa"/>
            <w:vAlign w:val="bottom"/>
            <w:gridSpan w:val="4"/>
          </w:tcPr>
          <w:p>
            <w:pPr>
              <w:spacing w:after="0"/>
              <w:rPr>
                <w:sz w:val="7"/>
                <w:szCs w:val="7"/>
                <w:color w:val="auto"/>
              </w:rPr>
            </w:pPr>
          </w:p>
        </w:tc>
        <w:tc>
          <w:tcPr>
            <w:tcW w:w="240" w:type="dxa"/>
            <w:vAlign w:val="bottom"/>
            <w:gridSpan w:val="9"/>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6660" w:type="dxa"/>
            <w:vAlign w:val="bottom"/>
            <w:gridSpan w:val="11"/>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10.8(b)</w:t>
            </w:r>
          </w:p>
        </w:tc>
        <w:tc>
          <w:tcPr>
            <w:tcW w:w="10040" w:type="dxa"/>
            <w:vAlign w:val="bottom"/>
            <w:gridSpan w:val="38"/>
          </w:tcPr>
          <w:p>
            <w:pPr>
              <w:spacing w:after="0"/>
              <w:rPr>
                <w:rFonts w:ascii="Arial" w:cs="Arial" w:eastAsia="Arial" w:hAnsi="Arial"/>
                <w:sz w:val="16"/>
                <w:szCs w:val="16"/>
                <w:color w:val="auto"/>
              </w:rPr>
            </w:pPr>
            <w:hyperlink r:id="rId204">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36"/>
          </w:tcPr>
          <w:p>
            <w:pPr>
              <w:spacing w:after="0" w:line="169" w:lineRule="exact"/>
              <w:rPr>
                <w:rFonts w:ascii="Arial" w:cs="Arial" w:eastAsia="Arial" w:hAnsi="Arial"/>
                <w:sz w:val="16"/>
                <w:szCs w:val="16"/>
                <w:color w:val="auto"/>
              </w:rPr>
            </w:pPr>
            <w:hyperlink r:id="rId204">
              <w:r>
                <w:rPr>
                  <w:rFonts w:ascii="Arial" w:cs="Arial" w:eastAsia="Arial" w:hAnsi="Arial"/>
                  <w:sz w:val="16"/>
                  <w:szCs w:val="16"/>
                  <w:color w:val="auto"/>
                </w:rPr>
                <w:t>the quarter ended September 30, 2015, filed with the Commission on October 27, 2015 (File No. 001-12984) and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4">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4">
              <w:r>
                <w:rPr>
                  <w:rFonts w:ascii="Arial" w:cs="Arial" w:eastAsia="Arial" w:hAnsi="Arial"/>
                  <w:sz w:val="8"/>
                  <w:szCs w:val="8"/>
                  <w:color w:val="auto"/>
                </w:rPr>
                <w:t>(1)</w:t>
              </w:r>
            </w:hyperlink>
          </w:p>
        </w:tc>
        <w:tc>
          <w:tcPr>
            <w:tcW w:w="8900" w:type="dxa"/>
            <w:vAlign w:val="bottom"/>
            <w:tcBorders>
              <w:top w:val="single" w:sz="8" w:color="0000EE"/>
              <w:bottom w:val="single" w:sz="8" w:color="0000EE"/>
            </w:tcBorders>
            <w:gridSpan w:val="25"/>
            <w:vMerge w:val="restart"/>
          </w:tcPr>
          <w:p>
            <w:pPr>
              <w:spacing w:after="0"/>
              <w:rPr>
                <w:sz w:val="7"/>
                <w:szCs w:val="7"/>
                <w:color w:val="auto"/>
              </w:rPr>
            </w:pPr>
          </w:p>
        </w:tc>
        <w:tc>
          <w:tcPr>
            <w:tcW w:w="240" w:type="dxa"/>
            <w:vAlign w:val="bottom"/>
            <w:gridSpan w:val="9"/>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900" w:type="dxa"/>
            <w:vAlign w:val="bottom"/>
            <w:gridSpan w:val="25"/>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10.9</w:t>
            </w:r>
          </w:p>
        </w:tc>
        <w:tc>
          <w:tcPr>
            <w:tcW w:w="10040" w:type="dxa"/>
            <w:vAlign w:val="bottom"/>
            <w:gridSpan w:val="38"/>
          </w:tcPr>
          <w:p>
            <w:pPr>
              <w:spacing w:after="0"/>
              <w:rPr>
                <w:rFonts w:ascii="Arial" w:cs="Arial" w:eastAsia="Arial" w:hAnsi="Arial"/>
                <w:sz w:val="16"/>
                <w:szCs w:val="16"/>
                <w:color w:val="auto"/>
              </w:rPr>
            </w:pPr>
            <w:hyperlink r:id="rId205">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205">
              <w:r>
                <w:rPr>
                  <w:rFonts w:ascii="Arial" w:cs="Arial" w:eastAsia="Arial" w:hAnsi="Arial"/>
                  <w:sz w:val="16"/>
                  <w:szCs w:val="16"/>
                  <w:color w:val="auto"/>
                </w:rPr>
                <w:t>Form 10-Q for the quarter ended September 30, 2016, filed with the Commission on October 24, 2016 (File No. 001-12984) and</w:t>
              </w:r>
            </w:hyperlink>
          </w:p>
        </w:tc>
        <w:tc>
          <w:tcPr>
            <w:tcW w:w="3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7"/>
            <w:vMerge w:val="restart"/>
          </w:tcPr>
          <w:p>
            <w:pPr>
              <w:spacing w:after="0" w:line="169" w:lineRule="exact"/>
              <w:rPr>
                <w:rFonts w:ascii="Arial" w:cs="Arial" w:eastAsia="Arial" w:hAnsi="Arial"/>
                <w:sz w:val="16"/>
                <w:szCs w:val="16"/>
                <w:color w:val="auto"/>
              </w:rPr>
            </w:pPr>
            <w:hyperlink r:id="rId205">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5">
              <w:r>
                <w:rPr>
                  <w:rFonts w:ascii="Arial" w:cs="Arial" w:eastAsia="Arial" w:hAnsi="Arial"/>
                  <w:sz w:val="8"/>
                  <w:szCs w:val="8"/>
                  <w:color w:val="auto"/>
                </w:rPr>
                <w:t>(1)</w:t>
              </w:r>
            </w:hyperlink>
          </w:p>
        </w:tc>
        <w:tc>
          <w:tcPr>
            <w:tcW w:w="6660" w:type="dxa"/>
            <w:vAlign w:val="bottom"/>
            <w:tcBorders>
              <w:top w:val="single" w:sz="8" w:color="0000EE"/>
              <w:bottom w:val="single" w:sz="8" w:color="0000EE"/>
            </w:tcBorders>
            <w:gridSpan w:val="11"/>
            <w:vMerge w:val="restart"/>
          </w:tcPr>
          <w:p>
            <w:pPr>
              <w:spacing w:after="0"/>
              <w:rPr>
                <w:sz w:val="7"/>
                <w:szCs w:val="7"/>
                <w:color w:val="auto"/>
              </w:rPr>
            </w:pPr>
          </w:p>
        </w:tc>
        <w:tc>
          <w:tcPr>
            <w:tcW w:w="480" w:type="dxa"/>
            <w:vAlign w:val="bottom"/>
            <w:gridSpan w:val="5"/>
          </w:tcPr>
          <w:p>
            <w:pPr>
              <w:spacing w:after="0"/>
              <w:rPr>
                <w:sz w:val="7"/>
                <w:szCs w:val="7"/>
                <w:color w:val="auto"/>
              </w:rPr>
            </w:pPr>
          </w:p>
        </w:tc>
        <w:tc>
          <w:tcPr>
            <w:tcW w:w="340" w:type="dxa"/>
            <w:vAlign w:val="bottom"/>
            <w:gridSpan w:val="1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6660" w:type="dxa"/>
            <w:vAlign w:val="bottom"/>
            <w:gridSpan w:val="11"/>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4"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10.9(a)</w:t>
            </w:r>
          </w:p>
        </w:tc>
        <w:tc>
          <w:tcPr>
            <w:tcW w:w="10100" w:type="dxa"/>
            <w:vAlign w:val="bottom"/>
            <w:gridSpan w:val="35"/>
          </w:tcPr>
          <w:p>
            <w:pPr>
              <w:spacing w:after="0"/>
              <w:rPr>
                <w:rFonts w:ascii="Arial" w:cs="Arial" w:eastAsia="Arial" w:hAnsi="Arial"/>
                <w:sz w:val="16"/>
                <w:szCs w:val="16"/>
                <w:color w:val="auto"/>
              </w:rPr>
            </w:pPr>
            <w:hyperlink r:id="rId207">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EE"/>
            </w:tcBorders>
            <w:gridSpan w:val="29"/>
          </w:tcPr>
          <w:p>
            <w:pPr>
              <w:spacing w:after="0" w:line="169" w:lineRule="exact"/>
              <w:rPr>
                <w:rFonts w:ascii="Arial" w:cs="Arial" w:eastAsia="Arial" w:hAnsi="Arial"/>
                <w:sz w:val="16"/>
                <w:szCs w:val="16"/>
                <w:color w:val="auto"/>
              </w:rPr>
            </w:pPr>
            <w:hyperlink r:id="rId207">
              <w:r>
                <w:rPr>
                  <w:rFonts w:ascii="Arial" w:cs="Arial" w:eastAsia="Arial" w:hAnsi="Arial"/>
                  <w:sz w:val="16"/>
                  <w:szCs w:val="16"/>
                  <w:color w:val="auto"/>
                </w:rPr>
                <w:t>the quarter ended September 30, 2016, filed with the Commission on October 24, 2016 (File No. 001-12984) and incorporated herein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7">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7">
              <w:r>
                <w:rPr>
                  <w:rFonts w:ascii="Arial" w:cs="Arial" w:eastAsia="Arial" w:hAnsi="Arial"/>
                  <w:sz w:val="8"/>
                  <w:szCs w:val="8"/>
                  <w:color w:val="auto"/>
                </w:rPr>
                <w:t>(1)</w:t>
              </w:r>
            </w:hyperlink>
          </w:p>
        </w:tc>
        <w:tc>
          <w:tcPr>
            <w:tcW w:w="720" w:type="dxa"/>
            <w:vAlign w:val="bottom"/>
            <w:tcBorders>
              <w:top w:val="single" w:sz="8" w:color="0000EE"/>
              <w:bottom w:val="single" w:sz="8" w:color="0000EE"/>
            </w:tcBorders>
            <w:gridSpan w:val="2"/>
            <w:vMerge w:val="restart"/>
          </w:tcPr>
          <w:p>
            <w:pPr>
              <w:spacing w:after="0"/>
              <w:rPr>
                <w:sz w:val="7"/>
                <w:szCs w:val="7"/>
                <w:color w:val="auto"/>
              </w:rPr>
            </w:pPr>
          </w:p>
        </w:tc>
        <w:tc>
          <w:tcPr>
            <w:tcW w:w="940" w:type="dxa"/>
            <w:vAlign w:val="bottom"/>
            <w:tcBorders>
              <w:top w:val="single" w:sz="8" w:color="0000EE"/>
              <w:bottom w:val="single" w:sz="8" w:color="0000EE"/>
            </w:tcBorders>
            <w:gridSpan w:val="2"/>
            <w:vMerge w:val="restart"/>
          </w:tcPr>
          <w:p>
            <w:pPr>
              <w:spacing w:after="0"/>
              <w:rPr>
                <w:sz w:val="7"/>
                <w:szCs w:val="7"/>
                <w:color w:val="auto"/>
              </w:rPr>
            </w:pPr>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160" w:type="dxa"/>
            <w:vAlign w:val="bottom"/>
            <w:tcBorders>
              <w:top w:val="single" w:sz="8" w:color="0000EE"/>
              <w:bottom w:val="single" w:sz="8" w:color="0000EE"/>
            </w:tcBorders>
            <w:gridSpan w:val="7"/>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16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10.9(b)</w:t>
            </w:r>
          </w:p>
        </w:tc>
        <w:tc>
          <w:tcPr>
            <w:tcW w:w="10100" w:type="dxa"/>
            <w:vAlign w:val="bottom"/>
            <w:gridSpan w:val="35"/>
          </w:tcPr>
          <w:p>
            <w:pPr>
              <w:spacing w:after="0"/>
              <w:rPr>
                <w:rFonts w:ascii="Arial" w:cs="Arial" w:eastAsia="Arial" w:hAnsi="Arial"/>
                <w:sz w:val="16"/>
                <w:szCs w:val="16"/>
                <w:color w:val="auto"/>
              </w:rPr>
            </w:pPr>
            <w:hyperlink r:id="rId208">
              <w:r>
                <w:rPr>
                  <w:rFonts w:ascii="Arial" w:cs="Arial" w:eastAsia="Arial" w:hAnsi="Arial"/>
                  <w:sz w:val="16"/>
                  <w:szCs w:val="16"/>
                  <w:color w:val="auto"/>
                </w:rPr>
                <w:t>Form of Performance Vesting Non-Qualified Stock Option Agreement for Senior Executives filed as Exhibit 10.4 to the Company’s Quarterly</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EE"/>
            </w:tcBorders>
            <w:gridSpan w:val="34"/>
          </w:tcPr>
          <w:p>
            <w:pPr>
              <w:spacing w:after="0" w:line="169" w:lineRule="exact"/>
              <w:rPr>
                <w:rFonts w:ascii="Arial" w:cs="Arial" w:eastAsia="Arial" w:hAnsi="Arial"/>
                <w:sz w:val="16"/>
                <w:szCs w:val="16"/>
                <w:color w:val="auto"/>
              </w:rPr>
            </w:pPr>
            <w:hyperlink r:id="rId208">
              <w:r>
                <w:rPr>
                  <w:rFonts w:ascii="Arial" w:cs="Arial" w:eastAsia="Arial" w:hAnsi="Arial"/>
                  <w:sz w:val="16"/>
                  <w:szCs w:val="16"/>
                  <w:color w:val="auto"/>
                </w:rPr>
                <w:t>Report on Form 10-Q for the quarter ended September 30, 2016, filed with the Commission on October 24, 2016 (File No. 001-12984) and</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08">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8">
              <w:r>
                <w:rPr>
                  <w:rFonts w:ascii="Arial" w:cs="Arial" w:eastAsia="Arial" w:hAnsi="Arial"/>
                  <w:sz w:val="8"/>
                  <w:szCs w:val="8"/>
                  <w:color w:val="auto"/>
                </w:rPr>
                <w:t>(1)</w:t>
              </w:r>
            </w:hyperlink>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340" w:type="dxa"/>
            <w:vAlign w:val="bottom"/>
            <w:tcBorders>
              <w:top w:val="single" w:sz="8" w:color="0000EE"/>
              <w:bottom w:val="single" w:sz="8" w:color="0000EE"/>
            </w:tcBorders>
            <w:gridSpan w:val="14"/>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340" w:type="dxa"/>
            <w:vAlign w:val="bottom"/>
            <w:gridSpan w:val="1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10.9(c)</w:t>
            </w:r>
          </w:p>
        </w:tc>
        <w:tc>
          <w:tcPr>
            <w:tcW w:w="10100" w:type="dxa"/>
            <w:vAlign w:val="bottom"/>
            <w:gridSpan w:val="35"/>
          </w:tcPr>
          <w:p>
            <w:pPr>
              <w:spacing w:after="0"/>
              <w:rPr>
                <w:rFonts w:ascii="Arial" w:cs="Arial" w:eastAsia="Arial" w:hAnsi="Arial"/>
                <w:sz w:val="16"/>
                <w:szCs w:val="16"/>
                <w:color w:val="auto"/>
              </w:rPr>
            </w:pPr>
            <w:hyperlink r:id="rId209">
              <w:r>
                <w:rPr>
                  <w:rFonts w:ascii="Arial" w:cs="Arial" w:eastAsia="Arial" w:hAnsi="Arial"/>
                  <w:sz w:val="16"/>
                  <w:szCs w:val="16"/>
                  <w:color w:val="auto"/>
                </w:rPr>
                <w:t>Form of Time Vesting Non-Qualified Stock Option Agreement for Senior Executives filed as Exhibit 10.5 to the Company’s Quarterly Report</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30"/>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on Form 10-Q for the quarter ended September 30, 2016, filed with the Commission on October 24, 2016 (File No. 001-12984)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9">
              <w:r>
                <w:rPr>
                  <w:rFonts w:ascii="Arial" w:cs="Arial" w:eastAsia="Arial" w:hAnsi="Arial"/>
                  <w:sz w:val="8"/>
                  <w:szCs w:val="8"/>
                  <w:color w:val="auto"/>
                </w:rPr>
                <w:t>(1)</w:t>
              </w:r>
            </w:hyperlink>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780" w:type="dxa"/>
            <w:vAlign w:val="bottom"/>
            <w:tcBorders>
              <w:top w:val="single" w:sz="8" w:color="0000EE"/>
              <w:bottom w:val="single" w:sz="8" w:color="0000EE"/>
            </w:tcBorders>
            <w:gridSpan w:val="3"/>
            <w:vMerge w:val="restart"/>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10.10</w:t>
            </w:r>
          </w:p>
        </w:tc>
        <w:tc>
          <w:tcPr>
            <w:tcW w:w="10100" w:type="dxa"/>
            <w:vAlign w:val="bottom"/>
            <w:gridSpan w:val="35"/>
          </w:tcPr>
          <w:p>
            <w:pPr>
              <w:spacing w:after="0"/>
              <w:rPr>
                <w:rFonts w:ascii="Arial" w:cs="Arial" w:eastAsia="Arial" w:hAnsi="Arial"/>
                <w:sz w:val="16"/>
                <w:szCs w:val="16"/>
                <w:color w:val="auto"/>
              </w:rPr>
            </w:pPr>
            <w:hyperlink r:id="rId210">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Form 10-Q for the quarter ended September 30, 2017, filed with the Commission on October 25, 2017 (File No. 001-12984) and</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0">
              <w:r>
                <w:rPr>
                  <w:rFonts w:ascii="Arial" w:cs="Arial" w:eastAsia="Arial" w:hAnsi="Arial"/>
                  <w:sz w:val="8"/>
                  <w:szCs w:val="8"/>
                  <w:color w:val="auto"/>
                </w:rPr>
                <w:t>(1)</w:t>
              </w:r>
            </w:hyperlink>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560" w:type="dxa"/>
            <w:vAlign w:val="bottom"/>
            <w:tcBorders>
              <w:top w:val="single" w:sz="8" w:color="0000EE"/>
              <w:bottom w:val="single" w:sz="8" w:color="0000EE"/>
            </w:tcBorders>
            <w:vMerge w:val="restart"/>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10.10(a)</w:t>
            </w:r>
          </w:p>
        </w:tc>
        <w:tc>
          <w:tcPr>
            <w:tcW w:w="10100" w:type="dxa"/>
            <w:vAlign w:val="bottom"/>
            <w:gridSpan w:val="35"/>
          </w:tcPr>
          <w:p>
            <w:pPr>
              <w:spacing w:after="0"/>
              <w:rPr>
                <w:rFonts w:ascii="Arial" w:cs="Arial" w:eastAsia="Arial" w:hAnsi="Arial"/>
                <w:sz w:val="16"/>
                <w:szCs w:val="16"/>
                <w:color w:val="auto"/>
              </w:rPr>
            </w:pPr>
            <w:hyperlink r:id="rId211">
              <w:r>
                <w:rPr>
                  <w:rFonts w:ascii="Arial" w:cs="Arial" w:eastAsia="Arial" w:hAnsi="Arial"/>
                  <w:sz w:val="16"/>
                  <w:szCs w:val="16"/>
                  <w:color w:val="auto"/>
                </w:rPr>
                <w:t>Form of Performance Vesting Non-Qualified Stock Option Agreement for Senior Executives filed as Exhibit 10.5 to the Company’s Quarterly</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EE"/>
            </w:tcBorders>
            <w:gridSpan w:val="34"/>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Report on Form 10-Q for the quarter ended June 30, 2017, filed with the Commission on July 28, 2017 (File No. 001-12984) and</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1">
              <w:r>
                <w:rPr>
                  <w:rFonts w:ascii="Arial" w:cs="Arial" w:eastAsia="Arial" w:hAnsi="Arial"/>
                  <w:sz w:val="8"/>
                  <w:szCs w:val="8"/>
                  <w:color w:val="auto"/>
                </w:rPr>
                <w:t>(1)</w:t>
              </w:r>
            </w:hyperlink>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600" w:type="dxa"/>
            <w:vAlign w:val="bottom"/>
            <w:tcBorders>
              <w:top w:val="single" w:sz="8" w:color="0000EE"/>
              <w:bottom w:val="single" w:sz="8" w:color="0000EE"/>
            </w:tcBorders>
            <w:gridSpan w:val="2"/>
            <w:vMerge w:val="restart"/>
          </w:tcPr>
          <w:p>
            <w:pPr>
              <w:spacing w:after="0"/>
              <w:rPr>
                <w:sz w:val="7"/>
                <w:szCs w:val="7"/>
                <w:color w:val="auto"/>
              </w:rPr>
            </w:pPr>
          </w:p>
        </w:tc>
        <w:tc>
          <w:tcPr>
            <w:tcW w:w="3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10.10(b)</w:t>
            </w:r>
          </w:p>
        </w:tc>
        <w:tc>
          <w:tcPr>
            <w:tcW w:w="10100" w:type="dxa"/>
            <w:vAlign w:val="bottom"/>
            <w:gridSpan w:val="35"/>
          </w:tcPr>
          <w:p>
            <w:pPr>
              <w:spacing w:after="0"/>
              <w:rPr>
                <w:rFonts w:ascii="Arial" w:cs="Arial" w:eastAsia="Arial" w:hAnsi="Arial"/>
                <w:sz w:val="16"/>
                <w:szCs w:val="16"/>
                <w:color w:val="auto"/>
              </w:rPr>
            </w:pPr>
            <w:hyperlink r:id="rId212">
              <w:r>
                <w:rPr>
                  <w:rFonts w:ascii="Arial" w:cs="Arial" w:eastAsia="Arial" w:hAnsi="Arial"/>
                  <w:sz w:val="16"/>
                  <w:szCs w:val="16"/>
                  <w:color w:val="auto"/>
                </w:rPr>
                <w:t>Form of Time Vesting Non-Qualified Stock Option Agreement for Senior Executives filed as Exhibit 10.6 to the Company’s Quarterly Report</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30"/>
          </w:tcPr>
          <w:p>
            <w:pPr>
              <w:spacing w:after="0" w:line="169" w:lineRule="exact"/>
              <w:rPr>
                <w:rFonts w:ascii="Arial" w:cs="Arial" w:eastAsia="Arial" w:hAnsi="Arial"/>
                <w:sz w:val="16"/>
                <w:szCs w:val="16"/>
                <w:color w:val="auto"/>
              </w:rPr>
            </w:pPr>
            <w:hyperlink r:id="rId212">
              <w:r>
                <w:rPr>
                  <w:rFonts w:ascii="Arial" w:cs="Arial" w:eastAsia="Arial" w:hAnsi="Arial"/>
                  <w:sz w:val="16"/>
                  <w:szCs w:val="16"/>
                  <w:color w:val="auto"/>
                </w:rPr>
                <w:t>on Form 10-Q for the quarter ended June 30, 2017, filed with the Commission on July 28, 2017 (File No. 001-12984) and incorporated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tcBorders>
              <w:top w:val="single" w:sz="8" w:color="0000EE"/>
              <w:bottom w:val="single" w:sz="8" w:color="0000EE"/>
            </w:tcBorders>
            <w:gridSpan w:val="4"/>
            <w:vMerge w:val="restart"/>
          </w:tcPr>
          <w:p>
            <w:pPr>
              <w:spacing w:after="0" w:line="169" w:lineRule="exact"/>
              <w:rPr>
                <w:rFonts w:ascii="Arial" w:cs="Arial" w:eastAsia="Arial" w:hAnsi="Arial"/>
                <w:sz w:val="16"/>
                <w:szCs w:val="16"/>
                <w:color w:val="auto"/>
                <w:w w:val="99"/>
              </w:rPr>
            </w:pPr>
            <w:hyperlink r:id="rId212">
              <w:r>
                <w:rPr>
                  <w:rFonts w:ascii="Arial" w:cs="Arial" w:eastAsia="Arial" w:hAnsi="Arial"/>
                  <w:sz w:val="16"/>
                  <w:szCs w:val="16"/>
                  <w:color w:val="auto"/>
                  <w:w w:val="99"/>
                </w:rPr>
                <w:t>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2">
              <w:r>
                <w:rPr>
                  <w:rFonts w:ascii="Arial" w:cs="Arial" w:eastAsia="Arial" w:hAnsi="Arial"/>
                  <w:sz w:val="8"/>
                  <w:szCs w:val="8"/>
                  <w:color w:val="auto"/>
                </w:rPr>
                <w:t>(1)</w:t>
              </w:r>
            </w:hyperlink>
          </w:p>
        </w:tc>
        <w:tc>
          <w:tcPr>
            <w:tcW w:w="3200" w:type="dxa"/>
            <w:vAlign w:val="bottom"/>
            <w:tcBorders>
              <w:top w:val="single" w:sz="8" w:color="0000EE"/>
              <w:bottom w:val="single" w:sz="8" w:color="0000EE"/>
            </w:tcBorders>
            <w:gridSpan w:val="5"/>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000" w:type="dxa"/>
            <w:vAlign w:val="bottom"/>
            <w:tcBorders>
              <w:top w:val="single" w:sz="8" w:color="0000EE"/>
              <w:bottom w:val="single" w:sz="8" w:color="0000EE"/>
            </w:tcBorders>
            <w:gridSpan w:val="5"/>
            <w:vMerge w:val="restart"/>
          </w:tcPr>
          <w:p>
            <w:pPr>
              <w:spacing w:after="0"/>
              <w:rPr>
                <w:sz w:val="7"/>
                <w:szCs w:val="7"/>
                <w:color w:val="auto"/>
              </w:rPr>
            </w:pPr>
          </w:p>
        </w:tc>
        <w:tc>
          <w:tcPr>
            <w:tcW w:w="18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40" w:type="dxa"/>
            <w:vAlign w:val="bottom"/>
            <w:tcBorders>
              <w:bottom w:val="single" w:sz="8" w:color="0000EE"/>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3200" w:type="dxa"/>
            <w:vAlign w:val="bottom"/>
            <w:gridSpan w:val="5"/>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10.11</w:t>
            </w:r>
          </w:p>
        </w:tc>
        <w:tc>
          <w:tcPr>
            <w:tcW w:w="10100" w:type="dxa"/>
            <w:vAlign w:val="bottom"/>
            <w:gridSpan w:val="35"/>
          </w:tcPr>
          <w:p>
            <w:pPr>
              <w:spacing w:after="0"/>
              <w:rPr>
                <w:rFonts w:ascii="Arial" w:cs="Arial" w:eastAsia="Arial" w:hAnsi="Arial"/>
                <w:sz w:val="16"/>
                <w:szCs w:val="16"/>
                <w:color w:val="auto"/>
              </w:rPr>
            </w:pPr>
            <w:hyperlink r:id="rId213">
              <w:r>
                <w:rPr>
                  <w:rFonts w:ascii="Arial" w:cs="Arial" w:eastAsia="Arial" w:hAnsi="Arial"/>
                  <w:sz w:val="16"/>
                  <w:szCs w:val="16"/>
                  <w:color w:val="auto"/>
                </w:rPr>
                <w:t>Form of Performance Vesting Non-Qualified Stock Option Agreement for Senior Executives filed as Exhibit 10.3 to the Company’s Quarterly</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EE"/>
            </w:tcBorders>
            <w:gridSpan w:val="34"/>
          </w:tcPr>
          <w:p>
            <w:pPr>
              <w:spacing w:after="0" w:line="169" w:lineRule="exact"/>
              <w:rPr>
                <w:rFonts w:ascii="Arial" w:cs="Arial" w:eastAsia="Arial" w:hAnsi="Arial"/>
                <w:sz w:val="16"/>
                <w:szCs w:val="16"/>
                <w:color w:val="auto"/>
              </w:rPr>
            </w:pPr>
            <w:hyperlink r:id="rId213">
              <w:r>
                <w:rPr>
                  <w:rFonts w:ascii="Arial" w:cs="Arial" w:eastAsia="Arial" w:hAnsi="Arial"/>
                  <w:sz w:val="16"/>
                  <w:szCs w:val="16"/>
                  <w:color w:val="auto"/>
                </w:rPr>
                <w:t>Report on Form 10-Q for the quarter ended June 30, 2018, filed with the Commission on July 30, 2018 (File No. 001-12984) and</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13">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3">
              <w:r>
                <w:rPr>
                  <w:rFonts w:ascii="Arial" w:cs="Arial" w:eastAsia="Arial" w:hAnsi="Arial"/>
                  <w:sz w:val="8"/>
                  <w:szCs w:val="8"/>
                  <w:color w:val="auto"/>
                </w:rPr>
                <w:t>(1)</w:t>
              </w:r>
            </w:hyperlink>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600" w:type="dxa"/>
            <w:vAlign w:val="bottom"/>
            <w:tcBorders>
              <w:top w:val="single" w:sz="8" w:color="0000EE"/>
              <w:bottom w:val="single" w:sz="8" w:color="0000EE"/>
            </w:tcBorders>
            <w:gridSpan w:val="2"/>
            <w:vMerge w:val="restart"/>
          </w:tcPr>
          <w:p>
            <w:pPr>
              <w:spacing w:after="0"/>
              <w:rPr>
                <w:sz w:val="7"/>
                <w:szCs w:val="7"/>
                <w:color w:val="auto"/>
              </w:rPr>
            </w:pPr>
          </w:p>
        </w:tc>
        <w:tc>
          <w:tcPr>
            <w:tcW w:w="360" w:type="dxa"/>
            <w:vAlign w:val="bottom"/>
            <w:gridSpan w:val="2"/>
          </w:tcPr>
          <w:p>
            <w:pPr>
              <w:spacing w:after="0"/>
              <w:rPr>
                <w:sz w:val="7"/>
                <w:szCs w:val="7"/>
                <w:color w:val="auto"/>
              </w:rPr>
            </w:pPr>
          </w:p>
        </w:tc>
        <w:tc>
          <w:tcPr>
            <w:tcW w:w="22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6"/>
                <w:szCs w:val="16"/>
                <w:color w:val="auto"/>
              </w:rPr>
              <w:t>10.11(a)</w:t>
            </w:r>
          </w:p>
        </w:tc>
        <w:tc>
          <w:tcPr>
            <w:tcW w:w="10100" w:type="dxa"/>
            <w:vAlign w:val="bottom"/>
            <w:gridSpan w:val="35"/>
          </w:tcPr>
          <w:p>
            <w:pPr>
              <w:spacing w:after="0"/>
              <w:rPr>
                <w:rFonts w:ascii="Arial" w:cs="Arial" w:eastAsia="Arial" w:hAnsi="Arial"/>
                <w:sz w:val="16"/>
                <w:szCs w:val="16"/>
                <w:color w:val="auto"/>
              </w:rPr>
            </w:pPr>
            <w:hyperlink r:id="rId214">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30"/>
          </w:tcPr>
          <w:p>
            <w:pPr>
              <w:spacing w:after="0" w:line="169" w:lineRule="exact"/>
              <w:rPr>
                <w:rFonts w:ascii="Arial" w:cs="Arial" w:eastAsia="Arial" w:hAnsi="Arial"/>
                <w:sz w:val="16"/>
                <w:szCs w:val="16"/>
                <w:color w:val="auto"/>
              </w:rPr>
            </w:pPr>
            <w:hyperlink r:id="rId214">
              <w:r>
                <w:rPr>
                  <w:rFonts w:ascii="Arial" w:cs="Arial" w:eastAsia="Arial" w:hAnsi="Arial"/>
                  <w:sz w:val="16"/>
                  <w:szCs w:val="16"/>
                  <w:color w:val="auto"/>
                </w:rPr>
                <w:t>on Form 10-Q for the quarter ended June 30, 2018, filed with the Commission on July 30, 2018 (File No. 001-12984) and incorporated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tcBorders>
              <w:top w:val="single" w:sz="8" w:color="0000EE"/>
              <w:bottom w:val="single" w:sz="8" w:color="0000EE"/>
            </w:tcBorders>
            <w:gridSpan w:val="4"/>
            <w:vMerge w:val="restart"/>
          </w:tcPr>
          <w:p>
            <w:pPr>
              <w:spacing w:after="0" w:line="169" w:lineRule="exact"/>
              <w:rPr>
                <w:rFonts w:ascii="Arial" w:cs="Arial" w:eastAsia="Arial" w:hAnsi="Arial"/>
                <w:sz w:val="16"/>
                <w:szCs w:val="16"/>
                <w:color w:val="auto"/>
                <w:w w:val="99"/>
              </w:rPr>
            </w:pPr>
            <w:hyperlink r:id="rId214">
              <w:r>
                <w:rPr>
                  <w:rFonts w:ascii="Arial" w:cs="Arial" w:eastAsia="Arial" w:hAnsi="Arial"/>
                  <w:sz w:val="16"/>
                  <w:szCs w:val="16"/>
                  <w:color w:val="auto"/>
                  <w:w w:val="99"/>
                </w:rPr>
                <w:t>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4">
              <w:r>
                <w:rPr>
                  <w:rFonts w:ascii="Arial" w:cs="Arial" w:eastAsia="Arial" w:hAnsi="Arial"/>
                  <w:sz w:val="8"/>
                  <w:szCs w:val="8"/>
                  <w:color w:val="auto"/>
                </w:rPr>
                <w:t>(1)</w:t>
              </w:r>
            </w:hyperlink>
          </w:p>
        </w:tc>
        <w:tc>
          <w:tcPr>
            <w:tcW w:w="3200" w:type="dxa"/>
            <w:vAlign w:val="bottom"/>
            <w:tcBorders>
              <w:top w:val="single" w:sz="8" w:color="0000EE"/>
              <w:bottom w:val="single" w:sz="8" w:color="0000EE"/>
            </w:tcBorders>
            <w:gridSpan w:val="5"/>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000" w:type="dxa"/>
            <w:vAlign w:val="bottom"/>
            <w:tcBorders>
              <w:top w:val="single" w:sz="8" w:color="0000EE"/>
              <w:bottom w:val="single" w:sz="8" w:color="0000EE"/>
            </w:tcBorders>
            <w:gridSpan w:val="5"/>
            <w:vMerge w:val="restart"/>
          </w:tcPr>
          <w:p>
            <w:pPr>
              <w:spacing w:after="0"/>
              <w:rPr>
                <w:sz w:val="7"/>
                <w:szCs w:val="7"/>
                <w:color w:val="auto"/>
              </w:rPr>
            </w:pPr>
          </w:p>
        </w:tc>
        <w:tc>
          <w:tcPr>
            <w:tcW w:w="18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40" w:type="dxa"/>
            <w:vAlign w:val="bottom"/>
            <w:tcBorders>
              <w:bottom w:val="single" w:sz="8" w:color="0000EE"/>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3200" w:type="dxa"/>
            <w:vAlign w:val="bottom"/>
            <w:gridSpan w:val="5"/>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10.11(b)</w:t>
            </w:r>
          </w:p>
        </w:tc>
        <w:tc>
          <w:tcPr>
            <w:tcW w:w="10100" w:type="dxa"/>
            <w:vAlign w:val="bottom"/>
            <w:gridSpan w:val="35"/>
          </w:tcPr>
          <w:p>
            <w:pPr>
              <w:spacing w:after="0"/>
              <w:rPr>
                <w:rFonts w:ascii="Arial" w:cs="Arial" w:eastAsia="Arial" w:hAnsi="Arial"/>
                <w:sz w:val="16"/>
                <w:szCs w:val="16"/>
                <w:color w:val="auto"/>
              </w:rPr>
            </w:pPr>
            <w:hyperlink r:id="rId215">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15">
              <w:r>
                <w:rPr>
                  <w:rFonts w:ascii="Arial" w:cs="Arial" w:eastAsia="Arial" w:hAnsi="Arial"/>
                  <w:sz w:val="16"/>
                  <w:szCs w:val="16"/>
                  <w:color w:val="auto"/>
                </w:rPr>
                <w:t>Form 10-Q for the quarter ended September 30, 2018, filed with the Commission on October 30, 2018 (File No. 001-12984) and</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15">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5">
              <w:r>
                <w:rPr>
                  <w:rFonts w:ascii="Arial" w:cs="Arial" w:eastAsia="Arial" w:hAnsi="Arial"/>
                  <w:sz w:val="8"/>
                  <w:szCs w:val="8"/>
                  <w:color w:val="auto"/>
                </w:rPr>
                <w:t>(1)</w:t>
              </w:r>
            </w:hyperlink>
          </w:p>
        </w:tc>
        <w:tc>
          <w:tcPr>
            <w:tcW w:w="2260" w:type="dxa"/>
            <w:vAlign w:val="bottom"/>
            <w:tcBorders>
              <w:top w:val="single" w:sz="8" w:color="0000EE"/>
              <w:bottom w:val="single" w:sz="8" w:color="0000EE"/>
            </w:tcBorders>
            <w:gridSpan w:val="3"/>
            <w:vMerge w:val="restart"/>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560" w:type="dxa"/>
            <w:vAlign w:val="bottom"/>
            <w:tcBorders>
              <w:top w:val="single" w:sz="8" w:color="0000EE"/>
              <w:bottom w:val="single" w:sz="8" w:color="0000EE"/>
            </w:tcBorders>
            <w:vMerge w:val="restart"/>
          </w:tcPr>
          <w:p>
            <w:pPr>
              <w:spacing w:after="0"/>
              <w:rPr>
                <w:sz w:val="7"/>
                <w:szCs w:val="7"/>
                <w:color w:val="auto"/>
              </w:rPr>
            </w:pPr>
          </w:p>
        </w:tc>
        <w:tc>
          <w:tcPr>
            <w:tcW w:w="400" w:type="dxa"/>
            <w:vAlign w:val="bottom"/>
            <w:gridSpan w:val="3"/>
          </w:tcPr>
          <w:p>
            <w:pPr>
              <w:spacing w:after="0"/>
              <w:rPr>
                <w:sz w:val="7"/>
                <w:szCs w:val="7"/>
                <w:color w:val="auto"/>
              </w:rPr>
            </w:pPr>
          </w:p>
        </w:tc>
        <w:tc>
          <w:tcPr>
            <w:tcW w:w="22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6"/>
                <w:szCs w:val="16"/>
                <w:color w:val="auto"/>
              </w:rPr>
              <w:t>10.12</w:t>
            </w:r>
          </w:p>
        </w:tc>
        <w:tc>
          <w:tcPr>
            <w:tcW w:w="10100" w:type="dxa"/>
            <w:vAlign w:val="bottom"/>
            <w:gridSpan w:val="35"/>
          </w:tcPr>
          <w:p>
            <w:pPr>
              <w:spacing w:after="0"/>
              <w:rPr>
                <w:rFonts w:ascii="Arial" w:cs="Arial" w:eastAsia="Arial" w:hAnsi="Arial"/>
                <w:sz w:val="16"/>
                <w:szCs w:val="16"/>
                <w:color w:val="auto"/>
              </w:rPr>
            </w:pPr>
            <w:hyperlink r:id="rId216">
              <w:r>
                <w:rPr>
                  <w:rFonts w:ascii="Arial" w:cs="Arial" w:eastAsia="Arial" w:hAnsi="Arial"/>
                  <w:sz w:val="16"/>
                  <w:szCs w:val="16"/>
                  <w:color w:val="auto"/>
                </w:rPr>
                <w:t>The Eagle Materials Inc. Retirement Plan filed as Exhibit 4.6 to the Company’s Form S-8 POS, filed with the Commission on January 31,</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20" w:type="dxa"/>
            <w:vAlign w:val="bottom"/>
            <w:tcBorders>
              <w:top w:val="single" w:sz="8" w:color="0000EE"/>
              <w:bottom w:val="single" w:sz="8" w:color="0000EE"/>
            </w:tcBorders>
            <w:gridSpan w:val="9"/>
            <w:vMerge w:val="restart"/>
          </w:tcPr>
          <w:p>
            <w:pPr>
              <w:spacing w:after="0" w:line="169" w:lineRule="exact"/>
              <w:rPr>
                <w:rFonts w:ascii="Arial" w:cs="Arial" w:eastAsia="Arial" w:hAnsi="Arial"/>
                <w:sz w:val="16"/>
                <w:szCs w:val="16"/>
                <w:color w:val="auto"/>
              </w:rPr>
            </w:pPr>
            <w:hyperlink r:id="rId216">
              <w:r>
                <w:rPr>
                  <w:rFonts w:ascii="Arial" w:cs="Arial" w:eastAsia="Arial" w:hAnsi="Arial"/>
                  <w:sz w:val="16"/>
                  <w:szCs w:val="16"/>
                  <w:color w:val="auto"/>
                </w:rPr>
                <w:t>2019 (File No. 001-12984) and incorporated herein by reference.</w:t>
              </w:r>
            </w:hyperlink>
          </w:p>
        </w:tc>
        <w:tc>
          <w:tcPr>
            <w:tcW w:w="18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6">
              <w:r>
                <w:rPr>
                  <w:rFonts w:ascii="Arial" w:cs="Arial" w:eastAsia="Arial" w:hAnsi="Arial"/>
                  <w:sz w:val="8"/>
                  <w:szCs w:val="8"/>
                  <w:color w:val="auto"/>
                </w:rPr>
                <w:t>(1)</w:t>
              </w:r>
            </w:hyperlink>
          </w:p>
        </w:tc>
        <w:tc>
          <w:tcPr>
            <w:tcW w:w="800" w:type="dxa"/>
            <w:vAlign w:val="bottom"/>
            <w:tcBorders>
              <w:top w:val="single" w:sz="8" w:color="0000EE"/>
              <w:bottom w:val="single" w:sz="8" w:color="0000EE"/>
            </w:tcBorders>
            <w:gridSpan w:val="2"/>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180" w:type="dxa"/>
            <w:vAlign w:val="bottom"/>
            <w:tcBorders>
              <w:top w:val="single" w:sz="8" w:color="0000EE"/>
              <w:bottom w:val="single" w:sz="8" w:color="0000EE"/>
            </w:tcBorders>
            <w:gridSpan w:val="8"/>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4620" w:type="dxa"/>
            <w:vAlign w:val="bottom"/>
            <w:tcBorders>
              <w:bottom w:val="single" w:sz="8" w:color="0000EE"/>
            </w:tcBorders>
            <w:gridSpan w:val="9"/>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18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10.13</w:t>
            </w:r>
          </w:p>
        </w:tc>
        <w:tc>
          <w:tcPr>
            <w:tcW w:w="10100" w:type="dxa"/>
            <w:vAlign w:val="bottom"/>
            <w:gridSpan w:val="35"/>
          </w:tcPr>
          <w:p>
            <w:pPr>
              <w:spacing w:after="0"/>
              <w:rPr>
                <w:rFonts w:ascii="Arial" w:cs="Arial" w:eastAsia="Arial" w:hAnsi="Arial"/>
                <w:sz w:val="16"/>
                <w:szCs w:val="16"/>
                <w:color w:val="auto"/>
              </w:rPr>
            </w:pPr>
            <w:hyperlink r:id="rId217">
              <w:r>
                <w:rPr>
                  <w:rFonts w:ascii="Arial" w:cs="Arial" w:eastAsia="Arial" w:hAnsi="Arial"/>
                  <w:sz w:val="16"/>
                  <w:szCs w:val="16"/>
                  <w:color w:val="auto"/>
                </w:rPr>
                <w:t>The Eagle Materials Inc. Amended and Restated Supplemental Executive Retirement Plan filed as Exhibit 10.4 to the Company’s Annual</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217">
              <w:r>
                <w:rPr>
                  <w:rFonts w:ascii="Arial" w:cs="Arial" w:eastAsia="Arial" w:hAnsi="Arial"/>
                  <w:sz w:val="16"/>
                  <w:szCs w:val="16"/>
                  <w:color w:val="auto"/>
                </w:rPr>
                <w:t>Report on Form 10-K for the fiscal year ended March 31, 2000, filed with the Commission on June 21, 2000 (File No. 001-12984) and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17">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7">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5"/>
            <w:vMerge w:val="restart"/>
          </w:tcPr>
          <w:p>
            <w:pPr>
              <w:spacing w:after="0"/>
              <w:rPr>
                <w:sz w:val="7"/>
                <w:szCs w:val="7"/>
                <w:color w:val="auto"/>
              </w:rPr>
            </w:pPr>
          </w:p>
        </w:tc>
        <w:tc>
          <w:tcPr>
            <w:tcW w:w="190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960" w:type="dxa"/>
            <w:vAlign w:val="bottom"/>
            <w:tcBorders>
              <w:top w:val="single" w:sz="8" w:color="0000EE"/>
              <w:bottom w:val="single" w:sz="8" w:color="0000EE"/>
            </w:tcBorders>
            <w:gridSpan w:val="4"/>
            <w:vMerge w:val="restart"/>
          </w:tcPr>
          <w:p>
            <w:pPr>
              <w:spacing w:after="0"/>
              <w:rPr>
                <w:sz w:val="7"/>
                <w:szCs w:val="7"/>
                <w:color w:val="auto"/>
              </w:rPr>
            </w:pPr>
          </w:p>
        </w:tc>
        <w:tc>
          <w:tcPr>
            <w:tcW w:w="260" w:type="dxa"/>
            <w:vAlign w:val="bottom"/>
            <w:gridSpan w:val="6"/>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38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5"/>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10.13(a)</w:t>
            </w:r>
          </w:p>
        </w:tc>
        <w:tc>
          <w:tcPr>
            <w:tcW w:w="10100" w:type="dxa"/>
            <w:vAlign w:val="bottom"/>
            <w:gridSpan w:val="35"/>
          </w:tcPr>
          <w:p>
            <w:pPr>
              <w:spacing w:after="0"/>
              <w:rPr>
                <w:rFonts w:ascii="Arial" w:cs="Arial" w:eastAsia="Arial" w:hAnsi="Arial"/>
                <w:sz w:val="16"/>
                <w:szCs w:val="16"/>
                <w:color w:val="auto"/>
              </w:rPr>
            </w:pPr>
            <w:hyperlink r:id="rId218">
              <w:r>
                <w:rPr>
                  <w:rFonts w:ascii="Arial" w:cs="Arial" w:eastAsia="Arial" w:hAnsi="Arial"/>
                  <w:sz w:val="16"/>
                  <w:szCs w:val="16"/>
                  <w:color w:val="auto"/>
                </w:rPr>
                <w:t>First Amendment to the Eagle Materials Inc. Amended and Restated Supplemental Executive Retirement Plan, dated as of May 11, 2004,</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EE"/>
              <w:bottom w:val="single" w:sz="8" w:color="0000EE"/>
            </w:tcBorders>
            <w:gridSpan w:val="25"/>
          </w:tcPr>
          <w:p>
            <w:pPr>
              <w:spacing w:after="0" w:line="169" w:lineRule="exact"/>
              <w:rPr>
                <w:rFonts w:ascii="Arial" w:cs="Arial" w:eastAsia="Arial" w:hAnsi="Arial"/>
                <w:sz w:val="16"/>
                <w:szCs w:val="16"/>
                <w:color w:val="auto"/>
              </w:rPr>
            </w:pPr>
            <w:hyperlink r:id="rId218">
              <w:r>
                <w:rPr>
                  <w:rFonts w:ascii="Arial" w:cs="Arial" w:eastAsia="Arial" w:hAnsi="Arial"/>
                  <w:sz w:val="16"/>
                  <w:szCs w:val="16"/>
                  <w:color w:val="auto"/>
                </w:rPr>
                <w:t>filed as Exhibit 10.4(a) to the Company’s Annual Report on Form 10-K for the fiscal year ended March 31, 2006, filed with the Commission</w:t>
              </w:r>
            </w:hyperlink>
          </w:p>
        </w:tc>
        <w:tc>
          <w:tcPr>
            <w:tcW w:w="4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20" w:type="dxa"/>
            <w:vAlign w:val="bottom"/>
            <w:gridSpan w:val="11"/>
            <w:vMerge w:val="restart"/>
          </w:tcPr>
          <w:p>
            <w:pPr>
              <w:spacing w:after="0" w:line="169" w:lineRule="exact"/>
              <w:rPr>
                <w:rFonts w:ascii="Arial" w:cs="Arial" w:eastAsia="Arial" w:hAnsi="Arial"/>
                <w:sz w:val="16"/>
                <w:szCs w:val="16"/>
                <w:color w:val="auto"/>
              </w:rPr>
            </w:pPr>
            <w:hyperlink r:id="rId218">
              <w:r>
                <w:rPr>
                  <w:rFonts w:ascii="Arial" w:cs="Arial" w:eastAsia="Arial" w:hAnsi="Arial"/>
                  <w:sz w:val="16"/>
                  <w:szCs w:val="16"/>
                  <w:color w:val="auto"/>
                </w:rPr>
                <w:t>on June 2, 2006 (File No. 001-12984) and incorporated herein by reference.</w:t>
              </w:r>
            </w:hyperlink>
          </w:p>
        </w:tc>
        <w:tc>
          <w:tcPr>
            <w:tcW w:w="18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18">
              <w:r>
                <w:rPr>
                  <w:rFonts w:ascii="Arial" w:cs="Arial" w:eastAsia="Arial" w:hAnsi="Arial"/>
                  <w:sz w:val="8"/>
                  <w:szCs w:val="8"/>
                  <w:color w:val="auto"/>
                </w:rPr>
                <w:t>(1)</w:t>
              </w:r>
            </w:hyperlink>
          </w:p>
        </w:tc>
        <w:tc>
          <w:tcPr>
            <w:tcW w:w="190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2300" w:type="dxa"/>
            <w:vAlign w:val="bottom"/>
            <w:gridSpan w:val="12"/>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5420" w:type="dxa"/>
            <w:vAlign w:val="bottom"/>
            <w:tcBorders>
              <w:bottom w:val="single" w:sz="8" w:color="0000EE"/>
            </w:tcBorders>
            <w:gridSpan w:val="11"/>
            <w:vMerge w:val="continue"/>
          </w:tcPr>
          <w:p>
            <w:pPr>
              <w:spacing w:after="0"/>
              <w:rPr>
                <w:sz w:val="5"/>
                <w:szCs w:val="5"/>
                <w:color w:val="auto"/>
              </w:rPr>
            </w:pPr>
          </w:p>
        </w:tc>
        <w:tc>
          <w:tcPr>
            <w:tcW w:w="1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30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10.14</w:t>
            </w:r>
          </w:p>
        </w:tc>
        <w:tc>
          <w:tcPr>
            <w:tcW w:w="10100" w:type="dxa"/>
            <w:vAlign w:val="bottom"/>
            <w:gridSpan w:val="35"/>
          </w:tcPr>
          <w:p>
            <w:pPr>
              <w:spacing w:after="0"/>
              <w:rPr>
                <w:rFonts w:ascii="Arial" w:cs="Arial" w:eastAsia="Arial" w:hAnsi="Arial"/>
                <w:sz w:val="16"/>
                <w:szCs w:val="16"/>
                <w:color w:val="auto"/>
              </w:rPr>
            </w:pPr>
            <w:hyperlink r:id="rId219">
              <w:r>
                <w:rPr>
                  <w:rFonts w:ascii="Arial" w:cs="Arial" w:eastAsia="Arial" w:hAnsi="Arial"/>
                  <w:sz w:val="16"/>
                  <w:szCs w:val="16"/>
                  <w:color w:val="auto"/>
                </w:rPr>
                <w:t>Trademark License and Name Domain Agreement dated January 30, 2004, between the Company and Centex Corporation, filed as Exhibit</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EE"/>
            </w:tcBorders>
            <w:gridSpan w:val="33"/>
          </w:tcPr>
          <w:p>
            <w:pPr>
              <w:spacing w:after="0" w:line="169" w:lineRule="exact"/>
              <w:rPr>
                <w:rFonts w:ascii="Arial" w:cs="Arial" w:eastAsia="Arial" w:hAnsi="Arial"/>
                <w:sz w:val="16"/>
                <w:szCs w:val="16"/>
                <w:color w:val="auto"/>
              </w:rPr>
            </w:pPr>
            <w:hyperlink r:id="rId219">
              <w:r>
                <w:rPr>
                  <w:rFonts w:ascii="Arial" w:cs="Arial" w:eastAsia="Arial" w:hAnsi="Arial"/>
                  <w:sz w:val="16"/>
                  <w:szCs w:val="16"/>
                  <w:color w:val="auto"/>
                </w:rPr>
                <w:t>10.5 to the Company’s Annual Report on Form 10-K for the fiscal year ended March 31, 2004, filed with the Commission on June 14, 2004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219">
              <w:r>
                <w:rPr>
                  <w:rFonts w:ascii="Arial" w:cs="Arial" w:eastAsia="Arial" w:hAnsi="Arial"/>
                  <w:sz w:val="16"/>
                  <w:szCs w:val="16"/>
                  <w:color w:val="auto"/>
                </w:rPr>
                <w:t>(File No. 001-12984) and incorporated herein by reference.</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6"/>
                <w:szCs w:val="16"/>
                <w:color w:val="auto"/>
              </w:rPr>
              <w:t>10.15</w:t>
            </w:r>
          </w:p>
        </w:tc>
        <w:tc>
          <w:tcPr>
            <w:tcW w:w="10100" w:type="dxa"/>
            <w:vAlign w:val="bottom"/>
            <w:gridSpan w:val="35"/>
          </w:tcPr>
          <w:p>
            <w:pPr>
              <w:spacing w:after="0"/>
              <w:rPr>
                <w:rFonts w:ascii="Arial" w:cs="Arial" w:eastAsia="Arial" w:hAnsi="Arial"/>
                <w:sz w:val="16"/>
                <w:szCs w:val="16"/>
                <w:color w:val="auto"/>
              </w:rPr>
            </w:pPr>
            <w:hyperlink r:id="rId220">
              <w:r>
                <w:rPr>
                  <w:rFonts w:ascii="Arial" w:cs="Arial" w:eastAsia="Arial" w:hAnsi="Arial"/>
                  <w:sz w:val="16"/>
                  <w:szCs w:val="16"/>
                  <w:color w:val="auto"/>
                </w:rPr>
                <w:t>Form of Indemnification Agreement between the Company and each of its directors filed as Exhibit 10.9 to the Company’s Annual Report</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auto"/>
                <w:w w:val="99"/>
              </w:rPr>
            </w:pPr>
            <w:hyperlink r:id="rId220">
              <w:r>
                <w:rPr>
                  <w:rFonts w:ascii="Arial" w:cs="Arial" w:eastAsia="Arial" w:hAnsi="Arial"/>
                  <w:sz w:val="16"/>
                  <w:szCs w:val="16"/>
                  <w:color w:val="auto"/>
                  <w:w w:val="99"/>
                </w:rPr>
                <w:t>on Form 10-K for the fiscal year ended March 31, 2004, filed with the Commission on June 14, 2004 (File No. 001-12984) and incorporated</w:t>
              </w:r>
            </w:hyperlink>
          </w:p>
        </w:tc>
        <w:tc>
          <w:tcPr>
            <w:tcW w:w="180" w:type="dxa"/>
            <w:vAlign w:val="bottom"/>
            <w:tcBorders>
              <w:bottom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440" w:type="dxa"/>
            <w:vAlign w:val="bottom"/>
            <w:tcBorders>
              <w:bottom w:val="single" w:sz="8" w:color="0000EE"/>
            </w:tcBorders>
            <w:gridSpan w:val="4"/>
          </w:tcPr>
          <w:p>
            <w:pPr>
              <w:spacing w:after="0" w:line="169" w:lineRule="exact"/>
              <w:rPr>
                <w:rFonts w:ascii="Arial" w:cs="Arial" w:eastAsia="Arial" w:hAnsi="Arial"/>
                <w:sz w:val="16"/>
                <w:szCs w:val="16"/>
                <w:color w:val="auto"/>
                <w:w w:val="99"/>
              </w:rPr>
            </w:pPr>
            <w:hyperlink r:id="rId220">
              <w:r>
                <w:rPr>
                  <w:rFonts w:ascii="Arial" w:cs="Arial" w:eastAsia="Arial" w:hAnsi="Arial"/>
                  <w:sz w:val="16"/>
                  <w:szCs w:val="16"/>
                  <w:color w:val="auto"/>
                  <w:w w:val="99"/>
                </w:rPr>
                <w:t>herein by reference.</w:t>
              </w:r>
            </w:hyperlink>
          </w:p>
        </w:tc>
        <w:tc>
          <w:tcPr>
            <w:tcW w:w="858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80" w:type="dxa"/>
            <w:vAlign w:val="bottom"/>
          </w:tcPr>
          <w:p>
            <w:pPr>
              <w:spacing w:after="0"/>
              <w:rPr>
                <w:sz w:val="20"/>
                <w:szCs w:val="20"/>
                <w:color w:val="auto"/>
              </w:rPr>
            </w:pPr>
            <w:r>
              <w:rPr>
                <w:rFonts w:ascii="Arial" w:cs="Arial" w:eastAsia="Arial" w:hAnsi="Arial"/>
                <w:sz w:val="16"/>
                <w:szCs w:val="16"/>
                <w:color w:val="auto"/>
              </w:rPr>
              <w:t>10.16(a)</w:t>
            </w:r>
          </w:p>
        </w:tc>
        <w:tc>
          <w:tcPr>
            <w:tcW w:w="10100" w:type="dxa"/>
            <w:vAlign w:val="bottom"/>
            <w:gridSpan w:val="35"/>
          </w:tcPr>
          <w:p>
            <w:pPr>
              <w:spacing w:after="0"/>
              <w:rPr>
                <w:rFonts w:ascii="Arial" w:cs="Arial" w:eastAsia="Arial" w:hAnsi="Arial"/>
                <w:sz w:val="16"/>
                <w:szCs w:val="16"/>
                <w:color w:val="auto"/>
              </w:rPr>
            </w:pPr>
            <w:hyperlink r:id="rId221">
              <w:r>
                <w:rPr>
                  <w:rFonts w:ascii="Arial" w:cs="Arial" w:eastAsia="Arial" w:hAnsi="Arial"/>
                  <w:sz w:val="16"/>
                  <w:szCs w:val="16"/>
                  <w:color w:val="auto"/>
                </w:rPr>
                <w:t>Eagle Materials Inc. Salaried Incentive Compensation Program for Fiscal Year 2024 filed as Exhibit 10.1 to the Current Report on Form 8-K</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500" w:type="dxa"/>
            <w:vAlign w:val="bottom"/>
            <w:tcBorders>
              <w:top w:val="single" w:sz="8" w:color="0000EE"/>
              <w:bottom w:val="single" w:sz="8" w:color="0000EE"/>
            </w:tcBorders>
            <w:gridSpan w:val="13"/>
            <w:vMerge w:val="restart"/>
          </w:tcPr>
          <w:p>
            <w:pPr>
              <w:spacing w:after="0" w:line="169" w:lineRule="exact"/>
              <w:rPr>
                <w:rFonts w:ascii="Arial" w:cs="Arial" w:eastAsia="Arial" w:hAnsi="Arial"/>
                <w:sz w:val="16"/>
                <w:szCs w:val="16"/>
                <w:color w:val="auto"/>
              </w:rPr>
            </w:pPr>
            <w:hyperlink r:id="rId221">
              <w:r>
                <w:rPr>
                  <w:rFonts w:ascii="Arial" w:cs="Arial" w:eastAsia="Arial" w:hAnsi="Arial"/>
                  <w:sz w:val="16"/>
                  <w:szCs w:val="16"/>
                  <w:color w:val="auto"/>
                </w:rPr>
                <w:t>filed with the Commission on May 23, 2023 (Filed No. 001-12984) and incorporated herein by reference.</w:t>
              </w:r>
            </w:hyperlink>
          </w:p>
        </w:tc>
        <w:tc>
          <w:tcPr>
            <w:tcW w:w="12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1">
              <w:r>
                <w:rPr>
                  <w:rFonts w:ascii="Arial" w:cs="Arial" w:eastAsia="Arial" w:hAnsi="Arial"/>
                  <w:sz w:val="8"/>
                  <w:szCs w:val="8"/>
                  <w:color w:val="auto"/>
                </w:rPr>
                <w:t>(1)</w:t>
              </w:r>
            </w:hyperlink>
          </w:p>
        </w:tc>
        <w:tc>
          <w:tcPr>
            <w:tcW w:w="2420" w:type="dxa"/>
            <w:vAlign w:val="bottom"/>
            <w:tcBorders>
              <w:top w:val="single" w:sz="8" w:color="0000EE"/>
              <w:bottom w:val="single" w:sz="8" w:color="0000EE"/>
            </w:tcBorders>
            <w:gridSpan w:val="18"/>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500" w:type="dxa"/>
            <w:vAlign w:val="bottom"/>
            <w:tcBorders>
              <w:bottom w:val="single" w:sz="8" w:color="0000EE"/>
            </w:tcBorders>
            <w:gridSpan w:val="13"/>
            <w:vMerge w:val="continue"/>
          </w:tcPr>
          <w:p>
            <w:pPr>
              <w:spacing w:after="0"/>
              <w:rPr>
                <w:sz w:val="5"/>
                <w:szCs w:val="5"/>
                <w:color w:val="auto"/>
              </w:rPr>
            </w:pPr>
          </w:p>
        </w:tc>
        <w:tc>
          <w:tcPr>
            <w:tcW w:w="120" w:type="dxa"/>
            <w:vAlign w:val="bottom"/>
          </w:tcPr>
          <w:p>
            <w:pPr>
              <w:spacing w:after="0"/>
              <w:rPr>
                <w:sz w:val="5"/>
                <w:szCs w:val="5"/>
                <w:color w:val="auto"/>
              </w:rPr>
            </w:pPr>
          </w:p>
        </w:tc>
        <w:tc>
          <w:tcPr>
            <w:tcW w:w="242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4"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auto"/>
              </w:rPr>
              <w:t>10.16(b)</w:t>
            </w:r>
          </w:p>
        </w:tc>
        <w:tc>
          <w:tcPr>
            <w:tcW w:w="10000" w:type="dxa"/>
            <w:vAlign w:val="bottom"/>
            <w:gridSpan w:val="31"/>
          </w:tcPr>
          <w:p>
            <w:pPr>
              <w:spacing w:after="0"/>
              <w:rPr>
                <w:rFonts w:ascii="Arial" w:cs="Arial" w:eastAsia="Arial" w:hAnsi="Arial"/>
                <w:sz w:val="16"/>
                <w:szCs w:val="16"/>
                <w:color w:val="auto"/>
              </w:rPr>
            </w:pPr>
            <w:hyperlink r:id="rId223">
              <w:r>
                <w:rPr>
                  <w:rFonts w:ascii="Arial" w:cs="Arial" w:eastAsia="Arial" w:hAnsi="Arial"/>
                  <w:sz w:val="16"/>
                  <w:szCs w:val="16"/>
                  <w:color w:val="auto"/>
                </w:rPr>
                <w:t>Eagle Materials Inc. Special Situation Program for Fiscal 2024 filed as Exhibit 10.2 to the Current Report on Form 8-K filed with the</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6460" w:type="dxa"/>
            <w:vAlign w:val="bottom"/>
            <w:tcBorders>
              <w:top w:val="single" w:sz="8" w:color="0000EE"/>
              <w:bottom w:val="single" w:sz="8" w:color="0000EE"/>
            </w:tcBorders>
            <w:gridSpan w:val="13"/>
            <w:vMerge w:val="restart"/>
          </w:tcPr>
          <w:p>
            <w:pPr>
              <w:spacing w:after="0" w:line="169" w:lineRule="exact"/>
              <w:rPr>
                <w:rFonts w:ascii="Arial" w:cs="Arial" w:eastAsia="Arial" w:hAnsi="Arial"/>
                <w:sz w:val="16"/>
                <w:szCs w:val="16"/>
                <w:color w:val="auto"/>
              </w:rPr>
            </w:pPr>
            <w:hyperlink r:id="rId223">
              <w:r>
                <w:rPr>
                  <w:rFonts w:ascii="Arial" w:cs="Arial" w:eastAsia="Arial" w:hAnsi="Arial"/>
                  <w:sz w:val="16"/>
                  <w:szCs w:val="16"/>
                  <w:color w:val="auto"/>
                </w:rPr>
                <w:t>Commission on May 23, 2023 (File No. 001-12984) and incorporated herein by reference.</w:t>
              </w:r>
            </w:hyperlink>
          </w:p>
        </w:tc>
        <w:tc>
          <w:tcPr>
            <w:tcW w:w="12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3">
              <w:r>
                <w:rPr>
                  <w:rFonts w:ascii="Arial" w:cs="Arial" w:eastAsia="Arial" w:hAnsi="Arial"/>
                  <w:sz w:val="8"/>
                  <w:szCs w:val="8"/>
                  <w:color w:val="auto"/>
                </w:rPr>
                <w:t>(1)</w:t>
              </w:r>
            </w:hyperlink>
          </w:p>
        </w:tc>
        <w:tc>
          <w:tcPr>
            <w:tcW w:w="2820" w:type="dxa"/>
            <w:vAlign w:val="bottom"/>
            <w:tcBorders>
              <w:top w:val="single" w:sz="8" w:color="0000EE"/>
              <w:bottom w:val="single" w:sz="8" w:color="0000EE"/>
            </w:tcBorders>
            <w:gridSpan w:val="4"/>
            <w:vMerge w:val="restart"/>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6460" w:type="dxa"/>
            <w:vAlign w:val="bottom"/>
            <w:tcBorders>
              <w:bottom w:val="single" w:sz="8" w:color="0000EE"/>
            </w:tcBorders>
            <w:gridSpan w:val="13"/>
            <w:vMerge w:val="continue"/>
          </w:tcPr>
          <w:p>
            <w:pPr>
              <w:spacing w:after="0"/>
              <w:rPr>
                <w:sz w:val="5"/>
                <w:szCs w:val="5"/>
                <w:color w:val="auto"/>
              </w:rPr>
            </w:pPr>
          </w:p>
        </w:tc>
        <w:tc>
          <w:tcPr>
            <w:tcW w:w="120" w:type="dxa"/>
            <w:vAlign w:val="bottom"/>
          </w:tcPr>
          <w:p>
            <w:pPr>
              <w:spacing w:after="0"/>
              <w:rPr>
                <w:sz w:val="5"/>
                <w:szCs w:val="5"/>
                <w:color w:val="auto"/>
              </w:rPr>
            </w:pPr>
          </w:p>
        </w:tc>
        <w:tc>
          <w:tcPr>
            <w:tcW w:w="28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10.17</w:t>
            </w:r>
          </w:p>
        </w:tc>
        <w:tc>
          <w:tcPr>
            <w:tcW w:w="10000" w:type="dxa"/>
            <w:vAlign w:val="bottom"/>
            <w:gridSpan w:val="31"/>
          </w:tcPr>
          <w:p>
            <w:pPr>
              <w:spacing w:after="0"/>
              <w:rPr>
                <w:rFonts w:ascii="Arial" w:cs="Arial" w:eastAsia="Arial" w:hAnsi="Arial"/>
                <w:sz w:val="16"/>
                <w:szCs w:val="16"/>
                <w:color w:val="auto"/>
              </w:rPr>
            </w:pPr>
            <w:hyperlink r:id="rId224">
              <w:r>
                <w:rPr>
                  <w:rFonts w:ascii="Arial" w:cs="Arial" w:eastAsia="Arial" w:hAnsi="Arial"/>
                  <w:sz w:val="16"/>
                  <w:szCs w:val="16"/>
                  <w:color w:val="auto"/>
                </w:rPr>
                <w:t>Change in Control Continuity Agreement, dated as of June 20, 2019, by and between Eagle Materials Inc. and Michael R. Haack, filed as</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4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auto"/>
              </w:rPr>
            </w:pPr>
            <w:hyperlink r:id="rId224">
              <w:r>
                <w:rPr>
                  <w:rFonts w:ascii="Arial" w:cs="Arial" w:eastAsia="Arial" w:hAnsi="Arial"/>
                  <w:sz w:val="16"/>
                  <w:szCs w:val="16"/>
                  <w:color w:val="auto"/>
                </w:rPr>
                <w:t>Exhibit 10.1 to the Current Report on Form 8-K filed with the Commission on June 25, 2019 (File No. 001-12984) and incorporated herein</w:t>
              </w:r>
            </w:hyperlink>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980" w:type="dxa"/>
            <w:vAlign w:val="bottom"/>
            <w:gridSpan w:val="3"/>
            <w:vMerge w:val="restart"/>
          </w:tcPr>
          <w:p>
            <w:pPr>
              <w:spacing w:after="0" w:line="169" w:lineRule="exact"/>
              <w:rPr>
                <w:rFonts w:ascii="Arial" w:cs="Arial" w:eastAsia="Arial" w:hAnsi="Arial"/>
                <w:sz w:val="16"/>
                <w:szCs w:val="16"/>
                <w:color w:val="auto"/>
              </w:rPr>
            </w:pPr>
            <w:hyperlink r:id="rId224">
              <w:r>
                <w:rPr>
                  <w:rFonts w:ascii="Arial" w:cs="Arial" w:eastAsia="Arial" w:hAnsi="Arial"/>
                  <w:sz w:val="16"/>
                  <w:szCs w:val="16"/>
                  <w:color w:val="auto"/>
                </w:rPr>
                <w:t>by 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24">
              <w:r>
                <w:rPr>
                  <w:rFonts w:ascii="Arial" w:cs="Arial" w:eastAsia="Arial" w:hAnsi="Arial"/>
                  <w:sz w:val="8"/>
                  <w:szCs w:val="8"/>
                  <w:color w:val="auto"/>
                </w:rPr>
                <w:t>(1)</w:t>
              </w:r>
            </w:hyperlink>
          </w:p>
        </w:tc>
        <w:tc>
          <w:tcPr>
            <w:tcW w:w="480" w:type="dxa"/>
            <w:vAlign w:val="bottom"/>
            <w:gridSpan w:val="3"/>
            <w:vMerge w:val="restart"/>
          </w:tcPr>
          <w:p>
            <w:pPr>
              <w:spacing w:after="0"/>
              <w:rPr>
                <w:sz w:val="7"/>
                <w:szCs w:val="7"/>
                <w:color w:val="auto"/>
              </w:rPr>
            </w:pPr>
          </w:p>
        </w:tc>
        <w:tc>
          <w:tcPr>
            <w:tcW w:w="960" w:type="dxa"/>
            <w:vAlign w:val="bottom"/>
            <w:gridSpan w:val="3"/>
            <w:vMerge w:val="restart"/>
          </w:tcPr>
          <w:p>
            <w:pPr>
              <w:spacing w:after="0"/>
              <w:rPr>
                <w:sz w:val="7"/>
                <w:szCs w:val="7"/>
                <w:color w:val="auto"/>
              </w:rPr>
            </w:pPr>
          </w:p>
        </w:tc>
        <w:tc>
          <w:tcPr>
            <w:tcW w:w="7300" w:type="dxa"/>
            <w:vAlign w:val="bottom"/>
            <w:gridSpan w:val="15"/>
            <w:vMerge w:val="restart"/>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980" w:type="dxa"/>
            <w:vAlign w:val="bottom"/>
            <w:tcBorders>
              <w:bottom w:val="single" w:sz="8" w:color="0000EE"/>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7300" w:type="dxa"/>
            <w:vAlign w:val="bottom"/>
            <w:gridSpan w:val="15"/>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10.17(a)</w:t>
            </w:r>
          </w:p>
        </w:tc>
        <w:tc>
          <w:tcPr>
            <w:tcW w:w="10000" w:type="dxa"/>
            <w:vAlign w:val="bottom"/>
            <w:gridSpan w:val="31"/>
          </w:tcPr>
          <w:p>
            <w:pPr>
              <w:spacing w:after="0"/>
              <w:rPr>
                <w:rFonts w:ascii="Arial" w:cs="Arial" w:eastAsia="Arial" w:hAnsi="Arial"/>
                <w:sz w:val="16"/>
                <w:szCs w:val="16"/>
                <w:color w:val="auto"/>
              </w:rPr>
            </w:pPr>
            <w:hyperlink r:id="rId225">
              <w:r>
                <w:rPr>
                  <w:rFonts w:ascii="Arial" w:cs="Arial" w:eastAsia="Arial" w:hAnsi="Arial"/>
                  <w:sz w:val="16"/>
                  <w:szCs w:val="16"/>
                  <w:color w:val="auto"/>
                </w:rPr>
                <w:t>Change in Control Continuity Agreement, dated as of June 20, 2019, by and between Eagle Materials Inc. and D. Craig Kesler, filed as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gridSpan w:val="31"/>
          </w:tcPr>
          <w:p>
            <w:pPr>
              <w:spacing w:after="0" w:line="169" w:lineRule="exact"/>
              <w:rPr>
                <w:rFonts w:ascii="Arial" w:cs="Arial" w:eastAsia="Arial" w:hAnsi="Arial"/>
                <w:sz w:val="16"/>
                <w:szCs w:val="16"/>
                <w:color w:val="auto"/>
              </w:rPr>
            </w:pPr>
            <w:hyperlink r:id="rId225">
              <w:r>
                <w:rPr>
                  <w:rFonts w:ascii="Arial" w:cs="Arial" w:eastAsia="Arial" w:hAnsi="Arial"/>
                  <w:sz w:val="16"/>
                  <w:szCs w:val="16"/>
                  <w:color w:val="auto"/>
                </w:rPr>
                <w:t>Exhibit 10.2 to the Current Report on Form 8-K filed with the Commission on June 25, 2019 (File No. 001-12984) and incorporated herein</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9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25">
              <w:r>
                <w:rPr>
                  <w:rFonts w:ascii="Arial" w:cs="Arial" w:eastAsia="Arial" w:hAnsi="Arial"/>
                  <w:sz w:val="16"/>
                  <w:szCs w:val="16"/>
                  <w:color w:val="auto"/>
                </w:rPr>
                <w:t>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5">
              <w:r>
                <w:rPr>
                  <w:rFonts w:ascii="Arial" w:cs="Arial" w:eastAsia="Arial" w:hAnsi="Arial"/>
                  <w:sz w:val="8"/>
                  <w:szCs w:val="8"/>
                  <w:color w:val="auto"/>
                </w:rPr>
                <w:t>(1)</w:t>
              </w:r>
            </w:hyperlink>
          </w:p>
        </w:tc>
        <w:tc>
          <w:tcPr>
            <w:tcW w:w="480" w:type="dxa"/>
            <w:vAlign w:val="bottom"/>
            <w:tcBorders>
              <w:top w:val="single" w:sz="8" w:color="0000EE"/>
              <w:bottom w:val="single" w:sz="8" w:color="0000EE"/>
            </w:tcBorders>
            <w:gridSpan w:val="3"/>
            <w:vMerge w:val="restart"/>
          </w:tcPr>
          <w:p>
            <w:pPr>
              <w:spacing w:after="0"/>
              <w:rPr>
                <w:sz w:val="7"/>
                <w:szCs w:val="7"/>
                <w:color w:val="auto"/>
              </w:rPr>
            </w:pPr>
          </w:p>
        </w:tc>
        <w:tc>
          <w:tcPr>
            <w:tcW w:w="960" w:type="dxa"/>
            <w:vAlign w:val="bottom"/>
            <w:tcBorders>
              <w:top w:val="single" w:sz="8" w:color="0000EE"/>
              <w:bottom w:val="single" w:sz="8" w:color="0000EE"/>
            </w:tcBorders>
            <w:gridSpan w:val="3"/>
            <w:vMerge w:val="restart"/>
          </w:tcPr>
          <w:p>
            <w:pPr>
              <w:spacing w:after="0"/>
              <w:rPr>
                <w:sz w:val="7"/>
                <w:szCs w:val="7"/>
                <w:color w:val="auto"/>
              </w:rPr>
            </w:pPr>
          </w:p>
        </w:tc>
        <w:tc>
          <w:tcPr>
            <w:tcW w:w="7300" w:type="dxa"/>
            <w:vAlign w:val="bottom"/>
            <w:tcBorders>
              <w:top w:val="single" w:sz="8" w:color="0000EE"/>
              <w:bottom w:val="single" w:sz="8" w:color="0000EE"/>
            </w:tcBorders>
            <w:gridSpan w:val="15"/>
            <w:vMerge w:val="restart"/>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980" w:type="dxa"/>
            <w:vAlign w:val="bottom"/>
            <w:tcBorders>
              <w:bottom w:val="single" w:sz="8" w:color="0000EE"/>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7300" w:type="dxa"/>
            <w:vAlign w:val="bottom"/>
            <w:gridSpan w:val="15"/>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10.17(b)</w:t>
            </w:r>
          </w:p>
        </w:tc>
        <w:tc>
          <w:tcPr>
            <w:tcW w:w="10000" w:type="dxa"/>
            <w:vAlign w:val="bottom"/>
            <w:gridSpan w:val="31"/>
          </w:tcPr>
          <w:p>
            <w:pPr>
              <w:spacing w:after="0"/>
              <w:rPr>
                <w:rFonts w:ascii="Arial" w:cs="Arial" w:eastAsia="Arial" w:hAnsi="Arial"/>
                <w:sz w:val="16"/>
                <w:szCs w:val="16"/>
                <w:color w:val="auto"/>
              </w:rPr>
            </w:pPr>
            <w:hyperlink r:id="rId226">
              <w:r>
                <w:rPr>
                  <w:rFonts w:ascii="Arial" w:cs="Arial" w:eastAsia="Arial" w:hAnsi="Arial"/>
                  <w:sz w:val="16"/>
                  <w:szCs w:val="16"/>
                  <w:color w:val="auto"/>
                </w:rPr>
                <w:t>Change in Control Continuity Agreement, dated as of May 31, 2022, by and between Eagle Materials Inc. and Matt Newby, filed as Exhibit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40" w:type="dxa"/>
            <w:vAlign w:val="bottom"/>
            <w:tcBorders>
              <w:top w:val="single" w:sz="8" w:color="0000EE"/>
            </w:tcBorders>
            <w:gridSpan w:val="28"/>
          </w:tcPr>
          <w:p>
            <w:pPr>
              <w:spacing w:after="0" w:line="169" w:lineRule="exact"/>
              <w:rPr>
                <w:rFonts w:ascii="Arial" w:cs="Arial" w:eastAsia="Arial" w:hAnsi="Arial"/>
                <w:sz w:val="16"/>
                <w:szCs w:val="16"/>
                <w:color w:val="auto"/>
              </w:rPr>
            </w:pPr>
            <w:hyperlink r:id="rId226">
              <w:r>
                <w:rPr>
                  <w:rFonts w:ascii="Arial" w:cs="Arial" w:eastAsia="Arial" w:hAnsi="Arial"/>
                  <w:sz w:val="16"/>
                  <w:szCs w:val="16"/>
                  <w:color w:val="auto"/>
                </w:rPr>
                <w:t>10.5 to the Company’s Quarterly Report on Form 10-Q for the quarter ended June 30, 2023, filed with the Commission on July 27,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40" w:type="dxa"/>
            <w:vAlign w:val="bottom"/>
            <w:tcBorders>
              <w:top w:val="single" w:sz="8" w:color="0000EE"/>
            </w:tcBorders>
            <w:gridSpan w:val="22"/>
          </w:tcPr>
          <w:p>
            <w:pPr>
              <w:spacing w:after="0" w:line="169" w:lineRule="exact"/>
              <w:rPr>
                <w:rFonts w:ascii="Arial" w:cs="Arial" w:eastAsia="Arial" w:hAnsi="Arial"/>
                <w:sz w:val="15"/>
                <w:szCs w:val="15"/>
                <w:color w:val="auto"/>
              </w:rPr>
            </w:pPr>
            <w:hyperlink r:id="rId226">
              <w:r>
                <w:rPr>
                  <w:rFonts w:ascii="Arial" w:cs="Arial" w:eastAsia="Arial" w:hAnsi="Arial"/>
                  <w:sz w:val="15"/>
                  <w:szCs w:val="15"/>
                  <w:color w:val="auto"/>
                </w:rPr>
                <w:t xml:space="preserve">(File No. 001-12984) and incorporated 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10.18</w:t>
            </w:r>
          </w:p>
        </w:tc>
        <w:tc>
          <w:tcPr>
            <w:tcW w:w="10000" w:type="dxa"/>
            <w:vAlign w:val="bottom"/>
            <w:gridSpan w:val="31"/>
          </w:tcPr>
          <w:p>
            <w:pPr>
              <w:spacing w:after="0"/>
              <w:rPr>
                <w:rFonts w:ascii="Arial" w:cs="Arial" w:eastAsia="Arial" w:hAnsi="Arial"/>
                <w:sz w:val="16"/>
                <w:szCs w:val="16"/>
                <w:color w:val="auto"/>
              </w:rPr>
            </w:pPr>
            <w:hyperlink r:id="rId227">
              <w:r>
                <w:rPr>
                  <w:rFonts w:ascii="Arial" w:cs="Arial" w:eastAsia="Arial" w:hAnsi="Arial"/>
                  <w:sz w:val="16"/>
                  <w:szCs w:val="16"/>
                  <w:color w:val="auto"/>
                </w:rPr>
                <w:t>Form of Performance Vesting Non-Qualified Stock Option Agreement for Senior Executives, filed as Exhibit 10.8 to the Company’s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gridSpan w:val="31"/>
          </w:tcPr>
          <w:p>
            <w:pPr>
              <w:spacing w:after="0" w:line="169" w:lineRule="exact"/>
              <w:rPr>
                <w:rFonts w:ascii="Arial" w:cs="Arial" w:eastAsia="Arial" w:hAnsi="Arial"/>
                <w:sz w:val="16"/>
                <w:szCs w:val="16"/>
                <w:color w:val="auto"/>
              </w:rPr>
            </w:pPr>
            <w:hyperlink r:id="rId227">
              <w:r>
                <w:rPr>
                  <w:rFonts w:ascii="Arial" w:cs="Arial" w:eastAsia="Arial" w:hAnsi="Arial"/>
                  <w:sz w:val="16"/>
                  <w:szCs w:val="16"/>
                  <w:color w:val="auto"/>
                </w:rPr>
                <w:t>Quarterly Report on Form 10-Q for the quarter ended June 30, 2019, filed with the Commission on July 31, 2019 (File No. 001-12984) and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420" w:type="dxa"/>
            <w:vAlign w:val="bottom"/>
            <w:tcBorders>
              <w:top w:val="single" w:sz="8" w:color="0000EE"/>
              <w:bottom w:val="single" w:sz="8" w:color="0000EE"/>
            </w:tcBorders>
            <w:gridSpan w:val="9"/>
            <w:vMerge w:val="restart"/>
          </w:tcPr>
          <w:p>
            <w:pPr>
              <w:spacing w:after="0" w:line="169" w:lineRule="exact"/>
              <w:rPr>
                <w:rFonts w:ascii="Arial" w:cs="Arial" w:eastAsia="Arial" w:hAnsi="Arial"/>
                <w:sz w:val="16"/>
                <w:szCs w:val="16"/>
                <w:color w:val="auto"/>
              </w:rPr>
            </w:pPr>
            <w:hyperlink r:id="rId227">
              <w:r>
                <w:rPr>
                  <w:rFonts w:ascii="Arial" w:cs="Arial" w:eastAsia="Arial" w:hAnsi="Arial"/>
                  <w:sz w:val="16"/>
                  <w:szCs w:val="16"/>
                  <w:color w:val="auto"/>
                </w:rPr>
                <w:t>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7">
              <w:r>
                <w:rPr>
                  <w:rFonts w:ascii="Arial" w:cs="Arial" w:eastAsia="Arial" w:hAnsi="Arial"/>
                  <w:sz w:val="8"/>
                  <w:szCs w:val="8"/>
                  <w:color w:val="auto"/>
                </w:rPr>
                <w:t>(1)</w:t>
              </w:r>
            </w:hyperlink>
          </w:p>
        </w:tc>
        <w:tc>
          <w:tcPr>
            <w:tcW w:w="7400" w:type="dxa"/>
            <w:vAlign w:val="bottom"/>
            <w:tcBorders>
              <w:top w:val="single" w:sz="8" w:color="0000EE"/>
              <w:bottom w:val="single" w:sz="8" w:color="0000EE"/>
            </w:tcBorders>
            <w:gridSpan w:val="19"/>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420" w:type="dxa"/>
            <w:vAlign w:val="bottom"/>
            <w:tcBorders>
              <w:bottom w:val="single" w:sz="8" w:color="0000EE"/>
            </w:tcBorders>
            <w:gridSpan w:val="9"/>
            <w:vMerge w:val="continue"/>
          </w:tcPr>
          <w:p>
            <w:pPr>
              <w:spacing w:after="0"/>
              <w:rPr>
                <w:sz w:val="5"/>
                <w:szCs w:val="5"/>
                <w:color w:val="auto"/>
              </w:rPr>
            </w:pPr>
          </w:p>
        </w:tc>
        <w:tc>
          <w:tcPr>
            <w:tcW w:w="140" w:type="dxa"/>
            <w:vAlign w:val="bottom"/>
          </w:tcPr>
          <w:p>
            <w:pPr>
              <w:spacing w:after="0"/>
              <w:rPr>
                <w:sz w:val="5"/>
                <w:szCs w:val="5"/>
                <w:color w:val="auto"/>
              </w:rPr>
            </w:pPr>
          </w:p>
        </w:tc>
        <w:tc>
          <w:tcPr>
            <w:tcW w:w="7400" w:type="dxa"/>
            <w:vAlign w:val="bottom"/>
            <w:gridSpan w:val="19"/>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10.18(a)</w:t>
            </w:r>
          </w:p>
        </w:tc>
        <w:tc>
          <w:tcPr>
            <w:tcW w:w="10000" w:type="dxa"/>
            <w:vAlign w:val="bottom"/>
            <w:gridSpan w:val="31"/>
          </w:tcPr>
          <w:p>
            <w:pPr>
              <w:spacing w:after="0"/>
              <w:rPr>
                <w:rFonts w:ascii="Arial" w:cs="Arial" w:eastAsia="Arial" w:hAnsi="Arial"/>
                <w:sz w:val="16"/>
                <w:szCs w:val="16"/>
                <w:color w:val="auto"/>
              </w:rPr>
            </w:pPr>
            <w:hyperlink r:id="rId228">
              <w:r>
                <w:rPr>
                  <w:rFonts w:ascii="Arial" w:cs="Arial" w:eastAsia="Arial" w:hAnsi="Arial"/>
                  <w:sz w:val="16"/>
                  <w:szCs w:val="16"/>
                  <w:color w:val="auto"/>
                </w:rPr>
                <w:t>Form of Time Vesting Non-Qualified Stock Option Agreement for Senior Executives, filed as Exhibit 10.9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28">
              <w:r>
                <w:rPr>
                  <w:rFonts w:ascii="Arial" w:cs="Arial" w:eastAsia="Arial" w:hAnsi="Arial"/>
                  <w:sz w:val="16"/>
                  <w:szCs w:val="16"/>
                  <w:color w:val="auto"/>
                </w:rPr>
                <w:t>on Form 10-Q for the quarter ended June 30, 2019, filed with the Commission on July 31, 2019 (File No. 001-12984) and incorporated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1480" w:type="dxa"/>
            <w:vAlign w:val="bottom"/>
            <w:tcBorders>
              <w:top w:val="single" w:sz="8" w:color="0000EE"/>
              <w:bottom w:val="single" w:sz="8" w:color="0000EE"/>
            </w:tcBorders>
            <w:gridSpan w:val="6"/>
            <w:vMerge w:val="restart"/>
          </w:tcPr>
          <w:p>
            <w:pPr>
              <w:spacing w:after="0" w:line="169" w:lineRule="exact"/>
              <w:rPr>
                <w:rFonts w:ascii="Arial" w:cs="Arial" w:eastAsia="Arial" w:hAnsi="Arial"/>
                <w:sz w:val="16"/>
                <w:szCs w:val="16"/>
                <w:color w:val="auto"/>
              </w:rPr>
            </w:pPr>
            <w:hyperlink r:id="rId228">
              <w:r>
                <w:rPr>
                  <w:rFonts w:ascii="Arial" w:cs="Arial" w:eastAsia="Arial" w:hAnsi="Arial"/>
                  <w:sz w:val="16"/>
                  <w:szCs w:val="16"/>
                  <w:color w:val="auto"/>
                </w:rPr>
                <w:t>herein by reference.</w:t>
              </w:r>
            </w:hyperlink>
          </w:p>
        </w:tc>
        <w:tc>
          <w:tcPr>
            <w:tcW w:w="12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8">
              <w:r>
                <w:rPr>
                  <w:rFonts w:ascii="Arial" w:cs="Arial" w:eastAsia="Arial" w:hAnsi="Arial"/>
                  <w:sz w:val="8"/>
                  <w:szCs w:val="8"/>
                  <w:color w:val="auto"/>
                </w:rPr>
                <w:t>(1)</w:t>
              </w:r>
            </w:hyperlink>
          </w:p>
        </w:tc>
        <w:tc>
          <w:tcPr>
            <w:tcW w:w="8060" w:type="dxa"/>
            <w:vAlign w:val="bottom"/>
            <w:tcBorders>
              <w:top w:val="single" w:sz="8" w:color="0000EE"/>
              <w:bottom w:val="single" w:sz="8" w:color="0000EE"/>
            </w:tcBorders>
            <w:gridSpan w:val="12"/>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14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1480" w:type="dxa"/>
            <w:vAlign w:val="bottom"/>
            <w:tcBorders>
              <w:bottom w:val="single" w:sz="8" w:color="0000EE"/>
            </w:tcBorders>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6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10.19</w:t>
            </w:r>
          </w:p>
        </w:tc>
        <w:tc>
          <w:tcPr>
            <w:tcW w:w="10000" w:type="dxa"/>
            <w:vAlign w:val="bottom"/>
            <w:gridSpan w:val="31"/>
          </w:tcPr>
          <w:p>
            <w:pPr>
              <w:spacing w:after="0"/>
              <w:rPr>
                <w:rFonts w:ascii="Arial" w:cs="Arial" w:eastAsia="Arial" w:hAnsi="Arial"/>
                <w:sz w:val="16"/>
                <w:szCs w:val="16"/>
                <w:color w:val="auto"/>
              </w:rPr>
            </w:pPr>
            <w:hyperlink r:id="rId229">
              <w:r>
                <w:rPr>
                  <w:rFonts w:ascii="Arial" w:cs="Arial" w:eastAsia="Arial" w:hAnsi="Arial"/>
                  <w:sz w:val="16"/>
                  <w:szCs w:val="16"/>
                  <w:color w:val="auto"/>
                </w:rPr>
                <w:t>Form of Performance Vesting Non-Qualified Stock Option Agreement for Senior Executives, filed as Exhibit 10.3 to the Company’s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gridSpan w:val="31"/>
          </w:tcPr>
          <w:p>
            <w:pPr>
              <w:spacing w:after="0" w:line="169" w:lineRule="exact"/>
              <w:rPr>
                <w:rFonts w:ascii="Arial" w:cs="Arial" w:eastAsia="Arial" w:hAnsi="Arial"/>
                <w:sz w:val="16"/>
                <w:szCs w:val="16"/>
                <w:color w:val="auto"/>
              </w:rPr>
            </w:pPr>
            <w:hyperlink r:id="rId229">
              <w:r>
                <w:rPr>
                  <w:rFonts w:ascii="Arial" w:cs="Arial" w:eastAsia="Arial" w:hAnsi="Arial"/>
                  <w:sz w:val="16"/>
                  <w:szCs w:val="16"/>
                  <w:color w:val="auto"/>
                </w:rPr>
                <w:t>Quarterly Report on Form 10-Q for the quarter ended June 30, 2020, filed with the Commission on July 31, 2020 (File No. 001-12984) and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60" w:type="dxa"/>
            <w:vAlign w:val="bottom"/>
            <w:tcBorders>
              <w:top w:val="single" w:sz="8" w:color="0000EE"/>
            </w:tcBorders>
            <w:gridSpan w:val="29"/>
          </w:tcPr>
          <w:p>
            <w:pPr>
              <w:spacing w:after="0" w:line="169" w:lineRule="exact"/>
              <w:rPr>
                <w:rFonts w:ascii="Arial" w:cs="Arial" w:eastAsia="Arial" w:hAnsi="Arial"/>
                <w:sz w:val="15"/>
                <w:szCs w:val="15"/>
                <w:color w:val="auto"/>
              </w:rPr>
            </w:pPr>
            <w:hyperlink r:id="rId229">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10.19(a)</w:t>
            </w:r>
          </w:p>
        </w:tc>
        <w:tc>
          <w:tcPr>
            <w:tcW w:w="10000" w:type="dxa"/>
            <w:vAlign w:val="bottom"/>
            <w:gridSpan w:val="31"/>
          </w:tcPr>
          <w:p>
            <w:pPr>
              <w:spacing w:after="0"/>
              <w:rPr>
                <w:rFonts w:ascii="Arial" w:cs="Arial" w:eastAsia="Arial" w:hAnsi="Arial"/>
                <w:sz w:val="16"/>
                <w:szCs w:val="16"/>
                <w:color w:val="auto"/>
              </w:rPr>
            </w:pPr>
            <w:hyperlink r:id="rId230">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30">
              <w:r>
                <w:rPr>
                  <w:rFonts w:ascii="Arial" w:cs="Arial" w:eastAsia="Arial" w:hAnsi="Arial"/>
                  <w:sz w:val="16"/>
                  <w:szCs w:val="16"/>
                  <w:color w:val="auto"/>
                </w:rPr>
                <w:t>on Form 10-Q for the quarter ended June 30, 2020, filed with the Commission on July 31, 2020 (File No. 001-12984) and incorporated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60" w:type="dxa"/>
            <w:vAlign w:val="bottom"/>
            <w:tcBorders>
              <w:top w:val="single" w:sz="8" w:color="0000EE"/>
            </w:tcBorders>
            <w:gridSpan w:val="19"/>
          </w:tcPr>
          <w:p>
            <w:pPr>
              <w:spacing w:after="0" w:line="169" w:lineRule="exact"/>
              <w:rPr>
                <w:rFonts w:ascii="Arial" w:cs="Arial" w:eastAsia="Arial" w:hAnsi="Arial"/>
                <w:sz w:val="15"/>
                <w:szCs w:val="15"/>
                <w:color w:val="auto"/>
              </w:rPr>
            </w:pPr>
            <w:hyperlink r:id="rId230">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10.20</w:t>
            </w:r>
          </w:p>
        </w:tc>
        <w:tc>
          <w:tcPr>
            <w:tcW w:w="10000" w:type="dxa"/>
            <w:vAlign w:val="bottom"/>
            <w:gridSpan w:val="31"/>
          </w:tcPr>
          <w:p>
            <w:pPr>
              <w:spacing w:after="0"/>
              <w:rPr>
                <w:rFonts w:ascii="Arial" w:cs="Arial" w:eastAsia="Arial" w:hAnsi="Arial"/>
                <w:sz w:val="16"/>
                <w:szCs w:val="16"/>
                <w:color w:val="auto"/>
              </w:rPr>
            </w:pPr>
            <w:hyperlink r:id="rId231">
              <w:r>
                <w:rPr>
                  <w:rFonts w:ascii="Arial" w:cs="Arial" w:eastAsia="Arial" w:hAnsi="Arial"/>
                  <w:sz w:val="16"/>
                  <w:szCs w:val="16"/>
                  <w:color w:val="auto"/>
                </w:rPr>
                <w:t>Amended and Restated Eagle Materials Inc. Employee Severance Plan and Summary Plan Description, filed as Exhibit 10.2 to the</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gridSpan w:val="31"/>
          </w:tcPr>
          <w:p>
            <w:pPr>
              <w:spacing w:after="0" w:line="169" w:lineRule="exact"/>
              <w:rPr>
                <w:rFonts w:ascii="Arial" w:cs="Arial" w:eastAsia="Arial" w:hAnsi="Arial"/>
                <w:sz w:val="16"/>
                <w:szCs w:val="16"/>
                <w:color w:val="auto"/>
              </w:rPr>
            </w:pPr>
            <w:hyperlink r:id="rId231">
              <w:r>
                <w:rPr>
                  <w:rFonts w:ascii="Arial" w:cs="Arial" w:eastAsia="Arial" w:hAnsi="Arial"/>
                  <w:sz w:val="16"/>
                  <w:szCs w:val="16"/>
                  <w:color w:val="auto"/>
                </w:rPr>
                <w:t>Company’s Quarterly Report on Form 10-Q for the quarter ended December 31, 2020, filed with the Commission on January 28, 2021 (File</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80" w:type="dxa"/>
            <w:vAlign w:val="bottom"/>
            <w:tcBorders>
              <w:top w:val="single" w:sz="8" w:color="0000EE"/>
            </w:tcBorders>
            <w:gridSpan w:val="30"/>
          </w:tcPr>
          <w:p>
            <w:pPr>
              <w:spacing w:after="0" w:line="169" w:lineRule="exact"/>
              <w:rPr>
                <w:rFonts w:ascii="Arial" w:cs="Arial" w:eastAsia="Arial" w:hAnsi="Arial"/>
                <w:sz w:val="16"/>
                <w:szCs w:val="16"/>
                <w:color w:val="auto"/>
              </w:rPr>
            </w:pPr>
            <w:hyperlink r:id="rId231">
              <w:r>
                <w:rPr>
                  <w:rFonts w:ascii="Arial" w:cs="Arial" w:eastAsia="Arial" w:hAnsi="Arial"/>
                  <w:sz w:val="16"/>
                  <w:szCs w:val="16"/>
                  <w:color w:val="auto"/>
                </w:rPr>
                <w:t>No. 001-12984) and incorporated herein by reference. (1)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6"/>
                <w:szCs w:val="16"/>
                <w:color w:val="auto"/>
              </w:rPr>
              <w:t>10.21</w:t>
            </w:r>
          </w:p>
        </w:tc>
        <w:tc>
          <w:tcPr>
            <w:tcW w:w="10000" w:type="dxa"/>
            <w:vAlign w:val="bottom"/>
            <w:gridSpan w:val="31"/>
          </w:tcPr>
          <w:p>
            <w:pPr>
              <w:spacing w:after="0"/>
              <w:rPr>
                <w:rFonts w:ascii="Arial" w:cs="Arial" w:eastAsia="Arial" w:hAnsi="Arial"/>
                <w:sz w:val="16"/>
                <w:szCs w:val="16"/>
                <w:color w:val="auto"/>
              </w:rPr>
            </w:pPr>
            <w:hyperlink r:id="rId232">
              <w:r>
                <w:rPr>
                  <w:rFonts w:ascii="Arial" w:cs="Arial" w:eastAsia="Arial" w:hAnsi="Arial"/>
                  <w:sz w:val="16"/>
                  <w:szCs w:val="16"/>
                  <w:color w:val="auto"/>
                </w:rPr>
                <w:t>Form of Performance Vesting Restricted Stock Agreement for Senior Executives, filed as Exhibit 10.3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32">
              <w:r>
                <w:rPr>
                  <w:rFonts w:ascii="Arial" w:cs="Arial" w:eastAsia="Arial" w:hAnsi="Arial"/>
                  <w:sz w:val="16"/>
                  <w:szCs w:val="16"/>
                  <w:color w:val="auto"/>
                </w:rPr>
                <w:t>Form 10-Q for the quarter ended June 30, 2021, filed with the Commission on July 28, 2021 (File No. 001-12984) and incorporated herein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20" w:type="dxa"/>
            <w:vAlign w:val="bottom"/>
            <w:tcBorders>
              <w:top w:val="single" w:sz="8" w:color="0000EE"/>
            </w:tcBorders>
            <w:gridSpan w:val="27"/>
          </w:tcPr>
          <w:p>
            <w:pPr>
              <w:spacing w:after="0" w:line="169" w:lineRule="exact"/>
              <w:rPr>
                <w:rFonts w:ascii="Arial" w:cs="Arial" w:eastAsia="Arial" w:hAnsi="Arial"/>
                <w:sz w:val="15"/>
                <w:szCs w:val="15"/>
                <w:color w:val="auto"/>
              </w:rPr>
            </w:pPr>
            <w:hyperlink r:id="rId232">
              <w:r>
                <w:rPr>
                  <w:rFonts w:ascii="Arial" w:cs="Arial" w:eastAsia="Arial" w:hAnsi="Arial"/>
                  <w:sz w:val="15"/>
                  <w:szCs w:val="15"/>
                  <w:color w:val="auto"/>
                </w:rPr>
                <w:t xml:space="preserve">by reference. </w:t>
              </w:r>
              <w:r>
                <w:rPr>
                  <w:rFonts w:ascii="Arial" w:cs="Arial" w:eastAsia="Arial" w:hAnsi="Arial"/>
                  <w:sz w:val="19"/>
                  <w:szCs w:val="19"/>
                  <w:color w:val="auto"/>
                  <w:vertAlign w:val="superscript"/>
                </w:rPr>
                <w:t>(1)</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10.22</w:t>
            </w:r>
          </w:p>
        </w:tc>
        <w:tc>
          <w:tcPr>
            <w:tcW w:w="10000" w:type="dxa"/>
            <w:vAlign w:val="bottom"/>
            <w:gridSpan w:val="31"/>
          </w:tcPr>
          <w:p>
            <w:pPr>
              <w:spacing w:after="0"/>
              <w:rPr>
                <w:rFonts w:ascii="Arial" w:cs="Arial" w:eastAsia="Arial" w:hAnsi="Arial"/>
                <w:sz w:val="16"/>
                <w:szCs w:val="16"/>
                <w:color w:val="auto"/>
              </w:rPr>
            </w:pPr>
            <w:hyperlink r:id="rId233">
              <w:r>
                <w:rPr>
                  <w:rFonts w:ascii="Arial" w:cs="Arial" w:eastAsia="Arial" w:hAnsi="Arial"/>
                  <w:sz w:val="16"/>
                  <w:szCs w:val="16"/>
                  <w:color w:val="auto"/>
                </w:rPr>
                <w:t>Form of Time Vesting Restricted Stock Agreement for Senior Executives, filed as Exhibit 10.4 to the Company’s Quarterly Report on Form</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0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233">
              <w:r>
                <w:rPr>
                  <w:rFonts w:ascii="Arial" w:cs="Arial" w:eastAsia="Arial" w:hAnsi="Arial"/>
                  <w:sz w:val="16"/>
                  <w:szCs w:val="16"/>
                  <w:color w:val="auto"/>
                </w:rPr>
                <w:t>10-Q for the quarter ended June 30, 2021, filed with the Commission on July 28, 2021 (File No. 001-12984) and incorporated herein by</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80" w:type="dxa"/>
            <w:vAlign w:val="bottom"/>
            <w:tcBorders>
              <w:top w:val="single" w:sz="8" w:color="0000EE"/>
            </w:tcBorders>
            <w:gridSpan w:val="20"/>
          </w:tcPr>
          <w:p>
            <w:pPr>
              <w:spacing w:after="0" w:line="169" w:lineRule="exact"/>
              <w:rPr>
                <w:rFonts w:ascii="Arial" w:cs="Arial" w:eastAsia="Arial" w:hAnsi="Arial"/>
                <w:sz w:val="15"/>
                <w:szCs w:val="15"/>
                <w:color w:val="auto"/>
              </w:rPr>
            </w:pPr>
            <w:hyperlink r:id="rId233">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10.23</w:t>
            </w:r>
          </w:p>
        </w:tc>
        <w:tc>
          <w:tcPr>
            <w:tcW w:w="10000" w:type="dxa"/>
            <w:vAlign w:val="bottom"/>
            <w:gridSpan w:val="31"/>
          </w:tcPr>
          <w:p>
            <w:pPr>
              <w:spacing w:after="0"/>
              <w:rPr>
                <w:rFonts w:ascii="Arial" w:cs="Arial" w:eastAsia="Arial" w:hAnsi="Arial"/>
                <w:sz w:val="16"/>
                <w:szCs w:val="16"/>
                <w:color w:val="auto"/>
              </w:rPr>
            </w:pPr>
            <w:hyperlink r:id="rId234">
              <w:r>
                <w:rPr>
                  <w:rFonts w:ascii="Arial" w:cs="Arial" w:eastAsia="Arial" w:hAnsi="Arial"/>
                  <w:sz w:val="16"/>
                  <w:szCs w:val="16"/>
                  <w:color w:val="auto"/>
                </w:rPr>
                <w:t>Eagle Materials Inc. Director Compensation Summary filed as Exhibit 10.1 to the Company’s Quarterly Report on Form 10-Q for the quarter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5"/>
                <w:szCs w:val="15"/>
                <w:color w:val="auto"/>
              </w:rPr>
            </w:pPr>
            <w:hyperlink r:id="rId234">
              <w:r>
                <w:rPr>
                  <w:rFonts w:ascii="Arial" w:cs="Arial" w:eastAsia="Arial" w:hAnsi="Arial"/>
                  <w:sz w:val="15"/>
                  <w:szCs w:val="15"/>
                  <w:color w:val="auto"/>
                </w:rPr>
                <w:t xml:space="preserve">ended September 30, 2023, filed with the Commission on October 26, 2023 (File No. 001-12984) and incorporated herein by reference. </w:t>
              </w:r>
              <w:r>
                <w:rPr>
                  <w:rFonts w:ascii="Arial" w:cs="Arial" w:eastAsia="Arial" w:hAnsi="Arial"/>
                  <w:sz w:val="19"/>
                  <w:szCs w:val="19"/>
                  <w:color w:val="auto"/>
                  <w:vertAlign w:val="superscript"/>
                </w:rPr>
                <w:t>(1)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10.24</w:t>
            </w:r>
          </w:p>
        </w:tc>
        <w:tc>
          <w:tcPr>
            <w:tcW w:w="10000" w:type="dxa"/>
            <w:vAlign w:val="bottom"/>
            <w:gridSpan w:val="31"/>
          </w:tcPr>
          <w:p>
            <w:pPr>
              <w:spacing w:after="0"/>
              <w:rPr>
                <w:rFonts w:ascii="Arial" w:cs="Arial" w:eastAsia="Arial" w:hAnsi="Arial"/>
                <w:sz w:val="16"/>
                <w:szCs w:val="16"/>
                <w:color w:val="auto"/>
              </w:rPr>
            </w:pPr>
            <w:hyperlink r:id="rId235">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6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235">
              <w:r>
                <w:rPr>
                  <w:rFonts w:ascii="Arial" w:cs="Arial" w:eastAsia="Arial" w:hAnsi="Arial"/>
                  <w:sz w:val="16"/>
                  <w:szCs w:val="16"/>
                  <w:color w:val="auto"/>
                </w:rPr>
                <w:t>Form 10-Q for the quarter ended September 30, 2021, filed with the Commission on October 28, 2021 (File No. 001-12984) and</w:t>
              </w:r>
            </w:hyperlink>
          </w:p>
        </w:tc>
        <w:tc>
          <w:tcPr>
            <w:tcW w:w="2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420" w:type="dxa"/>
            <w:vAlign w:val="bottom"/>
            <w:tcBorders>
              <w:top w:val="single" w:sz="8" w:color="0000EE"/>
              <w:bottom w:val="single" w:sz="8" w:color="0000EE"/>
            </w:tcBorders>
            <w:gridSpan w:val="9"/>
            <w:vMerge w:val="restart"/>
          </w:tcPr>
          <w:p>
            <w:pPr>
              <w:spacing w:after="0" w:line="169" w:lineRule="exact"/>
              <w:rPr>
                <w:rFonts w:ascii="Arial" w:cs="Arial" w:eastAsia="Arial" w:hAnsi="Arial"/>
                <w:sz w:val="16"/>
                <w:szCs w:val="16"/>
                <w:color w:val="auto"/>
              </w:rPr>
            </w:pPr>
            <w:hyperlink r:id="rId235">
              <w:r>
                <w:rPr>
                  <w:rFonts w:ascii="Arial" w:cs="Arial" w:eastAsia="Arial" w:hAnsi="Arial"/>
                  <w:sz w:val="16"/>
                  <w:szCs w:val="16"/>
                  <w:color w:val="auto"/>
                </w:rPr>
                <w:t>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35">
              <w:r>
                <w:rPr>
                  <w:rFonts w:ascii="Arial" w:cs="Arial" w:eastAsia="Arial" w:hAnsi="Arial"/>
                  <w:sz w:val="8"/>
                  <w:szCs w:val="8"/>
                  <w:color w:val="auto"/>
                </w:rPr>
                <w:t>(1)</w:t>
              </w:r>
            </w:hyperlink>
          </w:p>
        </w:tc>
        <w:tc>
          <w:tcPr>
            <w:tcW w:w="6620" w:type="dxa"/>
            <w:vAlign w:val="bottom"/>
            <w:tcBorders>
              <w:top w:val="single" w:sz="8" w:color="0000EE"/>
              <w:bottom w:val="single" w:sz="8" w:color="0000EE"/>
            </w:tcBorders>
            <w:gridSpan w:val="5"/>
            <w:vMerge w:val="restart"/>
          </w:tcPr>
          <w:p>
            <w:pPr>
              <w:spacing w:after="0"/>
              <w:rPr>
                <w:sz w:val="7"/>
                <w:szCs w:val="7"/>
                <w:color w:val="auto"/>
              </w:rPr>
            </w:pPr>
          </w:p>
        </w:tc>
        <w:tc>
          <w:tcPr>
            <w:tcW w:w="820" w:type="dxa"/>
            <w:vAlign w:val="bottom"/>
            <w:gridSpan w:val="16"/>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420" w:type="dxa"/>
            <w:vAlign w:val="bottom"/>
            <w:tcBorders>
              <w:bottom w:val="single" w:sz="8" w:color="0000EE"/>
            </w:tcBorders>
            <w:gridSpan w:val="9"/>
            <w:vMerge w:val="continue"/>
          </w:tcPr>
          <w:p>
            <w:pPr>
              <w:spacing w:after="0"/>
              <w:rPr>
                <w:sz w:val="5"/>
                <w:szCs w:val="5"/>
                <w:color w:val="auto"/>
              </w:rPr>
            </w:pPr>
          </w:p>
        </w:tc>
        <w:tc>
          <w:tcPr>
            <w:tcW w:w="140" w:type="dxa"/>
            <w:vAlign w:val="bottom"/>
          </w:tcPr>
          <w:p>
            <w:pPr>
              <w:spacing w:after="0"/>
              <w:rPr>
                <w:sz w:val="5"/>
                <w:szCs w:val="5"/>
                <w:color w:val="auto"/>
              </w:rPr>
            </w:pPr>
          </w:p>
        </w:tc>
        <w:tc>
          <w:tcPr>
            <w:tcW w:w="662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10.25</w:t>
            </w:r>
          </w:p>
        </w:tc>
        <w:tc>
          <w:tcPr>
            <w:tcW w:w="10000" w:type="dxa"/>
            <w:vAlign w:val="bottom"/>
            <w:gridSpan w:val="31"/>
          </w:tcPr>
          <w:p>
            <w:pPr>
              <w:spacing w:after="0"/>
              <w:rPr>
                <w:rFonts w:ascii="Arial" w:cs="Arial" w:eastAsia="Arial" w:hAnsi="Arial"/>
                <w:sz w:val="16"/>
                <w:szCs w:val="16"/>
                <w:color w:val="auto"/>
              </w:rPr>
            </w:pPr>
            <w:hyperlink r:id="rId236">
              <w:r>
                <w:rPr>
                  <w:rFonts w:ascii="Arial" w:cs="Arial" w:eastAsia="Arial" w:hAnsi="Arial"/>
                  <w:sz w:val="16"/>
                  <w:szCs w:val="16"/>
                  <w:color w:val="auto"/>
                </w:rPr>
                <w:t>Form of Performance Vesting Restricted Stock Agreement for Senior Executives, filed as Exhibit 10.5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36">
              <w:r>
                <w:rPr>
                  <w:rFonts w:ascii="Arial" w:cs="Arial" w:eastAsia="Arial" w:hAnsi="Arial"/>
                  <w:sz w:val="16"/>
                  <w:szCs w:val="16"/>
                  <w:color w:val="auto"/>
                </w:rPr>
                <w:t>Form 10-Q for the quarter ended June 30, 2022, filed with the Commission on July 28, 2022 (File No. 001-12984) and incorporated herein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20" w:type="dxa"/>
            <w:vAlign w:val="bottom"/>
            <w:tcBorders>
              <w:top w:val="single" w:sz="8" w:color="0000EE"/>
            </w:tcBorders>
            <w:gridSpan w:val="27"/>
          </w:tcPr>
          <w:p>
            <w:pPr>
              <w:spacing w:after="0" w:line="169" w:lineRule="exact"/>
              <w:rPr>
                <w:rFonts w:ascii="Arial" w:cs="Arial" w:eastAsia="Arial" w:hAnsi="Arial"/>
                <w:sz w:val="15"/>
                <w:szCs w:val="15"/>
                <w:color w:val="auto"/>
              </w:rPr>
            </w:pPr>
            <w:hyperlink r:id="rId236">
              <w:r>
                <w:rPr>
                  <w:rFonts w:ascii="Arial" w:cs="Arial" w:eastAsia="Arial" w:hAnsi="Arial"/>
                  <w:sz w:val="15"/>
                  <w:szCs w:val="15"/>
                  <w:color w:val="auto"/>
                </w:rPr>
                <w:t xml:space="preserve">by reference. </w:t>
              </w:r>
              <w:r>
                <w:rPr>
                  <w:rFonts w:ascii="Arial" w:cs="Arial" w:eastAsia="Arial" w:hAnsi="Arial"/>
                  <w:sz w:val="19"/>
                  <w:szCs w:val="19"/>
                  <w:color w:val="auto"/>
                  <w:vertAlign w:val="superscript"/>
                </w:rPr>
                <w:t>(1)</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34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6"/>
                <w:szCs w:val="16"/>
                <w:color w:val="auto"/>
              </w:rPr>
              <w:t>10.26</w:t>
            </w:r>
          </w:p>
        </w:tc>
        <w:tc>
          <w:tcPr>
            <w:tcW w:w="10000" w:type="dxa"/>
            <w:vAlign w:val="bottom"/>
            <w:gridSpan w:val="31"/>
          </w:tcPr>
          <w:p>
            <w:pPr>
              <w:spacing w:after="0"/>
              <w:rPr>
                <w:rFonts w:ascii="Arial" w:cs="Arial" w:eastAsia="Arial" w:hAnsi="Arial"/>
                <w:sz w:val="16"/>
                <w:szCs w:val="16"/>
                <w:color w:val="auto"/>
              </w:rPr>
            </w:pPr>
            <w:hyperlink r:id="rId237">
              <w:r>
                <w:rPr>
                  <w:rFonts w:ascii="Arial" w:cs="Arial" w:eastAsia="Arial" w:hAnsi="Arial"/>
                  <w:sz w:val="16"/>
                  <w:szCs w:val="16"/>
                  <w:color w:val="auto"/>
                </w:rPr>
                <w:t>Form of Time Vesting Restricted Stock Agreement for Senior Executives, filed as Exhibit 10.6 to the Company’s Quarterly Report on Form</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0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237">
              <w:r>
                <w:rPr>
                  <w:rFonts w:ascii="Arial" w:cs="Arial" w:eastAsia="Arial" w:hAnsi="Arial"/>
                  <w:sz w:val="16"/>
                  <w:szCs w:val="16"/>
                  <w:color w:val="auto"/>
                </w:rPr>
                <w:t>10-Q for the quarter ended June 30, 2022, filed with the Commission on July 28, 2022 (File No. 001-12984) and incorporated herein by</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80" w:type="dxa"/>
            <w:vAlign w:val="bottom"/>
            <w:tcBorders>
              <w:top w:val="single" w:sz="8" w:color="0000EE"/>
            </w:tcBorders>
            <w:gridSpan w:val="20"/>
          </w:tcPr>
          <w:p>
            <w:pPr>
              <w:spacing w:after="0" w:line="169" w:lineRule="exact"/>
              <w:rPr>
                <w:rFonts w:ascii="Arial" w:cs="Arial" w:eastAsia="Arial" w:hAnsi="Arial"/>
                <w:sz w:val="15"/>
                <w:szCs w:val="15"/>
                <w:color w:val="auto"/>
              </w:rPr>
            </w:pPr>
            <w:hyperlink r:id="rId237">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3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7" w:right="359" w:bottom="1440" w:gutter="0" w:footer="0" w:header="0"/>
        </w:sectPr>
      </w:pPr>
    </w:p>
    <w:bookmarkStart w:id="109" w:name="page110"/>
    <w:bookmarkEnd w:id="109"/>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10.27</w:t>
            </w:r>
          </w:p>
        </w:tc>
        <w:tc>
          <w:tcPr>
            <w:tcW w:w="10020" w:type="dxa"/>
            <w:vAlign w:val="bottom"/>
            <w:gridSpan w:val="24"/>
          </w:tcPr>
          <w:p>
            <w:pPr>
              <w:spacing w:after="0"/>
              <w:rPr>
                <w:rFonts w:ascii="Arial" w:cs="Arial" w:eastAsia="Arial" w:hAnsi="Arial"/>
                <w:sz w:val="16"/>
                <w:szCs w:val="16"/>
                <w:color w:val="auto"/>
              </w:rPr>
            </w:pPr>
            <w:hyperlink r:id="rId239">
              <w:r>
                <w:rPr>
                  <w:rFonts w:ascii="Arial" w:cs="Arial" w:eastAsia="Arial" w:hAnsi="Arial"/>
                  <w:sz w:val="16"/>
                  <w:szCs w:val="16"/>
                  <w:color w:val="auto"/>
                </w:rPr>
                <w:t>Form of Performance Vesting Non-Qualified Stock Option Agreement for Senior Executives, filed as Exhibit 10.7 to the Company’s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0000" w:type="dxa"/>
            <w:vAlign w:val="bottom"/>
            <w:gridSpan w:val="23"/>
          </w:tcPr>
          <w:p>
            <w:pPr>
              <w:spacing w:after="0" w:line="169" w:lineRule="exact"/>
              <w:rPr>
                <w:rFonts w:ascii="Arial" w:cs="Arial" w:eastAsia="Arial" w:hAnsi="Arial"/>
                <w:sz w:val="16"/>
                <w:szCs w:val="16"/>
                <w:color w:val="auto"/>
              </w:rPr>
            </w:pPr>
            <w:hyperlink r:id="rId239">
              <w:r>
                <w:rPr>
                  <w:rFonts w:ascii="Arial" w:cs="Arial" w:eastAsia="Arial" w:hAnsi="Arial"/>
                  <w:sz w:val="16"/>
                  <w:szCs w:val="16"/>
                  <w:color w:val="auto"/>
                </w:rPr>
                <w:t>Quarterly Report on Form 10-Q for the quarter ended June 30, 2022, filed with the Commission on July 28, 2022 (File No. 001-12984) and</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EE"/>
            </w:tcBorders>
            <w:gridSpan w:val="21"/>
          </w:tcPr>
          <w:p>
            <w:pPr>
              <w:spacing w:after="0" w:line="169" w:lineRule="exact"/>
              <w:rPr>
                <w:rFonts w:ascii="Arial" w:cs="Arial" w:eastAsia="Arial" w:hAnsi="Arial"/>
                <w:sz w:val="15"/>
                <w:szCs w:val="15"/>
                <w:color w:val="auto"/>
              </w:rPr>
            </w:pPr>
            <w:hyperlink r:id="rId239">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10.28</w:t>
            </w:r>
          </w:p>
        </w:tc>
        <w:tc>
          <w:tcPr>
            <w:tcW w:w="10020" w:type="dxa"/>
            <w:vAlign w:val="bottom"/>
            <w:gridSpan w:val="24"/>
          </w:tcPr>
          <w:p>
            <w:pPr>
              <w:spacing w:after="0"/>
              <w:rPr>
                <w:rFonts w:ascii="Arial" w:cs="Arial" w:eastAsia="Arial" w:hAnsi="Arial"/>
                <w:sz w:val="16"/>
                <w:szCs w:val="16"/>
                <w:color w:val="auto"/>
              </w:rPr>
            </w:pPr>
            <w:hyperlink r:id="rId240">
              <w:r>
                <w:rPr>
                  <w:rFonts w:ascii="Arial" w:cs="Arial" w:eastAsia="Arial" w:hAnsi="Arial"/>
                  <w:sz w:val="16"/>
                  <w:szCs w:val="16"/>
                  <w:color w:val="auto"/>
                </w:rPr>
                <w:t>Form of Time Vesting Non-Qualified Stock Option Agreement for Senior Executives, filed as Exhibit 10.8 to the Company’s Quarterly Report</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240">
              <w:r>
                <w:rPr>
                  <w:rFonts w:ascii="Arial" w:cs="Arial" w:eastAsia="Arial" w:hAnsi="Arial"/>
                  <w:sz w:val="16"/>
                  <w:szCs w:val="16"/>
                  <w:color w:val="auto"/>
                </w:rPr>
                <w:t>on Form 10-Q for the quarter ended June 30, 2022, filed with the Commission on July 28, 2022 (File No. 001-12984) and incorporated</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EE"/>
            </w:tcBorders>
            <w:gridSpan w:val="13"/>
          </w:tcPr>
          <w:p>
            <w:pPr>
              <w:spacing w:after="0" w:line="169" w:lineRule="exact"/>
              <w:rPr>
                <w:rFonts w:ascii="Arial" w:cs="Arial" w:eastAsia="Arial" w:hAnsi="Arial"/>
                <w:sz w:val="15"/>
                <w:szCs w:val="15"/>
                <w:color w:val="auto"/>
              </w:rPr>
            </w:pPr>
            <w:hyperlink r:id="rId240">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10.30</w:t>
            </w:r>
          </w:p>
        </w:tc>
        <w:tc>
          <w:tcPr>
            <w:tcW w:w="10020" w:type="dxa"/>
            <w:vAlign w:val="bottom"/>
            <w:gridSpan w:val="24"/>
          </w:tcPr>
          <w:p>
            <w:pPr>
              <w:spacing w:after="0"/>
              <w:rPr>
                <w:rFonts w:ascii="Arial" w:cs="Arial" w:eastAsia="Arial" w:hAnsi="Arial"/>
                <w:sz w:val="16"/>
                <w:szCs w:val="16"/>
                <w:color w:val="auto"/>
              </w:rPr>
            </w:pPr>
            <w:hyperlink r:id="rId241">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EE"/>
            </w:tcBorders>
            <w:gridSpan w:val="15"/>
          </w:tcPr>
          <w:p>
            <w:pPr>
              <w:spacing w:after="0" w:line="169" w:lineRule="exact"/>
              <w:rPr>
                <w:rFonts w:ascii="Arial" w:cs="Arial" w:eastAsia="Arial" w:hAnsi="Arial"/>
                <w:sz w:val="16"/>
                <w:szCs w:val="16"/>
                <w:color w:val="auto"/>
              </w:rPr>
            </w:pPr>
            <w:hyperlink r:id="rId241">
              <w:r>
                <w:rPr>
                  <w:rFonts w:ascii="Arial" w:cs="Arial" w:eastAsia="Arial" w:hAnsi="Arial"/>
                  <w:sz w:val="16"/>
                  <w:szCs w:val="16"/>
                  <w:color w:val="auto"/>
                </w:rPr>
                <w:t>Form 10-Q for the quarter ended September 30, 2022, filed with the Commission on October 26, 2022 (File No. 001-12984) and</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EE"/>
            </w:tcBorders>
            <w:gridSpan w:val="10"/>
          </w:tcPr>
          <w:p>
            <w:pPr>
              <w:spacing w:after="0" w:line="169" w:lineRule="exact"/>
              <w:rPr>
                <w:rFonts w:ascii="Arial" w:cs="Arial" w:eastAsia="Arial" w:hAnsi="Arial"/>
                <w:sz w:val="15"/>
                <w:szCs w:val="15"/>
                <w:color w:val="auto"/>
              </w:rPr>
            </w:pPr>
            <w:hyperlink r:id="rId241">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32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10.31</w:t>
            </w:r>
          </w:p>
        </w:tc>
        <w:tc>
          <w:tcPr>
            <w:tcW w:w="10020" w:type="dxa"/>
            <w:vAlign w:val="bottom"/>
            <w:gridSpan w:val="24"/>
          </w:tcPr>
          <w:p>
            <w:pPr>
              <w:spacing w:after="0"/>
              <w:rPr>
                <w:rFonts w:ascii="Arial" w:cs="Arial" w:eastAsia="Arial" w:hAnsi="Arial"/>
                <w:sz w:val="16"/>
                <w:szCs w:val="16"/>
                <w:color w:val="auto"/>
              </w:rPr>
            </w:pPr>
            <w:hyperlink r:id="rId242">
              <w:r>
                <w:rPr>
                  <w:rFonts w:ascii="Arial" w:cs="Arial" w:eastAsia="Arial" w:hAnsi="Arial"/>
                  <w:sz w:val="16"/>
                  <w:szCs w:val="16"/>
                  <w:color w:val="auto"/>
                </w:rPr>
                <w:t>Form of Time Vesting Restricted Stock Agreement for Senior Executives, filed as Exhibit 10.3 to the Company’s Quarterly Report on Form</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42">
              <w:r>
                <w:rPr>
                  <w:rFonts w:ascii="Arial" w:cs="Arial" w:eastAsia="Arial" w:hAnsi="Arial"/>
                  <w:sz w:val="16"/>
                  <w:szCs w:val="16"/>
                  <w:color w:val="auto"/>
                </w:rPr>
                <w:t>10-Q for the quarter ended June 30, 2023, filed with the Commission on July 27, 2023 (File No. 001-12984) and incorporated herein by</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EE"/>
            </w:tcBorders>
            <w:gridSpan w:val="14"/>
          </w:tcPr>
          <w:p>
            <w:pPr>
              <w:spacing w:after="0" w:line="169" w:lineRule="exact"/>
              <w:rPr>
                <w:rFonts w:ascii="Arial" w:cs="Arial" w:eastAsia="Arial" w:hAnsi="Arial"/>
                <w:sz w:val="15"/>
                <w:szCs w:val="15"/>
                <w:color w:val="auto"/>
              </w:rPr>
            </w:pPr>
            <w:hyperlink r:id="rId242">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10.32</w:t>
            </w:r>
          </w:p>
        </w:tc>
        <w:tc>
          <w:tcPr>
            <w:tcW w:w="10020" w:type="dxa"/>
            <w:vAlign w:val="bottom"/>
            <w:gridSpan w:val="24"/>
          </w:tcPr>
          <w:p>
            <w:pPr>
              <w:spacing w:after="0"/>
              <w:rPr>
                <w:rFonts w:ascii="Arial" w:cs="Arial" w:eastAsia="Arial" w:hAnsi="Arial"/>
                <w:sz w:val="16"/>
                <w:szCs w:val="16"/>
                <w:color w:val="auto"/>
              </w:rPr>
            </w:pPr>
            <w:hyperlink r:id="rId243">
              <w:r>
                <w:rPr>
                  <w:rFonts w:ascii="Arial" w:cs="Arial" w:eastAsia="Arial" w:hAnsi="Arial"/>
                  <w:sz w:val="16"/>
                  <w:szCs w:val="16"/>
                  <w:color w:val="auto"/>
                </w:rPr>
                <w:t>Form of Performance Vesting Restricted Stock Agreement, filed as Exhibit 10.4 to the Company’s Quarterly Report on Form 10-Q for the</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EE"/>
            </w:tcBorders>
            <w:gridSpan w:val="18"/>
          </w:tcPr>
          <w:p>
            <w:pPr>
              <w:spacing w:after="0" w:line="169" w:lineRule="exact"/>
              <w:rPr>
                <w:rFonts w:ascii="Arial" w:cs="Arial" w:eastAsia="Arial" w:hAnsi="Arial"/>
                <w:sz w:val="15"/>
                <w:szCs w:val="15"/>
                <w:color w:val="auto"/>
              </w:rPr>
            </w:pPr>
            <w:hyperlink r:id="rId243">
              <w:r>
                <w:rPr>
                  <w:rFonts w:ascii="Arial" w:cs="Arial" w:eastAsia="Arial" w:hAnsi="Arial"/>
                  <w:sz w:val="15"/>
                  <w:szCs w:val="15"/>
                  <w:color w:val="auto"/>
                </w:rPr>
                <w:t xml:space="preserve">quarter ended June 30, 2023, filed with the Commission on July 27, 2023 (File No. 001-12984) and incorporated 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10.33</w:t>
            </w:r>
          </w:p>
        </w:tc>
        <w:tc>
          <w:tcPr>
            <w:tcW w:w="10020" w:type="dxa"/>
            <w:vAlign w:val="bottom"/>
            <w:gridSpan w:val="24"/>
          </w:tcPr>
          <w:p>
            <w:pPr>
              <w:spacing w:after="0"/>
              <w:rPr>
                <w:rFonts w:ascii="Arial" w:cs="Arial" w:eastAsia="Arial" w:hAnsi="Arial"/>
                <w:sz w:val="16"/>
                <w:szCs w:val="16"/>
                <w:color w:val="auto"/>
              </w:rPr>
            </w:pPr>
            <w:hyperlink r:id="rId244">
              <w:r>
                <w:rPr>
                  <w:rFonts w:ascii="Arial" w:cs="Arial" w:eastAsia="Arial" w:hAnsi="Arial"/>
                  <w:sz w:val="16"/>
                  <w:szCs w:val="16"/>
                  <w:color w:val="auto"/>
                </w:rPr>
                <w:t>Form of Director Restricted Stock Agreement for Senior Executives, filed as Exhibit 10.2 to the Company’s Quarterly Report on Form 10-Q</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auto"/>
              </w:rPr>
            </w:pPr>
            <w:hyperlink r:id="rId244">
              <w:r>
                <w:rPr>
                  <w:rFonts w:ascii="Arial" w:cs="Arial" w:eastAsia="Arial" w:hAnsi="Arial"/>
                  <w:sz w:val="16"/>
                  <w:szCs w:val="16"/>
                  <w:color w:val="auto"/>
                </w:rPr>
                <w:t>for the quarter ended September 30, 2023, filed with the Commission on October 26, 2023 (File No. 001-12984) and incorporated herein by</w:t>
              </w:r>
            </w:hyperlink>
          </w:p>
        </w:tc>
        <w:tc>
          <w:tcPr>
            <w:tcW w:w="4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3"/>
          </w:tcPr>
          <w:p>
            <w:pPr>
              <w:spacing w:after="0" w:line="169" w:lineRule="exact"/>
              <w:rPr>
                <w:rFonts w:ascii="Arial" w:cs="Arial" w:eastAsia="Arial" w:hAnsi="Arial"/>
                <w:sz w:val="15"/>
                <w:szCs w:val="15"/>
                <w:color w:val="auto"/>
              </w:rPr>
            </w:pPr>
            <w:hyperlink r:id="rId244">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10.34</w:t>
            </w:r>
          </w:p>
        </w:tc>
        <w:tc>
          <w:tcPr>
            <w:tcW w:w="10020" w:type="dxa"/>
            <w:vAlign w:val="bottom"/>
            <w:gridSpan w:val="24"/>
          </w:tcPr>
          <w:p>
            <w:pPr>
              <w:spacing w:after="0"/>
              <w:rPr>
                <w:rFonts w:ascii="Arial" w:cs="Arial" w:eastAsia="Arial" w:hAnsi="Arial"/>
                <w:sz w:val="16"/>
                <w:szCs w:val="16"/>
                <w:color w:val="auto"/>
              </w:rPr>
            </w:pPr>
            <w:hyperlink r:id="rId245">
              <w:r>
                <w:rPr>
                  <w:rFonts w:ascii="Arial" w:cs="Arial" w:eastAsia="Arial" w:hAnsi="Arial"/>
                  <w:sz w:val="16"/>
                  <w:szCs w:val="16"/>
                  <w:color w:val="auto"/>
                </w:rPr>
                <w:t>Form of Director Stock Option Agreement for Senior Executives, filed as Exhibit 10.3 to the Company’s Quarterly Report on Form 10-Q for</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EE"/>
            </w:tcBorders>
            <w:gridSpan w:val="21"/>
          </w:tcPr>
          <w:p>
            <w:pPr>
              <w:spacing w:after="0" w:line="169" w:lineRule="exact"/>
              <w:rPr>
                <w:rFonts w:ascii="Arial" w:cs="Arial" w:eastAsia="Arial" w:hAnsi="Arial"/>
                <w:sz w:val="16"/>
                <w:szCs w:val="16"/>
                <w:color w:val="auto"/>
              </w:rPr>
            </w:pPr>
            <w:hyperlink r:id="rId245">
              <w:r>
                <w:rPr>
                  <w:rFonts w:ascii="Arial" w:cs="Arial" w:eastAsia="Arial" w:hAnsi="Arial"/>
                  <w:sz w:val="16"/>
                  <w:szCs w:val="16"/>
                  <w:color w:val="auto"/>
                </w:rPr>
                <w:t>the quarter ended September 30, 2023, filed with the Commission on October 26, 2023 (File No. 001-12984) and incorporated herein by</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EE"/>
            </w:tcBorders>
            <w:gridSpan w:val="16"/>
          </w:tcPr>
          <w:p>
            <w:pPr>
              <w:spacing w:after="0" w:line="169" w:lineRule="exact"/>
              <w:rPr>
                <w:rFonts w:ascii="Arial" w:cs="Arial" w:eastAsia="Arial" w:hAnsi="Arial"/>
                <w:sz w:val="15"/>
                <w:szCs w:val="15"/>
                <w:color w:val="auto"/>
              </w:rPr>
            </w:pPr>
            <w:hyperlink r:id="rId245">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19.1*</w:t>
            </w:r>
          </w:p>
        </w:tc>
        <w:tc>
          <w:tcPr>
            <w:tcW w:w="16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auto"/>
                <w:w w:val="99"/>
              </w:rPr>
              <w:t>Insider Trading Policy.</w:t>
            </w:r>
          </w:p>
        </w:tc>
        <w:tc>
          <w:tcPr>
            <w:tcW w:w="84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21*</w:t>
            </w:r>
          </w:p>
        </w:tc>
        <w:tc>
          <w:tcPr>
            <w:tcW w:w="21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404040"/>
              </w:rPr>
              <w:t>Subsidiaries of the Company.</w:t>
            </w:r>
          </w:p>
        </w:tc>
        <w:tc>
          <w:tcPr>
            <w:tcW w:w="79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404040"/>
              </w:rPr>
              <w:t>23.1*</w:t>
            </w:r>
          </w:p>
        </w:tc>
        <w:tc>
          <w:tcPr>
            <w:tcW w:w="584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auto"/>
              </w:rPr>
              <w:t>Consent of Registered Independent Public Accounting Firm – Ernst &amp; Young LLP.</w:t>
            </w:r>
          </w:p>
        </w:tc>
        <w:tc>
          <w:tcPr>
            <w:tcW w:w="41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31.1*</w:t>
            </w:r>
          </w:p>
        </w:tc>
        <w:tc>
          <w:tcPr>
            <w:tcW w:w="10020" w:type="dxa"/>
            <w:vAlign w:val="bottom"/>
            <w:gridSpan w:val="24"/>
          </w:tcPr>
          <w:p>
            <w:pPr>
              <w:spacing w:after="0"/>
              <w:rPr>
                <w:sz w:val="20"/>
                <w:szCs w:val="20"/>
                <w:color w:val="auto"/>
              </w:rPr>
            </w:pPr>
            <w:r>
              <w:rPr>
                <w:rFonts w:ascii="Arial" w:cs="Arial" w:eastAsia="Arial" w:hAnsi="Arial"/>
                <w:sz w:val="16"/>
                <w:szCs w:val="16"/>
                <w:color w:val="auto"/>
              </w:rPr>
              <w:t>Certification of the Chief Executive Officer of Eagle Materials Inc. pursuant to Rules 13a-14 and 15d-14 promulgated under the Securities</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auto"/>
              </w:rPr>
              <w:t>Exchange Act of 1934, as amended.</w:t>
            </w: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31.2*</w:t>
            </w:r>
          </w:p>
        </w:tc>
        <w:tc>
          <w:tcPr>
            <w:tcW w:w="10020" w:type="dxa"/>
            <w:vAlign w:val="bottom"/>
            <w:gridSpan w:val="24"/>
          </w:tcPr>
          <w:p>
            <w:pPr>
              <w:spacing w:after="0"/>
              <w:rPr>
                <w:sz w:val="20"/>
                <w:szCs w:val="20"/>
                <w:color w:val="auto"/>
              </w:rPr>
            </w:pPr>
            <w:r>
              <w:rPr>
                <w:rFonts w:ascii="Arial" w:cs="Arial" w:eastAsia="Arial" w:hAnsi="Arial"/>
                <w:sz w:val="16"/>
                <w:szCs w:val="16"/>
                <w:color w:val="auto"/>
              </w:rPr>
              <w:t>Certification of the Chief Financial Officer of Eagle Materials Inc. pursuant to Rules 13a-14 and 15d-14 promulgated under the Securities</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EE"/>
            </w:tcBorders>
            <w:gridSpan w:val="17"/>
          </w:tcPr>
          <w:p>
            <w:pPr>
              <w:spacing w:after="0" w:line="169" w:lineRule="exact"/>
              <w:rPr>
                <w:sz w:val="20"/>
                <w:szCs w:val="20"/>
                <w:color w:val="auto"/>
              </w:rPr>
            </w:pPr>
            <w:r>
              <w:rPr>
                <w:rFonts w:ascii="Arial" w:cs="Arial" w:eastAsia="Arial" w:hAnsi="Arial"/>
                <w:sz w:val="16"/>
                <w:szCs w:val="16"/>
                <w:color w:val="auto"/>
              </w:rPr>
              <w:t>Exchange Act of 1934, as amended.</w:t>
            </w:r>
          </w:p>
        </w:tc>
        <w:tc>
          <w:tcPr>
            <w:tcW w:w="1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10020" w:type="dxa"/>
            <w:vAlign w:val="bottom"/>
            <w:gridSpan w:val="24"/>
          </w:tcPr>
          <w:p>
            <w:pPr>
              <w:spacing w:after="0"/>
              <w:rPr>
                <w:sz w:val="20"/>
                <w:szCs w:val="20"/>
                <w:color w:val="auto"/>
              </w:rPr>
            </w:pPr>
            <w:r>
              <w:rPr>
                <w:rFonts w:ascii="Arial" w:cs="Arial" w:eastAsia="Arial" w:hAnsi="Arial"/>
                <w:sz w:val="16"/>
                <w:szCs w:val="16"/>
                <w:color w:val="auto"/>
              </w:rPr>
              <w:t>Certification of the Chief Executive Officer of Eagle Materials Inc. pursuant to 18 U.S.C. Section 1350, as adopted pursuant to Section 906</w:t>
            </w: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vMerge w:val="continue"/>
          </w:tcPr>
          <w:p>
            <w:pPr>
              <w:spacing w:after="0"/>
              <w:rPr>
                <w:sz w:val="11"/>
                <w:szCs w:val="11"/>
                <w:color w:val="auto"/>
              </w:rPr>
            </w:pPr>
          </w:p>
        </w:tc>
        <w:tc>
          <w:tcPr>
            <w:tcW w:w="2540" w:type="dxa"/>
            <w:vAlign w:val="bottom"/>
            <w:gridSpan w:val="8"/>
            <w:vMerge w:val="restart"/>
          </w:tcPr>
          <w:p>
            <w:pPr>
              <w:spacing w:after="0" w:line="169" w:lineRule="exact"/>
              <w:rPr>
                <w:sz w:val="20"/>
                <w:szCs w:val="20"/>
                <w:color w:val="auto"/>
              </w:rPr>
            </w:pPr>
            <w:r>
              <w:rPr>
                <w:rFonts w:ascii="Arial" w:cs="Arial" w:eastAsia="Arial" w:hAnsi="Arial"/>
                <w:sz w:val="16"/>
                <w:szCs w:val="16"/>
                <w:color w:val="auto"/>
              </w:rPr>
              <w:t>of the Sarbanes-Oxley Act of 2002.</w:t>
            </w:r>
          </w:p>
        </w:tc>
        <w:tc>
          <w:tcPr>
            <w:tcW w:w="748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180" w:type="dxa"/>
            <w:vAlign w:val="bottom"/>
          </w:tcPr>
          <w:p>
            <w:pPr>
              <w:spacing w:after="0"/>
              <w:rPr>
                <w:sz w:val="3"/>
                <w:szCs w:val="3"/>
                <w:color w:val="auto"/>
              </w:rPr>
            </w:pPr>
          </w:p>
        </w:tc>
        <w:tc>
          <w:tcPr>
            <w:tcW w:w="2540" w:type="dxa"/>
            <w:vAlign w:val="bottom"/>
            <w:tcBorders>
              <w:bottom w:val="single" w:sz="8" w:color="0000EE"/>
            </w:tcBorders>
            <w:gridSpan w:val="8"/>
            <w:vMerge w:val="continue"/>
          </w:tcPr>
          <w:p>
            <w:pPr>
              <w:spacing w:after="0"/>
              <w:rPr>
                <w:sz w:val="3"/>
                <w:szCs w:val="3"/>
                <w:color w:val="auto"/>
              </w:rPr>
            </w:pPr>
          </w:p>
        </w:tc>
        <w:tc>
          <w:tcPr>
            <w:tcW w:w="748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32.2*</w:t>
            </w:r>
          </w:p>
        </w:tc>
        <w:tc>
          <w:tcPr>
            <w:tcW w:w="10020" w:type="dxa"/>
            <w:vAlign w:val="bottom"/>
            <w:gridSpan w:val="24"/>
          </w:tcPr>
          <w:p>
            <w:pPr>
              <w:spacing w:after="0"/>
              <w:rPr>
                <w:sz w:val="20"/>
                <w:szCs w:val="20"/>
                <w:color w:val="auto"/>
              </w:rPr>
            </w:pPr>
            <w:r>
              <w:rPr>
                <w:rFonts w:ascii="Arial" w:cs="Arial" w:eastAsia="Arial" w:hAnsi="Arial"/>
                <w:sz w:val="16"/>
                <w:szCs w:val="16"/>
                <w:color w:val="auto"/>
              </w:rPr>
              <w:t>Certification of the Chief Financial Officer of Eagle Materials Inc. pursuant to 18 U.S.C. Section 1350, as adopted pursuant to Section 906 of</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38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6"/>
                <w:szCs w:val="16"/>
                <w:color w:val="auto"/>
              </w:rPr>
              <w:t>the Sarbanes-Oxley Act of 2002.</w:t>
            </w:r>
          </w:p>
        </w:tc>
        <w:tc>
          <w:tcPr>
            <w:tcW w:w="7620" w:type="dxa"/>
            <w:vAlign w:val="bottom"/>
            <w:tcBorders>
              <w:top w:val="single" w:sz="8" w:color="0000EE"/>
            </w:tcBorders>
            <w:gridSpan w:val="17"/>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95*</w:t>
            </w:r>
          </w:p>
        </w:tc>
        <w:tc>
          <w:tcPr>
            <w:tcW w:w="17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auto"/>
              </w:rPr>
              <w:t>Mine Safety Disclosure.</w:t>
            </w:r>
          </w:p>
        </w:tc>
        <w:tc>
          <w:tcPr>
            <w:tcW w:w="83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6"/>
                <w:szCs w:val="16"/>
                <w:color w:val="auto"/>
              </w:rPr>
              <w:t>97.1*</w:t>
            </w:r>
          </w:p>
        </w:tc>
        <w:tc>
          <w:tcPr>
            <w:tcW w:w="10020" w:type="dxa"/>
            <w:vAlign w:val="bottom"/>
            <w:gridSpan w:val="24"/>
          </w:tcPr>
          <w:p>
            <w:pPr>
              <w:spacing w:after="0"/>
              <w:rPr>
                <w:sz w:val="20"/>
                <w:szCs w:val="20"/>
                <w:color w:val="auto"/>
              </w:rPr>
            </w:pPr>
            <w:r>
              <w:rPr>
                <w:rFonts w:ascii="Arial" w:cs="Arial" w:eastAsia="Arial" w:hAnsi="Arial"/>
                <w:sz w:val="16"/>
                <w:szCs w:val="16"/>
                <w:color w:val="auto"/>
              </w:rPr>
              <w:t>Recoupment Policy.</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6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80" w:type="dxa"/>
            <w:vAlign w:val="bottom"/>
          </w:tcPr>
          <w:p>
            <w:pPr>
              <w:spacing w:after="0"/>
              <w:rPr>
                <w:sz w:val="20"/>
                <w:szCs w:val="20"/>
                <w:color w:val="auto"/>
              </w:rPr>
            </w:pPr>
            <w:r>
              <w:rPr>
                <w:rFonts w:ascii="Arial" w:cs="Arial" w:eastAsia="Arial" w:hAnsi="Arial"/>
                <w:sz w:val="16"/>
                <w:szCs w:val="16"/>
                <w:color w:val="auto"/>
              </w:rPr>
              <w:t>101.INS*</w:t>
            </w:r>
          </w:p>
        </w:tc>
        <w:tc>
          <w:tcPr>
            <w:tcW w:w="10020" w:type="dxa"/>
            <w:vAlign w:val="bottom"/>
            <w:gridSpan w:val="24"/>
          </w:tcPr>
          <w:p>
            <w:pPr>
              <w:spacing w:after="0"/>
              <w:rPr>
                <w:sz w:val="20"/>
                <w:szCs w:val="20"/>
                <w:color w:val="auto"/>
              </w:rPr>
            </w:pPr>
            <w:r>
              <w:rPr>
                <w:rFonts w:ascii="Arial" w:cs="Arial" w:eastAsia="Arial" w:hAnsi="Arial"/>
                <w:sz w:val="16"/>
                <w:szCs w:val="16"/>
                <w:color w:val="auto"/>
              </w:rPr>
              <w:t>Inline XBRL Instance Document – This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10020" w:type="dxa"/>
            <w:vAlign w:val="bottom"/>
            <w:gridSpan w:val="24"/>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2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10" w:name="page111"/>
    <w:bookmarkEnd w:id="110"/>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101.LAB*</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740" w:space="460"/>
            <w:col w:w="8939"/>
          </w:cols>
          <w:pgMar w:left="320" w:top="1440" w:right="1440" w:bottom="1440" w:gutter="0" w:footer="0" w:header="0"/>
        </w:sectPr>
      </w:pPr>
    </w:p>
    <w:p>
      <w:pPr>
        <w:spacing w:after="0" w:line="48" w:lineRule="exact"/>
        <w:rPr>
          <w:sz w:val="20"/>
          <w:szCs w:val="20"/>
          <w:color w:val="auto"/>
        </w:rPr>
      </w:pPr>
    </w:p>
    <w:p>
      <w:pPr>
        <w:ind w:left="1200" w:hanging="1179"/>
        <w:spacing w:after="0"/>
        <w:tabs>
          <w:tab w:leader="none" w:pos="12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in Exhibit 101).</w:t>
      </w:r>
    </w:p>
    <w:p>
      <w:pPr>
        <w:spacing w:after="0" w:line="39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423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220" w:hanging="212"/>
        <w:spacing w:after="0" w:line="229" w:lineRule="auto"/>
        <w:tabs>
          <w:tab w:leader="none" w:pos="22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color w:val="auto"/>
        </w:rPr>
        <w:t>SIGNATURES</w:t>
      </w:r>
    </w:p>
    <w:p>
      <w:pPr>
        <w:spacing w:after="0" w:line="9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140"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Registrant</w:t>
      </w:r>
    </w:p>
    <w:p>
      <w:pPr>
        <w:spacing w:after="0" w:line="364" w:lineRule="exact"/>
        <w:rPr>
          <w:sz w:val="20"/>
          <w:szCs w:val="20"/>
          <w:color w:val="auto"/>
        </w:rPr>
      </w:pPr>
    </w:p>
    <w:p>
      <w:pPr>
        <w:ind w:left="20"/>
        <w:spacing w:after="0"/>
        <w:tabs>
          <w:tab w:leader="none" w:pos="8160" w:val="left"/>
        </w:tabs>
        <w:rPr>
          <w:sz w:val="20"/>
          <w:szCs w:val="20"/>
          <w:color w:val="auto"/>
        </w:rPr>
      </w:pPr>
      <w:r>
        <w:rPr>
          <w:rFonts w:ascii="Arial" w:cs="Arial" w:eastAsia="Arial" w:hAnsi="Arial"/>
          <w:sz w:val="18"/>
          <w:szCs w:val="18"/>
          <w:color w:val="auto"/>
        </w:rPr>
        <w:t>May 22, 2024</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Michael R. Haack,</w:t>
      </w:r>
    </w:p>
    <w:p>
      <w:pPr>
        <w:jc w:val="center"/>
        <w:ind w:left="6720"/>
        <w:spacing w:after="0"/>
        <w:rPr>
          <w:sz w:val="20"/>
          <w:szCs w:val="20"/>
          <w:color w:val="auto"/>
        </w:rPr>
      </w:pPr>
      <w:r>
        <w:rPr>
          <w:rFonts w:ascii="Arial" w:cs="Arial" w:eastAsia="Arial" w:hAnsi="Arial"/>
          <w:sz w:val="18"/>
          <w:szCs w:val="18"/>
          <w:color w:val="auto"/>
        </w:rPr>
        <w:t>President and Chief Executive Officer</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412" w:right="339" w:bottom="1440" w:gutter="0" w:footer="0" w:header="0"/>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2024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17780</wp:posOffset>
            </wp:positionV>
            <wp:extent cx="28460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Michael R. Haack</w:t>
      </w:r>
    </w:p>
    <w:p>
      <w:pPr>
        <w:jc w:val="center"/>
        <w:ind w:right="40"/>
        <w:spacing w:after="0"/>
        <w:rPr>
          <w:sz w:val="20"/>
          <w:szCs w:val="20"/>
          <w:color w:val="auto"/>
        </w:rPr>
      </w:pPr>
      <w:r>
        <w:rPr>
          <w:rFonts w:ascii="Arial" w:cs="Arial" w:eastAsia="Arial" w:hAnsi="Arial"/>
          <w:sz w:val="18"/>
          <w:szCs w:val="18"/>
          <w:color w:val="auto"/>
        </w:rPr>
        <w:t>President and Chief Executive Officer</w:t>
      </w:r>
    </w:p>
    <w:p>
      <w:pPr>
        <w:jc w:val="center"/>
        <w:ind w:right="40"/>
        <w:spacing w:after="0"/>
        <w:rPr>
          <w:sz w:val="20"/>
          <w:szCs w:val="20"/>
          <w:color w:val="auto"/>
        </w:rPr>
      </w:pPr>
      <w:r>
        <w:rPr>
          <w:rFonts w:ascii="Arial" w:cs="Arial" w:eastAsia="Arial" w:hAnsi="Arial"/>
          <w:sz w:val="18"/>
          <w:szCs w:val="18"/>
          <w:color w:val="auto"/>
        </w:rPr>
        <w:t>(principal executive officer)</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17780</wp:posOffset>
            </wp:positionV>
            <wp:extent cx="28460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 Craig Kesler</w:t>
      </w:r>
    </w:p>
    <w:p>
      <w:pPr>
        <w:spacing w:after="0" w:line="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Executive Vice President – Finance and Administration</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and Chief Financial Officer (principal financial officer)</w:t>
      </w:r>
    </w:p>
    <w:p>
      <w:pPr>
        <w:spacing w:after="0" w:line="24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17780</wp:posOffset>
            </wp:positionV>
            <wp:extent cx="28460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William R. Devlin</w:t>
      </w:r>
    </w:p>
    <w:p>
      <w:pPr>
        <w:jc w:val="center"/>
        <w:ind w:right="40"/>
        <w:spacing w:after="0"/>
        <w:rPr>
          <w:sz w:val="20"/>
          <w:szCs w:val="20"/>
          <w:color w:val="auto"/>
        </w:rPr>
      </w:pPr>
      <w:r>
        <w:rPr>
          <w:rFonts w:ascii="Arial" w:cs="Arial" w:eastAsia="Arial" w:hAnsi="Arial"/>
          <w:sz w:val="18"/>
          <w:szCs w:val="18"/>
          <w:color w:val="auto"/>
        </w:rPr>
        <w:t>Senior Vice President – Controller and</w:t>
      </w:r>
    </w:p>
    <w:p>
      <w:pPr>
        <w:jc w:val="center"/>
        <w:ind w:right="40"/>
        <w:spacing w:after="0" w:line="234"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6080" w:space="720"/>
            <w:col w:w="4440"/>
          </w:cols>
          <w:pgMar w:left="320" w:top="1412" w:right="339" w:bottom="1440" w:gutter="0" w:footer="0" w:header="0"/>
          <w:type w:val="continuous"/>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00" w:type="dxa"/>
            <w:vAlign w:val="bottom"/>
          </w:tcPr>
          <w:p>
            <w:pPr>
              <w:ind w:left="20"/>
              <w:spacing w:after="0"/>
              <w:rPr>
                <w:sz w:val="20"/>
                <w:szCs w:val="20"/>
                <w:color w:val="auto"/>
              </w:rPr>
            </w:pPr>
            <w:r>
              <w:rPr>
                <w:rFonts w:ascii="Arial" w:cs="Arial" w:eastAsia="Arial" w:hAnsi="Arial"/>
                <w:sz w:val="18"/>
                <w:szCs w:val="18"/>
                <w:color w:val="auto"/>
              </w:rPr>
              <w:t>May 22, 2024</w:t>
            </w:r>
          </w:p>
        </w:tc>
        <w:tc>
          <w:tcPr>
            <w:tcW w:w="34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Richard Beckwitt</w:t>
            </w:r>
          </w:p>
        </w:tc>
      </w:tr>
      <w:tr>
        <w:trPr>
          <w:trHeight w:val="232"/>
        </w:trPr>
        <w:tc>
          <w:tcPr>
            <w:tcW w:w="3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Richard Beckwitt, Director</w:t>
            </w:r>
          </w:p>
        </w:tc>
      </w:tr>
      <w:tr>
        <w:trPr>
          <w:trHeight w:val="652"/>
        </w:trPr>
        <w:tc>
          <w:tcPr>
            <w:tcW w:w="3300" w:type="dxa"/>
            <w:vAlign w:val="bottom"/>
          </w:tcPr>
          <w:p>
            <w:pPr>
              <w:ind w:left="20"/>
              <w:spacing w:after="0"/>
              <w:rPr>
                <w:sz w:val="20"/>
                <w:szCs w:val="20"/>
                <w:color w:val="auto"/>
              </w:rPr>
            </w:pPr>
            <w:r>
              <w:rPr>
                <w:rFonts w:ascii="Arial" w:cs="Arial" w:eastAsia="Arial" w:hAnsi="Arial"/>
                <w:sz w:val="18"/>
                <w:szCs w:val="18"/>
                <w:color w:val="auto"/>
              </w:rPr>
              <w:t>May 22, 2024</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Margot L. Carter</w:t>
            </w:r>
          </w:p>
        </w:tc>
      </w:tr>
      <w:tr>
        <w:trPr>
          <w:trHeight w:val="232"/>
        </w:trPr>
        <w:tc>
          <w:tcPr>
            <w:tcW w:w="3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Margot L. Carter, Director</w:t>
            </w:r>
          </w:p>
        </w:tc>
      </w:tr>
      <w:tr>
        <w:trPr>
          <w:trHeight w:val="396"/>
        </w:trPr>
        <w:tc>
          <w:tcPr>
            <w:tcW w:w="3300" w:type="dxa"/>
            <w:vAlign w:val="bottom"/>
          </w:tcPr>
          <w:p>
            <w:pPr>
              <w:ind w:left="20"/>
              <w:spacing w:after="0"/>
              <w:rPr>
                <w:sz w:val="20"/>
                <w:szCs w:val="20"/>
                <w:color w:val="auto"/>
              </w:rPr>
            </w:pPr>
            <w:r>
              <w:rPr>
                <w:rFonts w:ascii="Arial" w:cs="Arial" w:eastAsia="Arial" w:hAnsi="Arial"/>
                <w:sz w:val="18"/>
                <w:szCs w:val="18"/>
                <w:color w:val="auto"/>
              </w:rPr>
              <w:t>May 22, 2024</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George J. Damiris</w:t>
            </w:r>
          </w:p>
        </w:tc>
      </w:tr>
      <w:tr>
        <w:trPr>
          <w:trHeight w:val="232"/>
        </w:trPr>
        <w:tc>
          <w:tcPr>
            <w:tcW w:w="3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George J. Damiris, Director</w:t>
            </w:r>
          </w:p>
        </w:tc>
      </w:tr>
      <w:tr>
        <w:trPr>
          <w:trHeight w:val="666"/>
        </w:trPr>
        <w:tc>
          <w:tcPr>
            <w:tcW w:w="3300" w:type="dxa"/>
            <w:vAlign w:val="bottom"/>
          </w:tcPr>
          <w:p>
            <w:pPr>
              <w:ind w:left="20"/>
              <w:spacing w:after="0"/>
              <w:rPr>
                <w:sz w:val="20"/>
                <w:szCs w:val="20"/>
                <w:color w:val="auto"/>
              </w:rPr>
            </w:pPr>
            <w:r>
              <w:rPr>
                <w:rFonts w:ascii="Arial" w:cs="Arial" w:eastAsia="Arial" w:hAnsi="Arial"/>
                <w:sz w:val="18"/>
                <w:szCs w:val="18"/>
                <w:color w:val="auto"/>
              </w:rPr>
              <w:t>May 22, 2024</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Martin M. Ellen</w:t>
            </w:r>
          </w:p>
        </w:tc>
      </w:tr>
      <w:tr>
        <w:trPr>
          <w:trHeight w:val="232"/>
        </w:trPr>
        <w:tc>
          <w:tcPr>
            <w:tcW w:w="3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Martin M. Ellen, Director</w:t>
            </w:r>
          </w:p>
        </w:tc>
      </w:tr>
      <w:tr>
        <w:trPr>
          <w:trHeight w:val="450"/>
        </w:trPr>
        <w:tc>
          <w:tcPr>
            <w:tcW w:w="3300" w:type="dxa"/>
            <w:vAlign w:val="bottom"/>
          </w:tcPr>
          <w:p>
            <w:pPr>
              <w:ind w:left="20"/>
              <w:spacing w:after="0"/>
              <w:rPr>
                <w:sz w:val="20"/>
                <w:szCs w:val="20"/>
                <w:color w:val="auto"/>
              </w:rPr>
            </w:pPr>
            <w:r>
              <w:rPr>
                <w:rFonts w:ascii="Arial" w:cs="Arial" w:eastAsia="Arial" w:hAnsi="Arial"/>
                <w:sz w:val="18"/>
                <w:szCs w:val="18"/>
                <w:color w:val="auto"/>
              </w:rPr>
              <w:t>May 22, 2024</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Mauro Gregorio</w:t>
            </w:r>
          </w:p>
        </w:tc>
      </w:tr>
      <w:tr>
        <w:trPr>
          <w:trHeight w:val="232"/>
        </w:trPr>
        <w:tc>
          <w:tcPr>
            <w:tcW w:w="3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Mauro Gregorio, Director</w:t>
            </w:r>
          </w:p>
        </w:tc>
      </w:tr>
      <w:tr>
        <w:trPr>
          <w:trHeight w:val="899"/>
        </w:trPr>
        <w:tc>
          <w:tcPr>
            <w:tcW w:w="3300" w:type="dxa"/>
            <w:vAlign w:val="bottom"/>
          </w:tcPr>
          <w:p>
            <w:pPr>
              <w:spacing w:after="0"/>
              <w:rPr>
                <w:sz w:val="24"/>
                <w:szCs w:val="24"/>
                <w:color w:val="auto"/>
              </w:rPr>
            </w:pPr>
          </w:p>
        </w:tc>
        <w:tc>
          <w:tcPr>
            <w:tcW w:w="3460" w:type="dxa"/>
            <w:vAlign w:val="bottom"/>
          </w:tcPr>
          <w:p>
            <w:pPr>
              <w:jc w:val="right"/>
              <w:ind w:right="910"/>
              <w:spacing w:after="0"/>
              <w:rPr>
                <w:sz w:val="20"/>
                <w:szCs w:val="20"/>
                <w:color w:val="auto"/>
              </w:rPr>
            </w:pPr>
            <w:r>
              <w:rPr>
                <w:rFonts w:ascii="Arial" w:cs="Arial" w:eastAsia="Arial" w:hAnsi="Arial"/>
                <w:sz w:val="18"/>
                <w:szCs w:val="18"/>
                <w:color w:val="auto"/>
              </w:rPr>
              <w:t>110</w:t>
            </w:r>
          </w:p>
        </w:tc>
        <w:tc>
          <w:tcPr>
            <w:tcW w:w="4480" w:type="dxa"/>
            <w:vAlign w:val="bottom"/>
          </w:tcPr>
          <w:p>
            <w:pPr>
              <w:spacing w:after="0"/>
              <w:rPr>
                <w:sz w:val="24"/>
                <w:szCs w:val="24"/>
                <w:color w:val="auto"/>
              </w:rPr>
            </w:pPr>
          </w:p>
        </w:tc>
      </w:tr>
      <w:tr>
        <w:trPr>
          <w:trHeight w:val="746"/>
        </w:trPr>
        <w:tc>
          <w:tcPr>
            <w:tcW w:w="33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12" w:name="page113"/>
    <w:bookmarkEnd w:id="112"/>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May 22,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May 22,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May 22,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May 22, 2024</w:t>
      </w:r>
    </w:p>
    <w:p>
      <w:pPr>
        <w:spacing w:after="0" w:line="20" w:lineRule="exact"/>
        <w:rPr>
          <w:sz w:val="20"/>
          <w:szCs w:val="20"/>
          <w:color w:val="auto"/>
        </w:rPr>
      </w:pPr>
      <w:r>
        <w:rPr>
          <w:sz w:val="20"/>
          <w:szCs w:val="20"/>
          <w:color w:val="auto"/>
        </w:rPr>
        <w:br w:type="column"/>
      </w:r>
    </w:p>
    <w:p>
      <w:pPr>
        <w:jc w:val="center"/>
        <w:ind w:left="-939"/>
        <w:spacing w:after="0"/>
        <w:rPr>
          <w:sz w:val="20"/>
          <w:szCs w:val="20"/>
          <w:color w:val="auto"/>
        </w:rPr>
      </w:pPr>
      <w:r>
        <w:rPr>
          <w:rFonts w:ascii="Arial" w:cs="Arial" w:eastAsia="Arial" w:hAnsi="Arial"/>
          <w:sz w:val="18"/>
          <w:szCs w:val="18"/>
          <w:color w:val="auto"/>
        </w:rPr>
        <w:t>/s/ Michael R. Nicolais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17780</wp:posOffset>
            </wp:positionV>
            <wp:extent cx="28460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Michael R. Nicolais, Director</w:t>
      </w:r>
    </w:p>
    <w:p>
      <w:pPr>
        <w:spacing w:after="0" w:line="256"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David B.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17780</wp:posOffset>
            </wp:positionV>
            <wp:extent cx="28460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David B. Powers, Director</w:t>
      </w:r>
    </w:p>
    <w:p>
      <w:pPr>
        <w:spacing w:after="0" w:line="256"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Mary P. Ricciardello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17780</wp:posOffset>
            </wp:positionV>
            <wp:extent cx="28460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939"/>
        <w:spacing w:after="0"/>
        <w:rPr>
          <w:sz w:val="20"/>
          <w:szCs w:val="20"/>
          <w:color w:val="auto"/>
        </w:rPr>
      </w:pPr>
      <w:r>
        <w:rPr>
          <w:rFonts w:ascii="Arial" w:cs="Arial" w:eastAsia="Arial" w:hAnsi="Arial"/>
          <w:sz w:val="17"/>
          <w:szCs w:val="17"/>
          <w:color w:val="auto"/>
        </w:rPr>
        <w:t>Mary P. Ricciardello, Director</w:t>
      </w:r>
    </w:p>
    <w:p>
      <w:pPr>
        <w:spacing w:after="0" w:line="268"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Richard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17780</wp:posOffset>
            </wp:positionV>
            <wp:extent cx="28460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Richard R. Stewart,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490855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40" w:space="720"/>
            <w:col w:w="4680"/>
          </w:cols>
          <w:pgMar w:left="340" w:top="1417" w:right="14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POLICIES &amp; PROCEDURES MANUAL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1654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7157720" cy="165417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2880" w:type="dxa"/>
            <w:vAlign w:val="bottom"/>
            <w:tcBorders>
              <w:top w:val="single" w:sz="8" w:color="auto"/>
              <w:bottom w:val="single" w:sz="8" w:color="auto"/>
            </w:tcBorders>
          </w:tcPr>
          <w:p>
            <w:pPr>
              <w:spacing w:after="0"/>
              <w:rPr>
                <w:sz w:val="3"/>
                <w:szCs w:val="3"/>
                <w:color w:val="auto"/>
              </w:rPr>
            </w:pPr>
          </w:p>
        </w:tc>
        <w:tc>
          <w:tcPr>
            <w:tcW w:w="4760" w:type="dxa"/>
            <w:vAlign w:val="bottom"/>
            <w:tcBorders>
              <w:top w:val="single" w:sz="8" w:color="auto"/>
              <w:bottom w:val="single" w:sz="8" w:color="auto"/>
            </w:tcBorders>
          </w:tcPr>
          <w:p>
            <w:pPr>
              <w:spacing w:after="0"/>
              <w:rPr>
                <w:sz w:val="3"/>
                <w:szCs w:val="3"/>
                <w:color w:val="auto"/>
              </w:rPr>
            </w:pPr>
          </w:p>
        </w:tc>
        <w:tc>
          <w:tcPr>
            <w:tcW w:w="35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POLICY #:</w:t>
            </w:r>
          </w:p>
        </w:tc>
        <w:tc>
          <w:tcPr>
            <w:tcW w:w="476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SCOPE:</w:t>
            </w:r>
          </w:p>
        </w:tc>
        <w:tc>
          <w:tcPr>
            <w:tcW w:w="3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SUPERSEDES:</w:t>
            </w:r>
          </w:p>
        </w:tc>
        <w:tc>
          <w:tcPr>
            <w:tcW w:w="0" w:type="dxa"/>
            <w:vAlign w:val="bottom"/>
          </w:tcPr>
          <w:p>
            <w:pPr>
              <w:spacing w:after="0"/>
              <w:rPr>
                <w:sz w:val="1"/>
                <w:szCs w:val="1"/>
                <w:color w:val="auto"/>
              </w:rPr>
            </w:pPr>
          </w:p>
        </w:tc>
      </w:tr>
      <w:tr>
        <w:trPr>
          <w:trHeight w:val="282"/>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COR-04</w:t>
            </w:r>
          </w:p>
        </w:tc>
        <w:tc>
          <w:tcPr>
            <w:tcW w:w="47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See “Persons Subject to the Policy” below</w:t>
            </w:r>
          </w:p>
        </w:tc>
        <w:tc>
          <w:tcPr>
            <w:tcW w:w="3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August 5, 2022</w:t>
            </w: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28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5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APPROVED:</w:t>
            </w:r>
          </w:p>
        </w:tc>
        <w:tc>
          <w:tcPr>
            <w:tcW w:w="476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SUBJECT:</w:t>
            </w:r>
          </w:p>
        </w:tc>
        <w:tc>
          <w:tcPr>
            <w:tcW w:w="3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EFFECTIVE DATE:</w:t>
            </w:r>
          </w:p>
        </w:tc>
        <w:tc>
          <w:tcPr>
            <w:tcW w:w="0" w:type="dxa"/>
            <w:vAlign w:val="bottom"/>
          </w:tcPr>
          <w:p>
            <w:pPr>
              <w:spacing w:after="0"/>
              <w:rPr>
                <w:sz w:val="1"/>
                <w:szCs w:val="1"/>
                <w:color w:val="auto"/>
              </w:rPr>
            </w:pPr>
          </w:p>
        </w:tc>
      </w:tr>
      <w:tr>
        <w:trPr>
          <w:trHeight w:val="312"/>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spacing w:after="0"/>
              <w:rPr>
                <w:sz w:val="24"/>
                <w:szCs w:val="24"/>
                <w:color w:val="auto"/>
              </w:rPr>
            </w:pPr>
          </w:p>
        </w:tc>
        <w:tc>
          <w:tcPr>
            <w:tcW w:w="47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Insider Trading; Pre-Clearance and Blackout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November 1, 2023</w:t>
            </w:r>
          </w:p>
        </w:tc>
        <w:tc>
          <w:tcPr>
            <w:tcW w:w="0" w:type="dxa"/>
            <w:vAlign w:val="bottom"/>
          </w:tcPr>
          <w:p>
            <w:pPr>
              <w:spacing w:after="0"/>
              <w:rPr>
                <w:sz w:val="1"/>
                <w:szCs w:val="1"/>
                <w:color w:val="auto"/>
              </w:rPr>
            </w:pPr>
          </w:p>
        </w:tc>
      </w:tr>
      <w:tr>
        <w:trPr>
          <w:trHeight w:val="282"/>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spacing w:after="0"/>
              <w:rPr>
                <w:sz w:val="24"/>
                <w:szCs w:val="24"/>
                <w:color w:val="auto"/>
              </w:rPr>
            </w:pPr>
          </w:p>
        </w:tc>
        <w:tc>
          <w:tcPr>
            <w:tcW w:w="47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Procedures</w:t>
            </w:r>
          </w:p>
        </w:tc>
        <w:tc>
          <w:tcPr>
            <w:tcW w:w="3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(Date of Board Approval)</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28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PURPOSE</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Maintaining the confidence of stockholders and the public markets is important. This Insider Trading Policy provides guidelines with respect to transactions in the securities of Eagle Materials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handling of confidential information about the Company and the companies with which we engage in transactions or have a business relationship. The Company’s Board of Directors has adopted this policy to promote compliance with U.S. federal, state and foreign securities laws that prohibit certain persons who are aware of material nonpublic information about a company from: (i) engaging in transactions in the securities of that company; or (ii) providing material nonpublic information to other persons who may trade on the basis of that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PERSONS SUBJECT TO THE POLICY</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policy applies to all employees, independent contractors and consultants of the Company and its subsidiaries and all members of the Company’s Board of Directors (collectively referred to as “</w:t>
      </w:r>
      <w:r>
        <w:rPr>
          <w:rFonts w:ascii="Times New Roman" w:cs="Times New Roman" w:eastAsia="Times New Roman" w:hAnsi="Times New Roman"/>
          <w:sz w:val="22"/>
          <w:szCs w:val="22"/>
          <w:u w:val="single" w:color="auto"/>
          <w:color w:val="auto"/>
        </w:rPr>
        <w:t>Company Persons</w:t>
      </w:r>
      <w:r>
        <w:rPr>
          <w:rFonts w:ascii="Times New Roman" w:cs="Times New Roman" w:eastAsia="Times New Roman" w:hAnsi="Times New Roman"/>
          <w:sz w:val="22"/>
          <w:szCs w:val="22"/>
          <w:color w:val="auto"/>
        </w:rPr>
        <w:t>”). This policy also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account.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22"/>
          <w:szCs w:val="22"/>
          <w:u w:val="single" w:color="auto"/>
          <w:color w:val="auto"/>
        </w:rPr>
        <w:t>Controlled Entities</w:t>
      </w:r>
      <w:r>
        <w:rPr>
          <w:rFonts w:ascii="Times New Roman" w:cs="Times New Roman" w:eastAsia="Times New Roman" w:hAnsi="Times New Roman"/>
          <w:sz w:val="22"/>
          <w:szCs w:val="22"/>
          <w:color w:val="auto"/>
        </w:rPr>
        <w:t>,” and together with Company Persons and Family Members,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and transactions by these Controlled Entities should be treated for the purposes of this policy and applicable securities laws as if they were for your own account. Each Company Person is responsible for making sure that he or she complies with this policy and that any Family Member and Controlled Entities also complies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COR-04-2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TRANSACTIONS SUBJECT TO THE POLICY</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applies to transactions in the Company’s securities (collectively referred to in this policy as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including the Company’s common stock, options to purchase common stock, or any other type of securities that the Company may issue, including, but not limited to, bonds, preferred stock, convertible debentures and warrants, as well as derivative securities that are not issued by the Company, such as exchange-traded put or call options or swaps relating to Company Securities. Transactions subject to this policy include purchases, sales and bona fide gifts of Company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INDIVIDUAL RESPONSIBILITY</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Covered Persons have ethical and legal obligations to maintain the confidentiality of information about the Company and to not engage in transactions in Company Securities while in possession of material nonpublic information. Covered Persons must not engage in illegal trading and even the appearance of an improper transaction must be avoided to preserve the Company’s reputation for integrity and ethical conduct. In all cases, the responsibility for determining whether an individual is in possession of material nonpublic information rests with that individual, and any action on the part of the Company, the Compliance Officer (as defined below) or any other employee or director pursuant to this policy (or otherwise) does not in any way constitute legal advice or insulate an individual from liability under applicable laws. In addition to criminal and civil penalties and damage to reputation, violation of this policy may result in termination of employment.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ADMINISTRATION OF THE POLICY</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Company’s General Counsel shall serve as the Compliance Officer for the purposes of this policy, and in his or her absence or unavailability, another attorney in the Company’s legal department or another employee designated by the Compliance Officer shall be responsible for administration of this policy. All determinations and interpretations by the Compliance Officer shall be final and not subject to further review.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STATEMENT OF POLICY</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It is the policy of the Company that no Covered Person who is aware of material nonpublic information relating to the Company may, directly or indirectly through Family Members or Controlled Entities:</w:t>
      </w:r>
    </w:p>
    <w:p>
      <w:pPr>
        <w:spacing w:after="0" w:line="158" w:lineRule="exact"/>
        <w:rPr>
          <w:sz w:val="20"/>
          <w:szCs w:val="20"/>
          <w:color w:val="auto"/>
        </w:rPr>
      </w:pPr>
    </w:p>
    <w:p>
      <w:pPr>
        <w:ind w:left="1140" w:right="40" w:hanging="383"/>
        <w:spacing w:after="0" w:line="258" w:lineRule="auto"/>
        <w:tabs>
          <w:tab w:leader="none" w:pos="119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Company Securities, except as otherwise specified in this policy under the headings “Transactions Under Company Plans” and “Rule 10b5-1 Plans;”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that others engage in transactions in any Company Securities;</w:t>
      </w:r>
    </w:p>
    <w:p>
      <w:pPr>
        <w:spacing w:after="0" w:line="206" w:lineRule="exact"/>
        <w:rPr>
          <w:rFonts w:ascii="Times New Roman" w:cs="Times New Roman" w:eastAsia="Times New Roman" w:hAnsi="Times New Roman"/>
          <w:sz w:val="22"/>
          <w:szCs w:val="22"/>
          <w:color w:val="auto"/>
        </w:rPr>
      </w:pPr>
    </w:p>
    <w:p>
      <w:pPr>
        <w:jc w:val="both"/>
        <w:ind w:left="1140" w:hanging="383"/>
        <w:spacing w:after="0" w:line="238" w:lineRule="auto"/>
        <w:tabs>
          <w:tab w:leader="none" w:pos="119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COR-04-3</w:t>
      </w:r>
    </w:p>
    <w:p>
      <w:pPr>
        <w:spacing w:after="0" w:line="3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to the extent a Covered Person learns of material nonpublic information about a company (1) with which the Company does business, such as the Company’s distributors, vendors, customers and suppliers, or (2) that is involved in a potential transaction or business relationship with the Company, they may not engage in transactions in that company’s securities until the information becomes public or is no longer material.</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integrity and ethical conduct.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DEFINITION OF MATERIAL NONPUBLIC INFORMATION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Material Information</w:t>
      </w:r>
      <w:r>
        <w:rPr>
          <w:rFonts w:ascii="Times New Roman" w:cs="Times New Roman" w:eastAsia="Times New Roman" w:hAnsi="Times New Roman"/>
          <w:sz w:val="22"/>
          <w:szCs w:val="22"/>
          <w:color w:val="auto"/>
        </w:rPr>
        <w:t>. Information is considered “material” if a reasonable investor would consider that information important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79" w:lineRule="exact"/>
        <w:rPr>
          <w:sz w:val="20"/>
          <w:szCs w:val="20"/>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that have not been publicly announced;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repurchase program for Company Securities;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auditor’s reports may no longer be relied upon;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COR-04-4</w:t>
      </w:r>
    </w:p>
    <w:p>
      <w:pPr>
        <w:spacing w:after="0" w:line="399" w:lineRule="exact"/>
        <w:rPr>
          <w:sz w:val="20"/>
          <w:szCs w:val="20"/>
          <w:color w:val="auto"/>
        </w:rPr>
      </w:pPr>
    </w:p>
    <w:p>
      <w:pPr>
        <w:ind w:left="1500" w:hanging="743"/>
        <w:spacing w:after="0"/>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or</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an event-specific restriction on trading in Company Securities or the securities of another company or the extension or termination of such restriction.</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u w:val="single" w:color="auto"/>
          <w:color w:val="auto"/>
        </w:rPr>
        <w:t>When Information is Considered Public</w:t>
      </w:r>
      <w:r>
        <w:rPr>
          <w:rFonts w:ascii="Times New Roman" w:cs="Times New Roman" w:eastAsia="Times New Roman" w:hAnsi="Times New Roman"/>
          <w:sz w:val="22"/>
          <w:szCs w:val="22"/>
          <w:color w:val="auto"/>
        </w:rPr>
        <w:t>. Information that has not been disclosed to the public is generally considered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nonpublic information. In order to establish that the information has been disclosed to the public, information must be widely disseminated. Information generally would be considered widely disseminated if it has been disclosed through the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bankers.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provide the investing public with sufficient time to absorb the information. As a general rule, information should not be considered fully absorbed by the marketplace until after the first full trading day after the information is released. If, for example, the Company were to make an announcement on a Monday afternoon, you should not trade in the Company’s securities until Wednesday. If an announcement were made on a Friday morning before the market opens, Monday generally would be the first eligible trading day. Depending on particular circumstances, the Company may determine that a longer or shorter period should apply to the release of specific material nonpublic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Disclosure of Information to Others</w:t>
      </w:r>
      <w:r>
        <w:rPr>
          <w:rFonts w:ascii="Times New Roman" w:cs="Times New Roman" w:eastAsia="Times New Roman" w:hAnsi="Times New Roman"/>
          <w:sz w:val="22"/>
          <w:szCs w:val="22"/>
          <w:color w:val="auto"/>
        </w:rPr>
        <w:t>. Maintaining the confidentiality of Company information is essential for competitive,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and other business reasons, as well as to comply with securities laws. You should treat all information you learn about the Company or its business plans as confidential and proprietary to the Company. Inadvertent disclosure of confidential or inside information may expose the Company and you to significant risk of investigation and litigation.</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Please consult the Company’s Regulation FD policy (COR-07) for more details regarding the Company’s policy on speaking to the media, financial analysts and investors.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TRANSACTIONS UNDER COMPANY PLANS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Stock Option Exercises</w:t>
      </w:r>
      <w:r>
        <w:rPr>
          <w:rFonts w:ascii="Times New Roman" w:cs="Times New Roman" w:eastAsia="Times New Roman" w:hAnsi="Times New Roman"/>
          <w:sz w:val="22"/>
          <w:szCs w:val="22"/>
          <w:color w:val="auto"/>
        </w:rPr>
        <w:t>. This policy does not apply to a Company Person’s exercise of a stock option, the exercise of a tax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withholding right pursuant to which the Company Person elects to have the Company withhold shares subject to an option to satisfy tax withholding requirements, or the tendering of shares of the Company’s common stock (including by attestation) to the Company to pay or satisfy all or a portion of (a) the exercise price of a stock option or (b) tax withholding requirements. </w:t>
      </w:r>
      <w:r>
        <w:rPr>
          <w:rFonts w:ascii="Times New Roman" w:cs="Times New Roman" w:eastAsia="Times New Roman" w:hAnsi="Times New Roman"/>
          <w:sz w:val="22"/>
          <w:szCs w:val="22"/>
          <w:u w:val="single" w:color="auto"/>
          <w:color w:val="auto"/>
        </w:rPr>
        <w:t>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 does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COR-04-5</w:t>
      </w:r>
    </w:p>
    <w:p>
      <w:pPr>
        <w:spacing w:after="0" w:line="3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however, to any sale of stock as part of a broker-assisted cashless exercise of an option, or any other market sale for the purpose of generating the cash needed to pay the exercise price of an option</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Restricted Stock Awards</w:t>
      </w:r>
      <w:r>
        <w:rPr>
          <w:rFonts w:ascii="Times New Roman" w:cs="Times New Roman" w:eastAsia="Times New Roman" w:hAnsi="Times New Roman"/>
          <w:sz w:val="22"/>
          <w:szCs w:val="22"/>
          <w:color w:val="auto"/>
        </w:rPr>
        <w:t>. This policy does not apply to the vesting of restricted stock, or the exercise of a tax withholding right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which you elect to have the Company withhold shares of stock to satisfy tax withholding requirements upon the vesting of any restricted stock.</w:t>
      </w:r>
    </w:p>
    <w:p>
      <w:pPr>
        <w:spacing w:after="0" w:line="1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u w:val="single" w:color="auto"/>
          <w:color w:val="auto"/>
        </w:rPr>
        <w:t>401(k) Plan</w:t>
      </w:r>
      <w:r>
        <w:rPr>
          <w:rFonts w:ascii="Times New Roman" w:cs="Times New Roman" w:eastAsia="Times New Roman" w:hAnsi="Times New Roman"/>
          <w:sz w:val="22"/>
          <w:szCs w:val="22"/>
          <w:color w:val="auto"/>
        </w:rPr>
        <w:t>. This policy does not apply to purchases of Company stock in the Company’s 401(k) plan resulting from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periodic</w:t>
      </w:r>
      <w:r>
        <w:rPr>
          <w:rFonts w:ascii="Times New Roman" w:cs="Times New Roman" w:eastAsia="Times New Roman" w:hAnsi="Times New Roman"/>
          <w:sz w:val="22"/>
          <w:szCs w:val="22"/>
          <w:color w:val="auto"/>
        </w:rPr>
        <w:t xml:space="preserve">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PROHIBITED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considers it improper and inappropriate if the persons subject to this policy engage in certain types of transactions.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 therefore is the Company’s policy that any persons covered by this policy may not engage in any of the following transactions:</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Short Sales</w:t>
      </w:r>
      <w:r>
        <w:rPr>
          <w:rFonts w:ascii="Times New Roman" w:cs="Times New Roman" w:eastAsia="Times New Roman" w:hAnsi="Times New Roman"/>
          <w:sz w:val="22"/>
          <w:szCs w:val="22"/>
          <w:color w:val="auto"/>
        </w:rPr>
        <w:t>. Short sales of Company Securities (i.e., the sale of a security that the seller does not own) may evidence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expectation on the part of the seller that the securities will decline in value, and therefore signal to the market that the seller has no confidence in the Company’s prospects. In addition, short sales may reduce a seller’s incentive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Publicly-Traded Options</w:t>
      </w:r>
      <w:r>
        <w:rPr>
          <w:rFonts w:ascii="Times New Roman" w:cs="Times New Roman" w:eastAsia="Times New Roman" w:hAnsi="Times New Roman"/>
          <w:sz w:val="22"/>
          <w:szCs w:val="22"/>
          <w:color w:val="auto"/>
        </w:rPr>
        <w:t>. Given the relatively short term of publicly-traded options, transactions in options may create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appearance that a director, officer of employee is trading based on material nonpublic information and focus a director’s, officer’s or other employee’s attention on short-term performance at the expense pf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Hedging Transactions</w:t>
      </w:r>
      <w:r>
        <w:rPr>
          <w:rFonts w:ascii="Times New Roman" w:cs="Times New Roman" w:eastAsia="Times New Roman" w:hAnsi="Times New Roman"/>
          <w:sz w:val="22"/>
          <w:szCs w:val="22"/>
          <w:color w:val="auto"/>
        </w:rPr>
        <w:t>. Hedging or monetization transactions can be accomplished through a number of possible mechanisms,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through the use of financial instruments such as prepaid variable forwards, equity swaps, collar and exchange funds. Such transactions may permit a director, officer or employee to continue to own Company Securities obtained through employee benefit plans or otherwise, but without the full risks and rewards of ownership. When that occurs, the director or employee may no longer have the same objectives as the Company’s other shareholders. Therefore, directors, officers and employees are prohibited from engaging in any such transactions.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Margin Accounts and Pledges</w:t>
      </w:r>
      <w:r>
        <w:rPr>
          <w:rFonts w:ascii="Times New Roman" w:cs="Times New Roman" w:eastAsia="Times New Roman" w:hAnsi="Times New Roman"/>
          <w:sz w:val="22"/>
          <w:szCs w:val="22"/>
          <w:color w:val="auto"/>
        </w:rPr>
        <w:t>. Company Securities held in a margin account may be sold by the broker without the customer’s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 if the customer fails to meet a margin call. Similarly, Company Securities pledged (or hypothecated) as collateral for a loan may be sold in foreclosure if the borrower defaults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COR-04-6</w:t>
      </w:r>
    </w:p>
    <w:p>
      <w:pPr>
        <w:spacing w:after="0" w:line="3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loan. A margin sale or foreclosure sale may occur at a time when the pledgor is aware of material nonpublic information or otherwise is not permitted to trade in Company Securities pursuant to blackout restrictions. Thus, Covered Persons are prohibited from pledging Company Securities as collateral for a loan. Additionally, Company Securities may not be held in a margin account.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TRANSACTIONS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Due to the general lack of control over the timing of the transaction and the potential for execution at a time when you are in possession of material nonpublic information, standing and limit orders (except standing and limit orders under approved Rule 10b5-1 plans, as described below) create heightened risks for insider trading violations and should be used only for a brief period of time and otherwise in compliance with this policy.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ADDITIONAL PROCEDURES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directors and officers of the Company, any Section 16 insiders who are not employees of the Company, and any other officer or employee of the Company or its subsidiaries designated by the Compliance Officer from time to time, are covered by the following additional procedures.</w:t>
      </w:r>
    </w:p>
    <w:p>
      <w:pPr>
        <w:spacing w:after="0" w:line="1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Pre-Clearance Procedures</w:t>
      </w:r>
      <w:r>
        <w:rPr>
          <w:rFonts w:ascii="Times New Roman" w:cs="Times New Roman" w:eastAsia="Times New Roman" w:hAnsi="Times New Roman"/>
          <w:sz w:val="22"/>
          <w:szCs w:val="22"/>
          <w:color w:val="auto"/>
        </w:rPr>
        <w:t>. Such persons, as well as Family Members and Controlled Entities of such persons, may not engage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any transaction in Company Securities without first obtaining pre-clearance of the transaction from the Compliance Officer. A request for pre-clearance should be submitted to the Compliance Officer as far in advance of the proposed transaction as reasonably practicable. The Compliance Officer is under no obligation to approve a transaction submitted for pre-clearance. When a request for pre-clearance is made, the requestor should carefully consider whether he or she may be aware of any material nonpublic information about the Company. To the extent there is any doubt as to what is considered material nonpublic information, the requestor should describe fully those circumstances to the Compliance Officer. The requestor should also be prepared to comply with Securities Act Rule 144 and Section 16 of the Exchange Act (if applicable) at the time of any transaction.</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Compliance Officer is under no obligation to approve any trade. If a request for pre-clearance does not receive a response, the request will be deemed to have been denied. If a proposed transaction receives pre-clearance, the pre-cleared trade must be effected within two business days of receipt of pre-clearance, unless an exception is granted or the person becomes aware of material nonpublic information before the trade is executed, in which case the preclearance is void and the trade must not be completed. If transactions are not effected within the time limit, pre-clearance must be requested and approved in writing again. If a person seeks pre-clearance and permission to engage in the transaction is denied, then he or she must refrain from initiating any transaction in Company Securities, and should not inform any other person of the restriction. The requestor shall ensure that the Compliance Officer is provided with transaction details following completion of any pre-cleared transaction.</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Compliance Officer may not trade in Company securities unless the CEO or CFO has approved the trade(s) in accordance with the procedures set forth herein.</w:t>
      </w:r>
    </w:p>
    <w:p>
      <w:pPr>
        <w:spacing w:after="0" w:line="18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i w:val="1"/>
          <w:iCs w:val="1"/>
          <w:u w:val="single" w:color="auto"/>
          <w:color w:val="auto"/>
        </w:rPr>
        <w:t>Quarterly Blackout Periods</w:t>
      </w:r>
      <w:r>
        <w:rPr>
          <w:rFonts w:ascii="Times New Roman" w:cs="Times New Roman" w:eastAsia="Times New Roman" w:hAnsi="Times New Roman"/>
          <w:sz w:val="22"/>
          <w:szCs w:val="22"/>
          <w:color w:val="auto"/>
        </w:rPr>
        <w:t>. Covered Persons may not conduct any transactions involving Company Securities (other than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specified by this policy) during the period beginning on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of the quarter and ending after the first full trading day following the release of the Company’s earnings for that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9" w:name="page120"/>
    <w:bookmarkEnd w:id="119"/>
    <w:p>
      <w:pPr>
        <w:ind w:left="10300"/>
        <w:spacing w:after="0"/>
        <w:rPr>
          <w:sz w:val="20"/>
          <w:szCs w:val="20"/>
          <w:color w:val="auto"/>
        </w:rPr>
      </w:pPr>
      <w:r>
        <w:rPr>
          <w:rFonts w:ascii="Times New Roman" w:cs="Times New Roman" w:eastAsia="Times New Roman" w:hAnsi="Times New Roman"/>
          <w:sz w:val="21"/>
          <w:szCs w:val="21"/>
          <w:b w:val="1"/>
          <w:bCs w:val="1"/>
          <w:color w:val="auto"/>
        </w:rPr>
        <w:t>COR-04-7</w:t>
      </w:r>
    </w:p>
    <w:p>
      <w:pPr>
        <w:spacing w:after="0" w:line="200" w:lineRule="exact"/>
        <w:rPr>
          <w:sz w:val="20"/>
          <w:szCs w:val="20"/>
          <w:color w:val="auto"/>
        </w:rPr>
      </w:pP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Event-Specific Blackouts</w:t>
      </w:r>
      <w:r>
        <w:rPr>
          <w:rFonts w:ascii="Times New Roman" w:cs="Times New Roman" w:eastAsia="Times New Roman" w:hAnsi="Times New Roman"/>
          <w:sz w:val="22"/>
          <w:szCs w:val="22"/>
          <w:color w:val="auto"/>
        </w:rPr>
        <w:t>. From time to time, an event may occur that is material to the Company and is known by only a few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officers and/or employees (an “</w:t>
      </w:r>
      <w:r>
        <w:rPr>
          <w:rFonts w:ascii="Times New Roman" w:cs="Times New Roman" w:eastAsia="Times New Roman" w:hAnsi="Times New Roman"/>
          <w:sz w:val="22"/>
          <w:szCs w:val="22"/>
          <w:u w:val="single" w:color="auto"/>
          <w:color w:val="auto"/>
        </w:rPr>
        <w:t>Event-Specific Blackout</w:t>
      </w:r>
      <w:r>
        <w:rPr>
          <w:rFonts w:ascii="Times New Roman" w:cs="Times New Roman" w:eastAsia="Times New Roman" w:hAnsi="Times New Roman"/>
          <w:sz w:val="22"/>
          <w:szCs w:val="22"/>
          <w:color w:val="auto"/>
        </w:rPr>
        <w:t>”). So long as the event remains material and nonpublic, the persons designated by the Compliance Officer may not engage in transactions in Company Securities. The existence of an Event-Specific Blackout will not be announced to the Company as a whole, and should not be communicated to any other person. Even if the Compliance Officer has not designated you as a person who should not engage in transactions in Company Securities due to an Event-Specific Blackout, you should not trade while aware of material nonpublic information.</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Exceptions</w:t>
      </w:r>
      <w:r>
        <w:rPr>
          <w:rFonts w:ascii="Times New Roman" w:cs="Times New Roman" w:eastAsia="Times New Roman" w:hAnsi="Times New Roman"/>
          <w:sz w:val="22"/>
          <w:szCs w:val="22"/>
          <w:color w:val="auto"/>
        </w:rPr>
        <w:t>. The quarterly blackouts and Event-Specific Blackouts do not apply to those transactions to which this policy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apply, as described above under the heading “Transactions Under Company Plans.” Further, the requirement for pre-clearance, the quarterly trading blackouts and Event-Specific Blackouts do not apply to transactions conducted pursuant to approved Rule 10b5-1 plans, described under the heading “Rule 10b5-1 Plans.”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RULE 10b5-1 PLANS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Rule 10b5-1 under the Exchange Act provides an affirmative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21"/>
          <w:szCs w:val="21"/>
          <w:u w:val="single" w:color="auto"/>
          <w:color w:val="auto"/>
        </w:rPr>
        <w:t>Rule 10b5-1 Plan</w:t>
      </w:r>
      <w:r>
        <w:rPr>
          <w:rFonts w:ascii="Times New Roman" w:cs="Times New Roman" w:eastAsia="Times New Roman" w:hAnsi="Times New Roman"/>
          <w:sz w:val="21"/>
          <w:szCs w:val="21"/>
          <w:color w:val="auto"/>
        </w:rPr>
        <w:t>”) and must be in accordance with the Company’s “Guidelines for Rule 10b5-1 Plans.” If the plan meets the requirements of Rule 10b5-1, transactions in Company Securities may occur even when the person who has entered into the plan is aware of material nonpublic information.</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comply with this policy, a Rule 10b5-1 Plan must be approved by the Compliance Officer and meet the requirements of Rule 10b5-1 and the Company’s “Guidelines for Rule 10b5-1 Plans,” which may be obtained from the Compliance Officer.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plan must include a cooling-off period before trading can commence that, for directors and Section 16 officers, ends on the later of 90 days after the adoption of the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and Section 16 officers, 30 days following the adoption or modification of a plan. A person may not enter into overlapping plans (subject to certain exceptions) and may only enter into one single-trade plan during any 12-month period (subject to certain exceptions). Directors and Section 16 officers must include a representation in their plan certifying that: (i) they are not aware of any material nonpublic information; and (ii) they are adopting the plan in good faith and not as part of a plan or scheme to evade the prohibitions in Rule 10b-5. Directors and Section 16 officers shall make similar representations to the Company as provided in the Company’s “Guidelines for Rule 10b5-1 Plans.” All persons entering into a Rule 10b5-1 Plan must act in good faith with respect to that plan.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Any Rule 10b5-1 Plan must be submitted for approval prior to entry into, or the modification or termination of, the Rule 10b5-1 Plan. No further pre-approval of transactions conducted pursuant to the Rule 10b5-1 Plan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COR-04-8</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POST-TERMINATION TRANSACTIONS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periods applicable at the time of the termination of service.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CONSEQUENCES OF VIOLATIONS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Company Securities, is prohibited by federal, state and foreign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Company-imposed sanctions, including dismissal for cause, whether or not the employee’s failure to comply results in a violation of law. A violation of law, or even an SEC investigation that does not result in prosecution, can tarnish both the Company’s and an individual’s reputation and cause irreparable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1" w:name="page122"/>
    <w:bookmarkEnd w:id="121"/>
    <w:p>
      <w:pPr>
        <w:spacing w:after="0" w:line="14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color w:val="auto"/>
        </w:rPr>
        <w:t>Exhibit 21</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Eagle Materials Inc., wholly-owned unless otherwise stated. This list of subsidiaries includes all of the significant subsidiaries of Eagle Materials Inc. as of May 22, 2024.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4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24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47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 SOUTH CAROLINA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GYPSUM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GYPSUM MARKETING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6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AUDUBON MATERIALS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d/b/a Central Plains Cement Company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6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AUDUBON READYMIX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d/b/a Quicksilver Readymix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 CEMENT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 CONCRETE/AGGREGATES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 GYPSUM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CENTEX MATERIALS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FAIRBORN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HOLLIS &amp; EASTERN RAILROAD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6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CITY AGGREGATE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d/b/a Talon Concrete and Aggregates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CITY FLY ASH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6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CITY READYMIX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d/b/a Talon Concrete and Aggregates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KOSMOS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LAND &amp; CATTLE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1668"/>
        </w:trPr>
        <w:tc>
          <w:tcPr>
            <w:tcW w:w="56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CEMENT COMPANY LLC</w:t>
            </w:r>
          </w:p>
        </w:tc>
        <w:tc>
          <w:tcPr>
            <w:tcW w:w="3060" w:type="dxa"/>
            <w:vAlign w:val="bottom"/>
          </w:tcPr>
          <w:p>
            <w:pPr>
              <w:spacing w:after="0"/>
              <w:rPr>
                <w:sz w:val="20"/>
                <w:szCs w:val="20"/>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RAPTOR MATERIALS LLC</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PAPERBOARD COMPANY LLC</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SKYWAY CEMENT COMPANY LLC</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CEMENT COMPANY</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Nevada</w:t>
            </w:r>
          </w:p>
        </w:tc>
      </w:tr>
      <w:tr>
        <w:trPr>
          <w:trHeight w:val="46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LEHIGH CEMENT COMPANY LP</w:t>
            </w:r>
          </w:p>
        </w:tc>
        <w:tc>
          <w:tcPr>
            <w:tcW w:w="30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50%</w:t>
            </w: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d/b/a Texas Lehigh Cement</w:t>
            </w:r>
          </w:p>
        </w:tc>
        <w:tc>
          <w:tcPr>
            <w:tcW w:w="306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8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TLCC GP LLC</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TLCC LP LLC</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6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TULSA CEMENT LLC</w:t>
            </w:r>
          </w:p>
        </w:tc>
        <w:tc>
          <w:tcPr>
            <w:tcW w:w="306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d/b/a Central Plains Cement Company LLC</w:t>
            </w:r>
          </w:p>
        </w:tc>
        <w:tc>
          <w:tcPr>
            <w:tcW w:w="306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099"/>
        </w:trPr>
        <w:tc>
          <w:tcPr>
            <w:tcW w:w="50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33-82820) of Eagle Materials Inc.,</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33-82928) of Eagle Materials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33-84394) of Eagle Materials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333-54102) of Eagle Materials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333-163061) of Eagle Materials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333-190487) of Eagle Materials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333-260836) of Eagle Materials Inc. and</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333-273700) of Eagle Materials Inc.,</w:t>
      </w:r>
    </w:p>
    <w:p>
      <w:pPr>
        <w:spacing w:after="0" w:line="207"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of our reports dated May 22, 2024, with respect to the consolidated financial statements of Eagle Materials Inc., and the effectiveness of internal control over financial reporting of Eagle Materials Inc., included in this Annual Report (Form 10-K) of Eagle Materials Inc. for the year ended March 31, 2024.</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302 of the Sarbanes-Oxley Act of 2002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Michael R. Haack, certify that:</w:t>
      </w:r>
    </w:p>
    <w:p>
      <w:pPr>
        <w:spacing w:after="0" w:line="229"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report on Form 10-K of Eagle Materials Inc.;</w:t>
      </w:r>
    </w:p>
    <w:p>
      <w:pPr>
        <w:spacing w:after="0" w:line="229"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20" w:firstLine="8"/>
        <w:spacing w:after="0" w:line="269" w:lineRule="auto"/>
        <w:tabs>
          <w:tab w:leader="none" w:pos="39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20"/>
          <w:szCs w:val="20"/>
          <w:color w:val="auto"/>
        </w:rPr>
      </w:pPr>
    </w:p>
    <w:p>
      <w:pPr>
        <w:jc w:val="both"/>
        <w:ind w:right="20" w:firstLine="8"/>
        <w:spacing w:after="0" w:line="250" w:lineRule="auto"/>
        <w:tabs>
          <w:tab w:leader="none" w:pos="39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sz w:val="20"/>
          <w:szCs w:val="20"/>
          <w:color w:val="auto"/>
        </w:rPr>
      </w:pPr>
    </w:p>
    <w:p>
      <w:pPr>
        <w:jc w:val="both"/>
        <w:ind w:firstLine="8"/>
        <w:spacing w:after="0" w:line="254" w:lineRule="auto"/>
        <w:tabs>
          <w:tab w:leader="none" w:pos="3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right="20" w:firstLine="8"/>
        <w:spacing w:after="0" w:line="269" w:lineRule="auto"/>
        <w:tabs>
          <w:tab w:leader="none" w:pos="3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jc w:val="both"/>
        <w:ind w:right="20" w:firstLine="8"/>
        <w:spacing w:after="0" w:line="254" w:lineRule="auto"/>
        <w:tabs>
          <w:tab w:leader="none" w:pos="3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sz w:val="20"/>
          <w:szCs w:val="20"/>
          <w:color w:val="auto"/>
        </w:rPr>
      </w:pPr>
    </w:p>
    <w:p>
      <w:pPr>
        <w:ind w:right="20" w:firstLine="8"/>
        <w:spacing w:after="0" w:line="269" w:lineRule="auto"/>
        <w:tabs>
          <w:tab w:leader="none" w:pos="3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20"/>
          <w:szCs w:val="20"/>
          <w:color w:val="auto"/>
        </w:rPr>
      </w:pPr>
    </w:p>
    <w:p>
      <w:pPr>
        <w:ind w:firstLine="8"/>
        <w:spacing w:after="0" w:line="269" w:lineRule="auto"/>
        <w:tabs>
          <w:tab w:leader="none" w:pos="3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0"/>
          <w:szCs w:val="20"/>
          <w:color w:val="auto"/>
        </w:rPr>
        <w:t>Dated:</w:t>
        <w:tab/>
        <w:t>May 22, 2024</w:t>
      </w:r>
    </w:p>
    <w:p>
      <w:pPr>
        <w:spacing w:after="0" w:line="283"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31457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Michael R. Haack</w:t>
      </w:r>
    </w:p>
    <w:p>
      <w:pPr>
        <w:spacing w:after="0" w:line="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302 of the Sarbanes-Oxley Act of 2002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 Craig Kesler, certify that:</w:t>
      </w:r>
    </w:p>
    <w:p>
      <w:pPr>
        <w:spacing w:after="0" w:line="229"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report on Form 10-K of Eagle Materials Inc.;</w:t>
      </w:r>
    </w:p>
    <w:p>
      <w:pPr>
        <w:spacing w:after="0" w:line="229"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20" w:firstLine="8"/>
        <w:spacing w:after="0" w:line="269" w:lineRule="auto"/>
        <w:tabs>
          <w:tab w:leader="none" w:pos="3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20"/>
          <w:szCs w:val="20"/>
          <w:color w:val="auto"/>
        </w:rPr>
      </w:pPr>
    </w:p>
    <w:p>
      <w:pPr>
        <w:jc w:val="both"/>
        <w:ind w:right="20" w:firstLine="8"/>
        <w:spacing w:after="0" w:line="250" w:lineRule="auto"/>
        <w:tabs>
          <w:tab w:leader="none" w:pos="3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sz w:val="20"/>
          <w:szCs w:val="20"/>
          <w:color w:val="auto"/>
        </w:rPr>
      </w:pPr>
    </w:p>
    <w:p>
      <w:pPr>
        <w:jc w:val="both"/>
        <w:ind w:firstLine="8"/>
        <w:spacing w:after="0" w:line="254" w:lineRule="auto"/>
        <w:tabs>
          <w:tab w:leader="none" w:pos="3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right="20" w:firstLine="8"/>
        <w:spacing w:after="0" w:line="269" w:lineRule="auto"/>
        <w:tabs>
          <w:tab w:leader="none" w:pos="3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20"/>
          <w:szCs w:val="20"/>
          <w:color w:val="auto"/>
        </w:rPr>
      </w:pPr>
    </w:p>
    <w:p>
      <w:pPr>
        <w:jc w:val="both"/>
        <w:ind w:firstLine="8"/>
        <w:spacing w:after="0" w:line="254" w:lineRule="auto"/>
        <w:tabs>
          <w:tab w:leader="none" w:pos="3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jc w:val="both"/>
        <w:ind w:right="20" w:firstLine="8"/>
        <w:spacing w:after="0" w:line="254" w:lineRule="auto"/>
        <w:tabs>
          <w:tab w:leader="none" w:pos="3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sz w:val="20"/>
          <w:szCs w:val="20"/>
          <w:color w:val="auto"/>
        </w:rPr>
      </w:pPr>
    </w:p>
    <w:p>
      <w:pPr>
        <w:ind w:right="20" w:firstLine="8"/>
        <w:spacing w:after="0" w:line="269" w:lineRule="auto"/>
        <w:tabs>
          <w:tab w:leader="none" w:pos="3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20"/>
          <w:szCs w:val="20"/>
          <w:color w:val="auto"/>
        </w:rPr>
      </w:pPr>
    </w:p>
    <w:p>
      <w:pPr>
        <w:ind w:firstLine="8"/>
        <w:spacing w:after="0" w:line="269" w:lineRule="auto"/>
        <w:tabs>
          <w:tab w:leader="none" w:pos="3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0"/>
          <w:szCs w:val="20"/>
          <w:color w:val="auto"/>
        </w:rPr>
        <w:t>Dated:</w:t>
        <w:tab/>
        <w:t>May 22, 2024</w:t>
      </w:r>
    </w:p>
    <w:p>
      <w:pPr>
        <w:spacing w:after="0" w:line="283"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31457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D. Craig Kesler</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Chief Financial Officer</w:t>
      </w:r>
    </w:p>
    <w:p>
      <w:pPr>
        <w:ind w:left="78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906 of the Sarbanes-Oxley Act of 2002</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Eagle Materials Inc. and subsidiaries (the "Company") on Form 10-K for the period ended March 31, 2024 as filed with the Securities and Exchange Commission on the date hereof (the "Report"), I, Michael R. Haack, Chief Executive Officer of the Company, certify, pursuant to 18 U.S.C. section 1350, as adopted pursuant to section 906 of the Sarbanes-Oxley Act of 2002, that, to the best of my knowledge:</w:t>
      </w:r>
    </w:p>
    <w:p>
      <w:pPr>
        <w:spacing w:after="0" w:line="193" w:lineRule="exact"/>
        <w:rPr>
          <w:sz w:val="20"/>
          <w:szCs w:val="20"/>
          <w:color w:val="auto"/>
        </w:rPr>
      </w:pPr>
    </w:p>
    <w:p>
      <w:pPr>
        <w:ind w:left="1500" w:hanging="743"/>
        <w:spacing w:after="0"/>
        <w:tabs>
          <w:tab w:leader="none" w:pos="15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22, 2024</w:t>
      </w:r>
    </w:p>
    <w:p>
      <w:pPr>
        <w:spacing w:after="0" w:line="28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22860</wp:posOffset>
            </wp:positionV>
            <wp:extent cx="30346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Michael R. Haack</w:t>
      </w:r>
    </w:p>
    <w:p>
      <w:pPr>
        <w:spacing w:after="0" w:line="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906 of the Sarbanes-Oxley Act of 2002</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Eagle Materials Inc. and subsidiaries (the "Company") on Form 10-K for the period ended March 31, 2024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193" w:lineRule="exact"/>
        <w:rPr>
          <w:sz w:val="20"/>
          <w:szCs w:val="20"/>
          <w:color w:val="auto"/>
        </w:rPr>
      </w:pPr>
    </w:p>
    <w:p>
      <w:pPr>
        <w:ind w:left="1500" w:hanging="743"/>
        <w:spacing w:after="0"/>
        <w:tabs>
          <w:tab w:leader="none" w:pos="15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22, 2024</w:t>
      </w:r>
    </w:p>
    <w:p>
      <w:pPr>
        <w:spacing w:after="0" w:line="28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22860</wp:posOffset>
            </wp:positionV>
            <wp:extent cx="30346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2">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D. Craig Kesler</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Chief Financial Officer</w:t>
      </w:r>
    </w:p>
    <w:p>
      <w:pPr>
        <w:ind w:left="86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8" w:name="page129"/>
    <w:bookmarkEnd w:id="12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4">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9440"/>
        <w:spacing w:after="0"/>
        <w:rPr>
          <w:sz w:val="20"/>
          <w:szCs w:val="20"/>
          <w:color w:val="auto"/>
        </w:rPr>
      </w:pPr>
      <w:r>
        <w:rPr>
          <w:rFonts w:ascii="Times New Roman" w:cs="Times New Roman" w:eastAsia="Times New Roman" w:hAnsi="Times New Roman"/>
          <w:sz w:val="18"/>
          <w:szCs w:val="18"/>
          <w:b w:val="1"/>
          <w:bCs w:val="1"/>
          <w:i w:val="1"/>
          <w:i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238" w:lineRule="exact"/>
        <w:rPr>
          <w:sz w:val="20"/>
          <w:szCs w:val="20"/>
          <w:color w:val="auto"/>
        </w:rPr>
      </w:pPr>
    </w:p>
    <w:p>
      <w:pPr>
        <w:ind w:left="680" w:right="400"/>
        <w:spacing w:after="0" w:line="269"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twelve-month period ended March 31, 2024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020" w:type="dxa"/>
            <w:vAlign w:val="bottom"/>
            <w:tcBorders>
              <w:top w:val="single" w:sz="8" w:color="auto"/>
              <w:left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rPr>
              <w:t>Received</w:t>
            </w:r>
          </w:p>
        </w:tc>
        <w:tc>
          <w:tcPr>
            <w:tcW w:w="76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Received</w:t>
            </w:r>
          </w:p>
        </w:tc>
        <w:tc>
          <w:tcPr>
            <w:tcW w:w="860" w:type="dxa"/>
            <w:vAlign w:val="bottom"/>
            <w:tcBorders>
              <w:top w:val="single" w:sz="8" w:color="auto"/>
              <w:right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4"/>
              </w:rPr>
              <w:t>Total</w:t>
            </w:r>
          </w:p>
        </w:tc>
        <w:tc>
          <w:tcPr>
            <w:tcW w:w="74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 of</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Notice of</w:t>
            </w: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Mine or</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Section</w:t>
            </w:r>
          </w:p>
        </w:tc>
        <w:tc>
          <w:tcPr>
            <w:tcW w:w="74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Section</w:t>
            </w:r>
          </w:p>
        </w:tc>
        <w:tc>
          <w:tcPr>
            <w:tcW w:w="7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Dollar</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Have</w:t>
            </w:r>
          </w:p>
        </w:tc>
        <w:tc>
          <w:tcPr>
            <w:tcW w:w="8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900" w:type="dxa"/>
            <w:vAlign w:val="bottom"/>
            <w:tcBorders>
              <w:right w:val="single" w:sz="8" w:color="auto"/>
            </w:tcBorders>
            <w:vMerge w:val="restart"/>
          </w:tcPr>
          <w:p>
            <w:pPr>
              <w:jc w:val="center"/>
              <w:ind w:right="13"/>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Value of</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Violation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Name/MSH</w:t>
            </w:r>
          </w:p>
        </w:tc>
        <w:tc>
          <w:tcPr>
            <w:tcW w:w="7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Section</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8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 Under</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 as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900" w:type="dxa"/>
            <w:vAlign w:val="bottom"/>
            <w:tcBorders>
              <w:right w:val="single" w:sz="8" w:color="auto"/>
            </w:tcBorders>
          </w:tcPr>
          <w:p>
            <w:pPr>
              <w:jc w:val="center"/>
              <w:ind w:right="13"/>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7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7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Section</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Last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900" w:type="dxa"/>
            <w:vAlign w:val="bottom"/>
            <w:tcBorders>
              <w:right w:val="single" w:sz="8" w:color="auto"/>
            </w:tcBorders>
          </w:tcPr>
          <w:p>
            <w:pPr>
              <w:jc w:val="center"/>
              <w:ind w:right="13"/>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 S&amp;S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8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Violation</w:t>
            </w:r>
          </w:p>
        </w:tc>
        <w:tc>
          <w:tcPr>
            <w:tcW w:w="7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200" w:type="dxa"/>
            <w:vAlign w:val="bottom"/>
          </w:tcPr>
          <w:p>
            <w:pPr>
              <w:spacing w:after="0"/>
              <w:rPr>
                <w:sz w:val="12"/>
                <w:szCs w:val="12"/>
                <w:color w:val="auto"/>
              </w:rPr>
            </w:pPr>
          </w:p>
        </w:tc>
        <w:tc>
          <w:tcPr>
            <w:tcW w:w="58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w w:val="97"/>
              </w:rPr>
              <w:t>nts</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 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900" w:type="dxa"/>
            <w:vAlign w:val="bottom"/>
            <w:tcBorders>
              <w:right w:val="single" w:sz="8" w:color="auto"/>
            </w:tcBorders>
          </w:tcPr>
          <w:p>
            <w:pPr>
              <w:jc w:val="center"/>
              <w:ind w:right="13"/>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81"/>
        </w:trPr>
        <w:tc>
          <w:tcPr>
            <w:tcW w:w="10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(yes/no)</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Period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36"/>
        </w:trPr>
        <w:tc>
          <w:tcPr>
            <w:tcW w:w="1020" w:type="dxa"/>
            <w:vAlign w:val="bottom"/>
            <w:tcBorders>
              <w:left w:val="single" w:sz="8" w:color="D9E2F3"/>
              <w:right w:val="single" w:sz="8" w:color="auto"/>
            </w:tcBorders>
            <w:shd w:val="clear" w:color="auto" w:fill="D9E2F3"/>
          </w:tcPr>
          <w:p>
            <w:pPr>
              <w:ind w:left="100"/>
              <w:spacing w:after="0" w:line="136" w:lineRule="exact"/>
              <w:rPr>
                <w:sz w:val="20"/>
                <w:szCs w:val="20"/>
                <w:color w:val="auto"/>
              </w:rPr>
            </w:pPr>
            <w:r>
              <w:rPr>
                <w:rFonts w:ascii="Times New Roman" w:cs="Times New Roman" w:eastAsia="Times New Roman" w:hAnsi="Times New Roman"/>
                <w:sz w:val="14"/>
                <w:szCs w:val="14"/>
                <w:color w:val="auto"/>
              </w:rPr>
              <w:t>3D Concrete</w:t>
            </w:r>
          </w:p>
        </w:tc>
        <w:tc>
          <w:tcPr>
            <w:tcW w:w="7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gridSpan w:val="2"/>
            <w:vMerge w:val="restart"/>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   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shd w:val="clear" w:color="auto" w:fill="D9E2F3"/>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2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Lander, NV</w:t>
            </w: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gridSpan w:val="2"/>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90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2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200" w:type="dxa"/>
            <w:vAlign w:val="bottom"/>
            <w:shd w:val="clear" w:color="auto" w:fill="D9E2F3"/>
          </w:tcPr>
          <w:p>
            <w:pPr>
              <w:spacing w:after="0"/>
              <w:rPr>
                <w:sz w:val="3"/>
                <w:szCs w:val="3"/>
                <w:color w:val="auto"/>
              </w:rPr>
            </w:pPr>
          </w:p>
        </w:tc>
        <w:tc>
          <w:tcPr>
            <w:tcW w:w="58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90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(2602434)</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3D Concrete</w:t>
            </w:r>
          </w:p>
        </w:tc>
        <w:tc>
          <w:tcPr>
            <w:tcW w:w="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828</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Lyon,</w:t>
            </w:r>
          </w:p>
        </w:tc>
        <w:tc>
          <w:tcPr>
            <w:tcW w:w="7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(2602412)</w:t>
            </w:r>
          </w:p>
        </w:tc>
        <w:tc>
          <w:tcPr>
            <w:tcW w:w="7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723</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900" w:type="dxa"/>
            <w:vAlign w:val="bottom"/>
            <w:tcBorders>
              <w:right w:val="single" w:sz="8" w:color="auto"/>
            </w:tcBorders>
            <w:vMerge w:val="restart"/>
            <w:shd w:val="clear" w:color="auto" w:fill="D9E2F3"/>
          </w:tcPr>
          <w:p>
            <w:pPr>
              <w:ind w:left="400"/>
              <w:spacing w:after="0" w:line="297" w:lineRule="exact"/>
              <w:rPr>
                <w:sz w:val="20"/>
                <w:szCs w:val="20"/>
                <w:color w:val="auto"/>
              </w:rPr>
            </w:pP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200" w:type="dxa"/>
            <w:vAlign w:val="bottom"/>
            <w:vMerge w:val="continue"/>
            <w:shd w:val="clear" w:color="auto" w:fill="D9E2F3"/>
          </w:tcPr>
          <w:p>
            <w:pPr>
              <w:spacing w:after="0"/>
              <w:rPr>
                <w:sz w:val="12"/>
                <w:szCs w:val="12"/>
                <w:color w:val="auto"/>
              </w:rPr>
            </w:pPr>
          </w:p>
        </w:tc>
        <w:tc>
          <w:tcPr>
            <w:tcW w:w="58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90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Albuquerque</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 NM</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(2900181)</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133</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20" w:type="dxa"/>
            <w:vAlign w:val="bottom"/>
            <w:tcBorders>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2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Duke, OK</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(3400256)</w:t>
            </w:r>
          </w:p>
        </w:tc>
        <w:tc>
          <w:tcPr>
            <w:tcW w:w="7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vMerge w:val="restart"/>
            <w:shd w:val="clear" w:color="auto" w:fill="D9E2F3"/>
          </w:tcPr>
          <w:p>
            <w:pPr>
              <w:jc w:val="right"/>
              <w:ind w:right="108"/>
              <w:spacing w:after="0"/>
              <w:rPr>
                <w:sz w:val="20"/>
                <w:szCs w:val="20"/>
                <w:color w:val="auto"/>
              </w:rPr>
            </w:pPr>
            <w:r>
              <w:rPr>
                <w:rFonts w:ascii="Times New Roman" w:cs="Times New Roman" w:eastAsia="Times New Roman" w:hAnsi="Times New Roman"/>
                <w:sz w:val="14"/>
                <w:szCs w:val="14"/>
                <w:color w:val="auto"/>
              </w:rPr>
              <w:t>133</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shd w:val="clear" w:color="auto" w:fill="D9E2F3"/>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2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200" w:type="dxa"/>
            <w:vAlign w:val="bottom"/>
            <w:vMerge w:val="continue"/>
            <w:shd w:val="clear" w:color="auto" w:fill="D9E2F3"/>
          </w:tcPr>
          <w:p>
            <w:pPr>
              <w:spacing w:after="0"/>
              <w:rPr>
                <w:sz w:val="9"/>
                <w:szCs w:val="9"/>
                <w:color w:val="auto"/>
              </w:rPr>
            </w:pPr>
          </w:p>
        </w:tc>
        <w:tc>
          <w:tcPr>
            <w:tcW w:w="58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90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2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200" w:type="dxa"/>
            <w:vAlign w:val="bottom"/>
            <w:shd w:val="clear" w:color="auto" w:fill="D9E2F3"/>
          </w:tcPr>
          <w:p>
            <w:pPr>
              <w:spacing w:after="0"/>
              <w:rPr>
                <w:sz w:val="3"/>
                <w:szCs w:val="3"/>
                <w:color w:val="auto"/>
              </w:rPr>
            </w:pPr>
          </w:p>
        </w:tc>
        <w:tc>
          <w:tcPr>
            <w:tcW w:w="58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90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Eagle, CO</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(0503997)</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Centex</w:t>
            </w:r>
          </w:p>
        </w:tc>
        <w:tc>
          <w:tcPr>
            <w:tcW w:w="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774</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(4102241)</w:t>
            </w:r>
          </w:p>
        </w:tc>
        <w:tc>
          <w:tcPr>
            <w:tcW w:w="7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Central</w:t>
            </w:r>
          </w:p>
        </w:tc>
        <w:tc>
          <w:tcPr>
            <w:tcW w:w="7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20" w:type="dxa"/>
            <w:vAlign w:val="bottom"/>
            <w:tcBorders>
              <w:left w:val="single" w:sz="8" w:color="D9E2F3"/>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gridSpan w:val="2"/>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$95,526</w:t>
            </w:r>
          </w:p>
        </w:tc>
        <w:tc>
          <w:tcPr>
            <w:tcW w:w="7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shd w:val="clear" w:color="auto" w:fill="D9E2F3"/>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5</w:t>
            </w:r>
            <w:r>
              <w:rPr>
                <w:rFonts w:ascii="Times New Roman" w:cs="Times New Roman" w:eastAsia="Times New Roman" w:hAnsi="Times New Roman"/>
                <w:sz w:val="9"/>
                <w:szCs w:val="9"/>
                <w:color w:val="auto"/>
                <w:w w:val="97"/>
              </w:rPr>
              <w:t>(1)</w:t>
            </w:r>
          </w:p>
        </w:tc>
        <w:tc>
          <w:tcPr>
            <w:tcW w:w="900" w:type="dxa"/>
            <w:vAlign w:val="bottom"/>
            <w:tcBorders>
              <w:right w:val="single" w:sz="8" w:color="auto"/>
            </w:tcBorders>
            <w:shd w:val="clear" w:color="auto" w:fill="D9E2F3"/>
          </w:tcPr>
          <w:p>
            <w:pPr>
              <w:ind w:left="400"/>
              <w:spacing w:after="0" w:line="212" w:lineRule="exact"/>
              <w:rPr>
                <w:sz w:val="20"/>
                <w:szCs w:val="20"/>
                <w:color w:val="auto"/>
              </w:rPr>
            </w:pPr>
            <w:r>
              <w:rPr>
                <w:rFonts w:ascii="Times New Roman" w:cs="Times New Roman" w:eastAsia="Times New Roman" w:hAnsi="Times New Roman"/>
                <w:sz w:val="24"/>
                <w:szCs w:val="24"/>
                <w:color w:val="auto"/>
                <w:vertAlign w:val="subscript"/>
              </w:rPr>
              <w:t>7</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85"/>
        </w:trPr>
        <w:tc>
          <w:tcPr>
            <w:tcW w:w="1020" w:type="dxa"/>
            <w:vAlign w:val="bottom"/>
            <w:tcBorders>
              <w:left w:val="single" w:sz="8" w:color="D9E2F3"/>
              <w:right w:val="single" w:sz="8" w:color="auto"/>
            </w:tcBorders>
            <w:shd w:val="clear" w:color="auto" w:fill="D9E2F3"/>
          </w:tcPr>
          <w:p>
            <w:pPr>
              <w:ind w:left="100"/>
              <w:spacing w:after="0" w:line="85" w:lineRule="exact"/>
              <w:rPr>
                <w:sz w:val="20"/>
                <w:szCs w:val="20"/>
                <w:color w:val="auto"/>
              </w:rPr>
            </w:pPr>
            <w:r>
              <w:rPr>
                <w:rFonts w:ascii="Times New Roman" w:cs="Times New Roman" w:eastAsia="Times New Roman" w:hAnsi="Times New Roman"/>
                <w:sz w:val="9"/>
                <w:szCs w:val="9"/>
                <w:color w:val="auto"/>
              </w:rPr>
              <w:t>LLC</w:t>
            </w:r>
          </w:p>
        </w:tc>
        <w:tc>
          <w:tcPr>
            <w:tcW w:w="720" w:type="dxa"/>
            <w:vAlign w:val="bottom"/>
            <w:tcBorders>
              <w:right w:val="single" w:sz="8" w:color="auto"/>
            </w:tcBorders>
            <w:shd w:val="clear" w:color="auto" w:fill="D9E2F3"/>
          </w:tcPr>
          <w:p>
            <w:pPr>
              <w:spacing w:after="0"/>
              <w:rPr>
                <w:sz w:val="7"/>
                <w:szCs w:val="7"/>
                <w:color w:val="auto"/>
              </w:rPr>
            </w:pPr>
          </w:p>
        </w:tc>
        <w:tc>
          <w:tcPr>
            <w:tcW w:w="840" w:type="dxa"/>
            <w:vAlign w:val="bottom"/>
            <w:tcBorders>
              <w:right w:val="single" w:sz="8" w:color="auto"/>
            </w:tcBorders>
            <w:shd w:val="clear" w:color="auto" w:fill="D9E2F3"/>
          </w:tcPr>
          <w:p>
            <w:pPr>
              <w:spacing w:after="0"/>
              <w:rPr>
                <w:sz w:val="7"/>
                <w:szCs w:val="7"/>
                <w:color w:val="auto"/>
              </w:rPr>
            </w:pPr>
          </w:p>
        </w:tc>
        <w:tc>
          <w:tcPr>
            <w:tcW w:w="82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200" w:type="dxa"/>
            <w:vAlign w:val="bottom"/>
            <w:shd w:val="clear" w:color="auto" w:fill="D9E2F3"/>
          </w:tcPr>
          <w:p>
            <w:pPr>
              <w:spacing w:after="0"/>
              <w:rPr>
                <w:sz w:val="7"/>
                <w:szCs w:val="7"/>
                <w:color w:val="auto"/>
              </w:rPr>
            </w:pPr>
          </w:p>
        </w:tc>
        <w:tc>
          <w:tcPr>
            <w:tcW w:w="58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860" w:type="dxa"/>
            <w:vAlign w:val="bottom"/>
            <w:tcBorders>
              <w:right w:val="single" w:sz="8" w:color="auto"/>
            </w:tcBorders>
            <w:shd w:val="clear" w:color="auto" w:fill="D9E2F3"/>
          </w:tcPr>
          <w:p>
            <w:pPr>
              <w:spacing w:after="0"/>
              <w:rPr>
                <w:sz w:val="7"/>
                <w:szCs w:val="7"/>
                <w:color w:val="auto"/>
              </w:rPr>
            </w:pPr>
          </w:p>
        </w:tc>
        <w:tc>
          <w:tcPr>
            <w:tcW w:w="860" w:type="dxa"/>
            <w:vAlign w:val="bottom"/>
            <w:tcBorders>
              <w:right w:val="single" w:sz="8" w:color="auto"/>
            </w:tcBorders>
            <w:shd w:val="clear" w:color="auto" w:fill="D9E2F3"/>
          </w:tcPr>
          <w:p>
            <w:pPr>
              <w:spacing w:after="0"/>
              <w:rPr>
                <w:sz w:val="7"/>
                <w:szCs w:val="7"/>
                <w:color w:val="auto"/>
              </w:rPr>
            </w:pPr>
          </w:p>
        </w:tc>
        <w:tc>
          <w:tcPr>
            <w:tcW w:w="900" w:type="dxa"/>
            <w:vAlign w:val="bottom"/>
            <w:tcBorders>
              <w:right w:val="single" w:sz="8" w:color="auto"/>
            </w:tcBorders>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Sugar Creek,</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MO</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(2302171)</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Central</w:t>
            </w:r>
          </w:p>
        </w:tc>
        <w:tc>
          <w:tcPr>
            <w:tcW w:w="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20" w:type="dxa"/>
            <w:vAlign w:val="bottom"/>
            <w:tcBorders>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tcPr>
          <w:p>
            <w:pPr>
              <w:ind w:left="4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81"/>
        </w:trPr>
        <w:tc>
          <w:tcPr>
            <w:tcW w:w="10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7,269</w:t>
            </w:r>
          </w:p>
        </w:tc>
        <w:tc>
          <w:tcPr>
            <w:tcW w:w="74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20" w:type="dxa"/>
            <w:vAlign w:val="bottom"/>
            <w:tcBorders>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LLC, Tulsa,</w:t>
            </w:r>
          </w:p>
        </w:tc>
        <w:tc>
          <w:tcPr>
            <w:tcW w:w="7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2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OK</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(3400026)</w:t>
            </w:r>
          </w:p>
        </w:tc>
        <w:tc>
          <w:tcPr>
            <w:tcW w:w="7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Fairborn</w:t>
            </w:r>
          </w:p>
        </w:tc>
        <w:tc>
          <w:tcPr>
            <w:tcW w:w="7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vMerge w:val="restart"/>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2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continue"/>
            <w:shd w:val="clear" w:color="auto" w:fill="D9E2F3"/>
          </w:tcPr>
          <w:p>
            <w:pPr>
              <w:spacing w:after="0"/>
              <w:rPr>
                <w:sz w:val="5"/>
                <w:szCs w:val="5"/>
                <w:color w:val="auto"/>
              </w:rPr>
            </w:pPr>
          </w:p>
        </w:tc>
        <w:tc>
          <w:tcPr>
            <w:tcW w:w="580" w:type="dxa"/>
            <w:vAlign w:val="bottom"/>
            <w:tcBorders>
              <w:right w:val="single" w:sz="8" w:color="auto"/>
            </w:tcBorders>
            <w:shd w:val="clear" w:color="auto" w:fill="D9E2F3"/>
          </w:tcPr>
          <w:p>
            <w:pPr>
              <w:spacing w:after="0"/>
              <w:rPr>
                <w:sz w:val="5"/>
                <w:szCs w:val="5"/>
                <w:color w:val="auto"/>
              </w:rPr>
            </w:pPr>
          </w:p>
        </w:tc>
        <w:tc>
          <w:tcPr>
            <w:tcW w:w="7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shd w:val="clear" w:color="auto" w:fill="D9E2F3"/>
          </w:tcPr>
          <w:p>
            <w:pPr>
              <w:ind w:left="4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81"/>
        </w:trPr>
        <w:tc>
          <w:tcPr>
            <w:tcW w:w="1020" w:type="dxa"/>
            <w:vAlign w:val="bottom"/>
            <w:tcBorders>
              <w:left w:val="single" w:sz="8" w:color="D9E2F3"/>
              <w:right w:val="single" w:sz="8" w:color="auto"/>
            </w:tcBorders>
            <w:vMerge w:val="continue"/>
            <w:shd w:val="clear" w:color="auto" w:fill="D9E2F3"/>
          </w:tcPr>
          <w:p>
            <w:pPr>
              <w:spacing w:after="0"/>
              <w:rPr>
                <w:sz w:val="7"/>
                <w:szCs w:val="7"/>
                <w:color w:val="auto"/>
              </w:rPr>
            </w:pPr>
          </w:p>
        </w:tc>
        <w:tc>
          <w:tcPr>
            <w:tcW w:w="720" w:type="dxa"/>
            <w:vAlign w:val="bottom"/>
            <w:tcBorders>
              <w:right w:val="single" w:sz="8" w:color="auto"/>
            </w:tcBorders>
            <w:vMerge w:val="continue"/>
            <w:shd w:val="clear" w:color="auto" w:fill="D9E2F3"/>
          </w:tcPr>
          <w:p>
            <w:pPr>
              <w:spacing w:after="0"/>
              <w:rPr>
                <w:sz w:val="7"/>
                <w:szCs w:val="7"/>
                <w:color w:val="auto"/>
              </w:rPr>
            </w:pPr>
          </w:p>
        </w:tc>
        <w:tc>
          <w:tcPr>
            <w:tcW w:w="840" w:type="dxa"/>
            <w:vAlign w:val="bottom"/>
            <w:tcBorders>
              <w:right w:val="single" w:sz="8" w:color="auto"/>
            </w:tcBorders>
            <w:vMerge w:val="continue"/>
            <w:shd w:val="clear" w:color="auto" w:fill="D9E2F3"/>
          </w:tcPr>
          <w:p>
            <w:pPr>
              <w:spacing w:after="0"/>
              <w:rPr>
                <w:sz w:val="7"/>
                <w:szCs w:val="7"/>
                <w:color w:val="auto"/>
              </w:rPr>
            </w:pPr>
          </w:p>
        </w:tc>
        <w:tc>
          <w:tcPr>
            <w:tcW w:w="820" w:type="dxa"/>
            <w:vAlign w:val="bottom"/>
            <w:tcBorders>
              <w:right w:val="single" w:sz="8" w:color="auto"/>
            </w:tcBorders>
            <w:vMerge w:val="continue"/>
            <w:shd w:val="clear" w:color="auto" w:fill="D9E2F3"/>
          </w:tcPr>
          <w:p>
            <w:pPr>
              <w:spacing w:after="0"/>
              <w:rPr>
                <w:sz w:val="7"/>
                <w:szCs w:val="7"/>
                <w:color w:val="auto"/>
              </w:rPr>
            </w:pPr>
          </w:p>
        </w:tc>
        <w:tc>
          <w:tcPr>
            <w:tcW w:w="740" w:type="dxa"/>
            <w:vAlign w:val="bottom"/>
            <w:tcBorders>
              <w:right w:val="single" w:sz="8" w:color="auto"/>
            </w:tcBorders>
            <w:vMerge w:val="continue"/>
            <w:shd w:val="clear" w:color="auto" w:fill="D9E2F3"/>
          </w:tcPr>
          <w:p>
            <w:pPr>
              <w:spacing w:after="0"/>
              <w:rPr>
                <w:sz w:val="7"/>
                <w:szCs w:val="7"/>
                <w:color w:val="auto"/>
              </w:rPr>
            </w:pPr>
          </w:p>
        </w:tc>
        <w:tc>
          <w:tcPr>
            <w:tcW w:w="740" w:type="dxa"/>
            <w:vAlign w:val="bottom"/>
            <w:tcBorders>
              <w:right w:val="single" w:sz="8" w:color="auto"/>
            </w:tcBorders>
            <w:vMerge w:val="continue"/>
            <w:shd w:val="clear" w:color="auto" w:fill="D9E2F3"/>
          </w:tcPr>
          <w:p>
            <w:pPr>
              <w:spacing w:after="0"/>
              <w:rPr>
                <w:sz w:val="7"/>
                <w:szCs w:val="7"/>
                <w:color w:val="auto"/>
              </w:rPr>
            </w:pPr>
          </w:p>
        </w:tc>
        <w:tc>
          <w:tcPr>
            <w:tcW w:w="780" w:type="dxa"/>
            <w:vAlign w:val="bottom"/>
            <w:tcBorders>
              <w:right w:val="single" w:sz="8" w:color="auto"/>
            </w:tcBorders>
            <w:gridSpan w:val="2"/>
            <w:vMerge w:val="restart"/>
            <w:shd w:val="clear" w:color="auto" w:fill="D9E2F3"/>
          </w:tcPr>
          <w:p>
            <w:pPr>
              <w:ind w:left="80"/>
              <w:spacing w:after="0"/>
              <w:rPr>
                <w:sz w:val="20"/>
                <w:szCs w:val="20"/>
                <w:color w:val="auto"/>
              </w:rPr>
            </w:pPr>
            <w:r>
              <w:rPr>
                <w:rFonts w:ascii="Times New Roman" w:cs="Times New Roman" w:eastAsia="Times New Roman" w:hAnsi="Times New Roman"/>
                <w:sz w:val="14"/>
                <w:szCs w:val="14"/>
                <w:color w:val="auto"/>
              </w:rPr>
              <w:t>6,542</w:t>
            </w:r>
          </w:p>
        </w:tc>
        <w:tc>
          <w:tcPr>
            <w:tcW w:w="740" w:type="dxa"/>
            <w:vAlign w:val="bottom"/>
            <w:tcBorders>
              <w:right w:val="single" w:sz="8" w:color="auto"/>
            </w:tcBorders>
            <w:vMerge w:val="continue"/>
            <w:shd w:val="clear" w:color="auto" w:fill="D9E2F3"/>
          </w:tcPr>
          <w:p>
            <w:pPr>
              <w:spacing w:after="0"/>
              <w:rPr>
                <w:sz w:val="7"/>
                <w:szCs w:val="7"/>
                <w:color w:val="auto"/>
              </w:rPr>
            </w:pPr>
          </w:p>
        </w:tc>
        <w:tc>
          <w:tcPr>
            <w:tcW w:w="760" w:type="dxa"/>
            <w:vAlign w:val="bottom"/>
            <w:tcBorders>
              <w:right w:val="single" w:sz="8" w:color="auto"/>
            </w:tcBorders>
            <w:vMerge w:val="continue"/>
            <w:shd w:val="clear" w:color="auto" w:fill="D9E2F3"/>
          </w:tcPr>
          <w:p>
            <w:pPr>
              <w:spacing w:after="0"/>
              <w:rPr>
                <w:sz w:val="7"/>
                <w:szCs w:val="7"/>
                <w:color w:val="auto"/>
              </w:rPr>
            </w:pPr>
          </w:p>
        </w:tc>
        <w:tc>
          <w:tcPr>
            <w:tcW w:w="760" w:type="dxa"/>
            <w:vAlign w:val="bottom"/>
            <w:tcBorders>
              <w:right w:val="single" w:sz="8" w:color="auto"/>
            </w:tcBorders>
            <w:vMerge w:val="continue"/>
            <w:shd w:val="clear" w:color="auto" w:fill="D9E2F3"/>
          </w:tcPr>
          <w:p>
            <w:pPr>
              <w:spacing w:after="0"/>
              <w:rPr>
                <w:sz w:val="7"/>
                <w:szCs w:val="7"/>
                <w:color w:val="auto"/>
              </w:rPr>
            </w:pPr>
          </w:p>
        </w:tc>
        <w:tc>
          <w:tcPr>
            <w:tcW w:w="860" w:type="dxa"/>
            <w:vAlign w:val="bottom"/>
            <w:tcBorders>
              <w:right w:val="single" w:sz="8" w:color="auto"/>
            </w:tcBorders>
            <w:vMerge w:val="continue"/>
            <w:shd w:val="clear" w:color="auto" w:fill="D9E2F3"/>
          </w:tcPr>
          <w:p>
            <w:pPr>
              <w:spacing w:after="0"/>
              <w:rPr>
                <w:sz w:val="7"/>
                <w:szCs w:val="7"/>
                <w:color w:val="auto"/>
              </w:rPr>
            </w:pPr>
          </w:p>
        </w:tc>
        <w:tc>
          <w:tcPr>
            <w:tcW w:w="860" w:type="dxa"/>
            <w:vAlign w:val="bottom"/>
            <w:tcBorders>
              <w:right w:val="single" w:sz="8" w:color="auto"/>
            </w:tcBorders>
            <w:vMerge w:val="continue"/>
            <w:shd w:val="clear" w:color="auto" w:fill="D9E2F3"/>
          </w:tcPr>
          <w:p>
            <w:pPr>
              <w:spacing w:after="0"/>
              <w:rPr>
                <w:sz w:val="7"/>
                <w:szCs w:val="7"/>
                <w:color w:val="auto"/>
              </w:rPr>
            </w:pPr>
          </w:p>
        </w:tc>
        <w:tc>
          <w:tcPr>
            <w:tcW w:w="900" w:type="dxa"/>
            <w:vAlign w:val="bottom"/>
            <w:tcBorders>
              <w:right w:val="single" w:sz="8" w:color="auto"/>
            </w:tcBorders>
            <w:vMerge w:val="continue"/>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2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Greene</w:t>
            </w:r>
          </w:p>
        </w:tc>
        <w:tc>
          <w:tcPr>
            <w:tcW w:w="720" w:type="dxa"/>
            <w:vAlign w:val="bottom"/>
            <w:tcBorders>
              <w:right w:val="single" w:sz="8" w:color="auto"/>
            </w:tcBorders>
            <w:shd w:val="clear" w:color="auto" w:fill="D9E2F3"/>
          </w:tcPr>
          <w:p>
            <w:pPr>
              <w:spacing w:after="0"/>
              <w:rPr>
                <w:sz w:val="9"/>
                <w:szCs w:val="9"/>
                <w:color w:val="auto"/>
              </w:rPr>
            </w:pPr>
          </w:p>
        </w:tc>
        <w:tc>
          <w:tcPr>
            <w:tcW w:w="840" w:type="dxa"/>
            <w:vAlign w:val="bottom"/>
            <w:tcBorders>
              <w:right w:val="single" w:sz="8" w:color="auto"/>
            </w:tcBorders>
            <w:shd w:val="clear" w:color="auto" w:fill="D9E2F3"/>
          </w:tcPr>
          <w:p>
            <w:pPr>
              <w:spacing w:after="0"/>
              <w:rPr>
                <w:sz w:val="9"/>
                <w:szCs w:val="9"/>
                <w:color w:val="auto"/>
              </w:rPr>
            </w:pPr>
          </w:p>
        </w:tc>
        <w:tc>
          <w:tcPr>
            <w:tcW w:w="820" w:type="dxa"/>
            <w:vAlign w:val="bottom"/>
            <w:tcBorders>
              <w:right w:val="single" w:sz="8" w:color="auto"/>
            </w:tcBorders>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gridSpan w:val="2"/>
            <w:vMerge w:val="continue"/>
            <w:shd w:val="clear" w:color="auto" w:fill="D9E2F3"/>
          </w:tcPr>
          <w:p>
            <w:pPr>
              <w:spacing w:after="0"/>
              <w:rPr>
                <w:sz w:val="9"/>
                <w:szCs w:val="9"/>
                <w:color w:val="auto"/>
              </w:rPr>
            </w:pPr>
          </w:p>
        </w:tc>
        <w:tc>
          <w:tcPr>
            <w:tcW w:w="740" w:type="dxa"/>
            <w:vAlign w:val="bottom"/>
            <w:tcBorders>
              <w:right w:val="single" w:sz="8" w:color="auto"/>
            </w:tcBorders>
            <w:shd w:val="clear" w:color="auto" w:fill="D9E2F3"/>
          </w:tcPr>
          <w:p>
            <w:pPr>
              <w:spacing w:after="0"/>
              <w:rPr>
                <w:sz w:val="9"/>
                <w:szCs w:val="9"/>
                <w:color w:val="auto"/>
              </w:rPr>
            </w:pPr>
          </w:p>
        </w:tc>
        <w:tc>
          <w:tcPr>
            <w:tcW w:w="760" w:type="dxa"/>
            <w:vAlign w:val="bottom"/>
            <w:tcBorders>
              <w:right w:val="single" w:sz="8" w:color="auto"/>
            </w:tcBorders>
            <w:shd w:val="clear" w:color="auto" w:fill="D9E2F3"/>
          </w:tcPr>
          <w:p>
            <w:pPr>
              <w:spacing w:after="0"/>
              <w:rPr>
                <w:sz w:val="9"/>
                <w:szCs w:val="9"/>
                <w:color w:val="auto"/>
              </w:rPr>
            </w:pPr>
          </w:p>
        </w:tc>
        <w:tc>
          <w:tcPr>
            <w:tcW w:w="760" w:type="dxa"/>
            <w:vAlign w:val="bottom"/>
            <w:tcBorders>
              <w:right w:val="single" w:sz="8" w:color="auto"/>
            </w:tcBorders>
            <w:shd w:val="clear" w:color="auto" w:fill="D9E2F3"/>
          </w:tcPr>
          <w:p>
            <w:pPr>
              <w:spacing w:after="0"/>
              <w:rPr>
                <w:sz w:val="9"/>
                <w:szCs w:val="9"/>
                <w:color w:val="auto"/>
              </w:rPr>
            </w:pPr>
          </w:p>
        </w:tc>
        <w:tc>
          <w:tcPr>
            <w:tcW w:w="860" w:type="dxa"/>
            <w:vAlign w:val="bottom"/>
            <w:tcBorders>
              <w:right w:val="single" w:sz="8" w:color="auto"/>
            </w:tcBorders>
            <w:shd w:val="clear" w:color="auto" w:fill="D9E2F3"/>
          </w:tcPr>
          <w:p>
            <w:pPr>
              <w:spacing w:after="0"/>
              <w:rPr>
                <w:sz w:val="9"/>
                <w:szCs w:val="9"/>
                <w:color w:val="auto"/>
              </w:rPr>
            </w:pPr>
          </w:p>
        </w:tc>
        <w:tc>
          <w:tcPr>
            <w:tcW w:w="860" w:type="dxa"/>
            <w:vAlign w:val="bottom"/>
            <w:tcBorders>
              <w:right w:val="single" w:sz="8" w:color="auto"/>
            </w:tcBorders>
            <w:shd w:val="clear" w:color="auto" w:fill="D9E2F3"/>
          </w:tcPr>
          <w:p>
            <w:pPr>
              <w:spacing w:after="0"/>
              <w:rPr>
                <w:sz w:val="9"/>
                <w:szCs w:val="9"/>
                <w:color w:val="auto"/>
              </w:rPr>
            </w:pPr>
          </w:p>
        </w:tc>
        <w:tc>
          <w:tcPr>
            <w:tcW w:w="900" w:type="dxa"/>
            <w:vAlign w:val="bottom"/>
            <w:tcBorders>
              <w:right w:val="single" w:sz="8" w:color="auto"/>
            </w:tcBorders>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2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200" w:type="dxa"/>
            <w:vAlign w:val="bottom"/>
            <w:shd w:val="clear" w:color="auto" w:fill="D9E2F3"/>
          </w:tcPr>
          <w:p>
            <w:pPr>
              <w:spacing w:after="0"/>
              <w:rPr>
                <w:sz w:val="3"/>
                <w:szCs w:val="3"/>
                <w:color w:val="auto"/>
              </w:rPr>
            </w:pPr>
          </w:p>
        </w:tc>
        <w:tc>
          <w:tcPr>
            <w:tcW w:w="58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90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County, OH</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(3300161)</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Illinois</w:t>
            </w:r>
          </w:p>
        </w:tc>
        <w:tc>
          <w:tcPr>
            <w:tcW w:w="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$23,036</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20" w:type="dxa"/>
            <w:vAlign w:val="bottom"/>
            <w:tcBorders>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20" w:type="dxa"/>
            <w:vAlign w:val="bottom"/>
            <w:tcBorders>
              <w:right w:val="single" w:sz="8" w:color="auto"/>
            </w:tcBorders>
            <w:vMerge w:val="continue"/>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LaSalle, IL</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(1100003)</w:t>
            </w:r>
          </w:p>
        </w:tc>
        <w:tc>
          <w:tcPr>
            <w:tcW w:w="7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Kosmos</w:t>
            </w:r>
          </w:p>
        </w:tc>
        <w:tc>
          <w:tcPr>
            <w:tcW w:w="7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gridSpan w:val="2"/>
            <w:vMerge w:val="restart"/>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$67,137</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00" w:type="dxa"/>
            <w:vAlign w:val="bottom"/>
            <w:tcBorders>
              <w:right w:val="single" w:sz="8" w:color="auto"/>
            </w:tcBorders>
            <w:vMerge w:val="restart"/>
            <w:shd w:val="clear" w:color="auto" w:fill="D9E2F3"/>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gridSpan w:val="2"/>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90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Jefferson,</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(1504469)</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Mountain</w:t>
            </w:r>
          </w:p>
        </w:tc>
        <w:tc>
          <w:tcPr>
            <w:tcW w:w="7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3</w:t>
            </w: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$25,997</w:t>
            </w: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no</w:t>
            </w: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no</w:t>
            </w:r>
          </w:p>
        </w:tc>
        <w:tc>
          <w:tcPr>
            <w:tcW w:w="8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tcPr>
          <w:p>
            <w:pPr>
              <w:jc w:val="right"/>
              <w:ind w:right="233"/>
              <w:spacing w:after="0" w:line="133" w:lineRule="exact"/>
              <w:rPr>
                <w:sz w:val="20"/>
                <w:szCs w:val="20"/>
                <w:color w:val="auto"/>
              </w:rPr>
            </w:pP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7"/>
                <w:szCs w:val="7"/>
                <w:color w:val="auto"/>
              </w:rPr>
              <w:t>(1)</w:t>
            </w:r>
          </w:p>
        </w:tc>
        <w:tc>
          <w:tcPr>
            <w:tcW w:w="900" w:type="dxa"/>
            <w:vAlign w:val="bottom"/>
            <w:tcBorders>
              <w:right w:val="single" w:sz="8" w:color="auto"/>
            </w:tcBorders>
          </w:tcPr>
          <w:p>
            <w:pPr>
              <w:ind w:left="400"/>
              <w:spacing w:after="0" w:line="133" w:lineRule="exact"/>
              <w:rPr>
                <w:sz w:val="20"/>
                <w:szCs w:val="20"/>
                <w:color w:val="auto"/>
              </w:rPr>
            </w:pP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7"/>
                <w:szCs w:val="7"/>
                <w:color w:val="auto"/>
              </w:rPr>
              <w:t>(1)</w:t>
            </w: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Laramie,</w:t>
            </w:r>
          </w:p>
        </w:tc>
        <w:tc>
          <w:tcPr>
            <w:tcW w:w="7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0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0520"/>
          </w:cols>
          <w:pgMar w:left="680" w:top="1427" w:right="699" w:bottom="0" w:gutter="0" w:footer="0" w:header="0"/>
        </w:sectPr>
      </w:pPr>
    </w:p>
    <w:bookmarkStart w:id="129" w:name="page130"/>
    <w:bookmarkEnd w:id="1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1565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5">
                      <a:extLst>
                        <a:ext uri="{28A0092B-C50C-407E-A947-70E740481C1C}"/>
                      </a:extLst>
                    </a:blip>
                    <a:srcRect/>
                    <a:stretch>
                      <a:fillRect/>
                    </a:stretch>
                  </pic:blipFill>
                  <pic:spPr bwMode="auto">
                    <a:xfrm>
                      <a:off x="0" y="0"/>
                      <a:ext cx="7136130" cy="31565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1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WY</w:t>
            </w:r>
          </w:p>
        </w:tc>
        <w:tc>
          <w:tcPr>
            <w:tcW w:w="7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(4800007)</w:t>
            </w:r>
          </w:p>
        </w:tc>
        <w:tc>
          <w:tcPr>
            <w:tcW w:w="7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Nevada</w:t>
            </w:r>
          </w:p>
        </w:tc>
        <w:tc>
          <w:tcPr>
            <w:tcW w:w="74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4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40" w:type="dxa"/>
            <w:vAlign w:val="bottom"/>
            <w:tcBorders>
              <w:right w:val="single" w:sz="8" w:color="auto"/>
            </w:tcBorders>
            <w:vMerge w:val="restart"/>
            <w:shd w:val="clear" w:color="auto" w:fill="D9E2F3"/>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84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$13,366</w:t>
            </w:r>
          </w:p>
        </w:tc>
        <w:tc>
          <w:tcPr>
            <w:tcW w:w="7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760" w:type="dxa"/>
            <w:vAlign w:val="bottom"/>
            <w:tcBorders>
              <w:right w:val="single" w:sz="8" w:color="auto"/>
            </w:tcBorders>
            <w:vMerge w:val="restart"/>
            <w:shd w:val="clear" w:color="auto" w:fill="D9E2F3"/>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86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ind w:left="38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tcBorders>
              <w:right w:val="single" w:sz="8" w:color="auto"/>
            </w:tcBorders>
            <w:vMerge w:val="restart"/>
            <w:shd w:val="clear" w:color="auto" w:fill="D9E2F3"/>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860" w:type="dxa"/>
            <w:vAlign w:val="bottom"/>
            <w:tcBorders>
              <w:right w:val="single" w:sz="8" w:color="auto"/>
            </w:tcBorders>
            <w:vMerge w:val="continue"/>
            <w:shd w:val="clear" w:color="auto" w:fill="D9E2F3"/>
          </w:tcPr>
          <w:p>
            <w:pPr>
              <w:spacing w:after="0"/>
              <w:rPr>
                <w:sz w:val="9"/>
                <w:szCs w:val="9"/>
                <w:color w:val="auto"/>
              </w:rPr>
            </w:pPr>
          </w:p>
        </w:tc>
        <w:tc>
          <w:tcPr>
            <w:tcW w:w="90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860" w:type="dxa"/>
            <w:vAlign w:val="bottom"/>
            <w:tcBorders>
              <w:right w:val="single" w:sz="8" w:color="auto"/>
            </w:tcBorders>
            <w:shd w:val="clear" w:color="auto" w:fill="D9E2F3"/>
          </w:tcPr>
          <w:p>
            <w:pPr>
              <w:spacing w:after="0"/>
              <w:rPr>
                <w:sz w:val="3"/>
                <w:szCs w:val="3"/>
                <w:color w:val="auto"/>
              </w:rPr>
            </w:pPr>
          </w:p>
        </w:tc>
        <w:tc>
          <w:tcPr>
            <w:tcW w:w="90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Fernley, NV</w:t>
            </w:r>
          </w:p>
        </w:tc>
        <w:tc>
          <w:tcPr>
            <w:tcW w:w="74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(2600015)</w:t>
            </w: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Seguin Sand</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Guadalupe,</w:t>
            </w:r>
          </w:p>
        </w:tc>
        <w:tc>
          <w:tcPr>
            <w:tcW w:w="74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7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86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TX</w:t>
            </w:r>
          </w:p>
        </w:tc>
        <w:tc>
          <w:tcPr>
            <w:tcW w:w="7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(4105665)</w:t>
            </w:r>
          </w:p>
        </w:tc>
        <w:tc>
          <w:tcPr>
            <w:tcW w:w="7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00" w:type="dxa"/>
            <w:vAlign w:val="bottom"/>
            <w:tcBorders>
              <w:left w:val="single" w:sz="8" w:color="auto"/>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Texas Lehigh</w:t>
            </w:r>
          </w:p>
        </w:tc>
        <w:tc>
          <w:tcPr>
            <w:tcW w:w="74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40" w:type="dxa"/>
            <w:vAlign w:val="bottom"/>
            <w:tcBorders>
              <w:right w:val="single" w:sz="8" w:color="auto"/>
            </w:tcBorders>
            <w:vMerge w:val="restart"/>
            <w:shd w:val="clear" w:color="auto" w:fill="D9E2F3"/>
          </w:tcPr>
          <w:p>
            <w:pPr>
              <w:jc w:val="right"/>
              <w:ind w:right="268"/>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right w:val="single" w:sz="8" w:color="auto"/>
            </w:tcBorders>
            <w:vMerge w:val="restart"/>
            <w:shd w:val="clear" w:color="auto" w:fill="D9E2F3"/>
          </w:tcPr>
          <w:p>
            <w:pPr>
              <w:ind w:left="440"/>
              <w:spacing w:after="0"/>
              <w:rPr>
                <w:sz w:val="20"/>
                <w:szCs w:val="20"/>
                <w:color w:val="auto"/>
              </w:rPr>
            </w:pPr>
            <w:r>
              <w:rPr>
                <w:rFonts w:ascii="Times New Roman" w:cs="Times New Roman" w:eastAsia="Times New Roman" w:hAnsi="Times New Roman"/>
                <w:sz w:val="14"/>
                <w:szCs w:val="14"/>
                <w:color w:val="auto"/>
              </w:rPr>
              <w:t>$11</w:t>
            </w:r>
          </w:p>
        </w:tc>
        <w:tc>
          <w:tcPr>
            <w:tcW w:w="7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760" w:type="dxa"/>
            <w:vAlign w:val="bottom"/>
            <w:tcBorders>
              <w:right w:val="single" w:sz="8" w:color="auto"/>
            </w:tcBorders>
            <w:vMerge w:val="restart"/>
            <w:shd w:val="clear" w:color="auto" w:fill="D9E2F3"/>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860" w:type="dxa"/>
            <w:vAlign w:val="bottom"/>
            <w:tcBorders>
              <w:right w:val="single" w:sz="8" w:color="auto"/>
            </w:tcBorders>
            <w:vMerge w:val="restart"/>
            <w:shd w:val="clear" w:color="auto" w:fill="D9E2F3"/>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vMerge w:val="restart"/>
            <w:shd w:val="clear" w:color="auto" w:fill="D9E2F3"/>
          </w:tcPr>
          <w:p>
            <w:pPr>
              <w:ind w:left="380"/>
              <w:spacing w:after="0" w:line="293" w:lineRule="exact"/>
              <w:rPr>
                <w:sz w:val="20"/>
                <w:szCs w:val="20"/>
                <w:color w:val="auto"/>
              </w:rPr>
            </w:pP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0"/>
                <w:szCs w:val="10"/>
                <w:color w:val="auto"/>
              </w:rPr>
              <w:t>(1)</w:t>
            </w:r>
          </w:p>
        </w:tc>
        <w:tc>
          <w:tcPr>
            <w:tcW w:w="900" w:type="dxa"/>
            <w:vAlign w:val="bottom"/>
            <w:tcBorders>
              <w:right w:val="single" w:sz="8" w:color="auto"/>
            </w:tcBorders>
            <w:vMerge w:val="restart"/>
            <w:shd w:val="clear" w:color="auto" w:fill="D9E2F3"/>
          </w:tcPr>
          <w:p>
            <w:pPr>
              <w:ind w:left="400"/>
              <w:spacing w:after="0" w:line="293" w:lineRule="exact"/>
              <w:rPr>
                <w:sz w:val="20"/>
                <w:szCs w:val="20"/>
                <w:color w:val="auto"/>
              </w:rPr>
            </w:pP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4"/>
        </w:trPr>
        <w:tc>
          <w:tcPr>
            <w:tcW w:w="1000" w:type="dxa"/>
            <w:vAlign w:val="bottom"/>
            <w:tcBorders>
              <w:left w:val="single" w:sz="8" w:color="auto"/>
              <w:right w:val="single" w:sz="8" w:color="auto"/>
            </w:tcBorders>
            <w:shd w:val="clear" w:color="auto" w:fill="D9E2F3"/>
          </w:tcPr>
          <w:p>
            <w:pPr>
              <w:ind w:left="100"/>
              <w:spacing w:after="0" w:line="145" w:lineRule="exact"/>
              <w:rPr>
                <w:sz w:val="20"/>
                <w:szCs w:val="20"/>
                <w:color w:val="auto"/>
              </w:rPr>
            </w:pPr>
            <w:r>
              <w:rPr>
                <w:rFonts w:ascii="Times New Roman" w:cs="Times New Roman" w:eastAsia="Times New Roman" w:hAnsi="Times New Roman"/>
                <w:sz w:val="14"/>
                <w:szCs w:val="14"/>
                <w:color w:val="auto"/>
              </w:rPr>
              <w:t>Company</w:t>
            </w: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860" w:type="dxa"/>
            <w:vAlign w:val="bottom"/>
            <w:tcBorders>
              <w:right w:val="single" w:sz="8" w:color="auto"/>
            </w:tcBorders>
            <w:vMerge w:val="continue"/>
            <w:shd w:val="clear" w:color="auto" w:fill="D9E2F3"/>
          </w:tcPr>
          <w:p>
            <w:pPr>
              <w:spacing w:after="0"/>
              <w:rPr>
                <w:sz w:val="12"/>
                <w:szCs w:val="12"/>
                <w:color w:val="auto"/>
              </w:rPr>
            </w:pPr>
          </w:p>
        </w:tc>
        <w:tc>
          <w:tcPr>
            <w:tcW w:w="90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tcBorders>
              <w:left w:val="single" w:sz="8" w:color="auto"/>
              <w:right w:val="single" w:sz="8" w:color="auto"/>
            </w:tcBorders>
            <w:shd w:val="clear" w:color="auto" w:fill="D9E2F3"/>
          </w:tcPr>
          <w:p>
            <w:pPr>
              <w:ind w:left="100"/>
              <w:spacing w:after="0" w:line="153" w:lineRule="exact"/>
              <w:rPr>
                <w:sz w:val="20"/>
                <w:szCs w:val="20"/>
                <w:color w:val="auto"/>
              </w:rPr>
            </w:pPr>
            <w:r>
              <w:rPr>
                <w:rFonts w:ascii="Times New Roman" w:cs="Times New Roman" w:eastAsia="Times New Roman" w:hAnsi="Times New Roman"/>
                <w:sz w:val="14"/>
                <w:szCs w:val="14"/>
                <w:color w:val="auto"/>
              </w:rPr>
              <w:t>Buda, TX</w:t>
            </w:r>
          </w:p>
        </w:tc>
        <w:tc>
          <w:tcPr>
            <w:tcW w:w="740" w:type="dxa"/>
            <w:vAlign w:val="bottom"/>
            <w:tcBorders>
              <w:right w:val="single" w:sz="8" w:color="auto"/>
            </w:tcBorders>
            <w:shd w:val="clear" w:color="auto" w:fill="D9E2F3"/>
          </w:tcPr>
          <w:p>
            <w:pPr>
              <w:spacing w:after="0"/>
              <w:rPr>
                <w:sz w:val="13"/>
                <w:szCs w:val="13"/>
                <w:color w:val="auto"/>
              </w:rPr>
            </w:pPr>
          </w:p>
        </w:tc>
        <w:tc>
          <w:tcPr>
            <w:tcW w:w="840" w:type="dxa"/>
            <w:vAlign w:val="bottom"/>
            <w:tcBorders>
              <w:right w:val="single" w:sz="8" w:color="auto"/>
            </w:tcBorders>
            <w:shd w:val="clear" w:color="auto" w:fill="D9E2F3"/>
          </w:tcPr>
          <w:p>
            <w:pPr>
              <w:spacing w:after="0"/>
              <w:rPr>
                <w:sz w:val="13"/>
                <w:szCs w:val="13"/>
                <w:color w:val="auto"/>
              </w:rPr>
            </w:pPr>
          </w:p>
        </w:tc>
        <w:tc>
          <w:tcPr>
            <w:tcW w:w="820" w:type="dxa"/>
            <w:vAlign w:val="bottom"/>
            <w:tcBorders>
              <w:right w:val="single" w:sz="8" w:color="auto"/>
            </w:tcBorders>
            <w:shd w:val="clear" w:color="auto" w:fill="D9E2F3"/>
          </w:tcPr>
          <w:p>
            <w:pPr>
              <w:spacing w:after="0"/>
              <w:rPr>
                <w:sz w:val="13"/>
                <w:szCs w:val="13"/>
                <w:color w:val="auto"/>
              </w:rPr>
            </w:pPr>
          </w:p>
        </w:tc>
        <w:tc>
          <w:tcPr>
            <w:tcW w:w="740" w:type="dxa"/>
            <w:vAlign w:val="bottom"/>
            <w:tcBorders>
              <w:right w:val="single" w:sz="8" w:color="auto"/>
            </w:tcBorders>
            <w:shd w:val="clear" w:color="auto" w:fill="D9E2F3"/>
          </w:tcPr>
          <w:p>
            <w:pPr>
              <w:spacing w:after="0"/>
              <w:rPr>
                <w:sz w:val="13"/>
                <w:szCs w:val="13"/>
                <w:color w:val="auto"/>
              </w:rPr>
            </w:pPr>
          </w:p>
        </w:tc>
        <w:tc>
          <w:tcPr>
            <w:tcW w:w="740" w:type="dxa"/>
            <w:vAlign w:val="bottom"/>
            <w:tcBorders>
              <w:right w:val="single" w:sz="8" w:color="auto"/>
            </w:tcBorders>
            <w:shd w:val="clear" w:color="auto" w:fill="D9E2F3"/>
          </w:tcPr>
          <w:p>
            <w:pPr>
              <w:spacing w:after="0"/>
              <w:rPr>
                <w:sz w:val="13"/>
                <w:szCs w:val="13"/>
                <w:color w:val="auto"/>
              </w:rPr>
            </w:pPr>
          </w:p>
        </w:tc>
        <w:tc>
          <w:tcPr>
            <w:tcW w:w="780" w:type="dxa"/>
            <w:vAlign w:val="bottom"/>
            <w:tcBorders>
              <w:right w:val="single" w:sz="8" w:color="auto"/>
            </w:tcBorders>
            <w:shd w:val="clear" w:color="auto" w:fill="D9E2F3"/>
          </w:tcPr>
          <w:p>
            <w:pPr>
              <w:ind w:left="80"/>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74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860" w:type="dxa"/>
            <w:vAlign w:val="bottom"/>
            <w:tcBorders>
              <w:right w:val="single" w:sz="8" w:color="auto"/>
            </w:tcBorders>
            <w:shd w:val="clear" w:color="auto" w:fill="D9E2F3"/>
          </w:tcPr>
          <w:p>
            <w:pPr>
              <w:spacing w:after="0"/>
              <w:rPr>
                <w:sz w:val="13"/>
                <w:szCs w:val="13"/>
                <w:color w:val="auto"/>
              </w:rPr>
            </w:pPr>
          </w:p>
        </w:tc>
        <w:tc>
          <w:tcPr>
            <w:tcW w:w="860" w:type="dxa"/>
            <w:vAlign w:val="bottom"/>
            <w:tcBorders>
              <w:right w:val="single" w:sz="8" w:color="auto"/>
            </w:tcBorders>
            <w:shd w:val="clear" w:color="auto" w:fill="D9E2F3"/>
          </w:tcPr>
          <w:p>
            <w:pPr>
              <w:spacing w:after="0"/>
              <w:rPr>
                <w:sz w:val="13"/>
                <w:szCs w:val="13"/>
                <w:color w:val="auto"/>
              </w:rPr>
            </w:pPr>
          </w:p>
        </w:tc>
        <w:tc>
          <w:tcPr>
            <w:tcW w:w="900" w:type="dxa"/>
            <w:vAlign w:val="bottom"/>
            <w:tcBorders>
              <w:right w:val="single" w:sz="8" w:color="auto"/>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(4102781)</w:t>
            </w: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4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right w:val="single" w:sz="8" w:color="auto"/>
            </w:tcBorders>
            <w:shd w:val="clear" w:color="auto" w:fill="D9E2F3"/>
          </w:tcPr>
          <w:p>
            <w:pPr>
              <w:spacing w:after="0"/>
              <w:rPr>
                <w:sz w:val="16"/>
                <w:szCs w:val="16"/>
                <w:color w:val="auto"/>
              </w:rPr>
            </w:pPr>
          </w:p>
        </w:tc>
        <w:tc>
          <w:tcPr>
            <w:tcW w:w="90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360" w:hanging="714"/>
        <w:spacing w:after="0"/>
        <w:tabs>
          <w:tab w:leader="none" w:pos="13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1168400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77" w:right="6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POLICIES &amp; PROCEDURES MANUAL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15087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7">
                      <a:extLst>
                        <a:ext uri="{28A0092B-C50C-407E-A947-70E740481C1C}"/>
                      </a:extLst>
                    </a:blip>
                    <a:srcRect/>
                    <a:stretch>
                      <a:fillRect/>
                    </a:stretch>
                  </pic:blipFill>
                  <pic:spPr bwMode="auto">
                    <a:xfrm>
                      <a:off x="0" y="0"/>
                      <a:ext cx="7157720" cy="15087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2880" w:type="dxa"/>
            <w:vAlign w:val="bottom"/>
            <w:tcBorders>
              <w:top w:val="single" w:sz="8" w:color="auto"/>
              <w:bottom w:val="single" w:sz="8" w:color="auto"/>
            </w:tcBorders>
          </w:tcPr>
          <w:p>
            <w:pPr>
              <w:spacing w:after="0"/>
              <w:rPr>
                <w:sz w:val="3"/>
                <w:szCs w:val="3"/>
                <w:color w:val="auto"/>
              </w:rPr>
            </w:pPr>
          </w:p>
        </w:tc>
        <w:tc>
          <w:tcPr>
            <w:tcW w:w="4620" w:type="dxa"/>
            <w:vAlign w:val="bottom"/>
            <w:tcBorders>
              <w:top w:val="single" w:sz="8" w:color="auto"/>
              <w:bottom w:val="single" w:sz="8" w:color="auto"/>
            </w:tcBorders>
          </w:tcPr>
          <w:p>
            <w:pPr>
              <w:spacing w:after="0"/>
              <w:rPr>
                <w:sz w:val="3"/>
                <w:szCs w:val="3"/>
                <w:color w:val="auto"/>
              </w:rPr>
            </w:pPr>
          </w:p>
        </w:tc>
        <w:tc>
          <w:tcPr>
            <w:tcW w:w="3700" w:type="dxa"/>
            <w:vAlign w:val="bottom"/>
            <w:tcBorders>
              <w:top w:val="single" w:sz="8" w:color="auto"/>
              <w:bottom w:val="single" w:sz="8" w:color="auto"/>
              <w:right w:val="single" w:sz="8" w:color="auto"/>
            </w:tcBorders>
          </w:tcPr>
          <w:p>
            <w:pPr>
              <w:spacing w:after="0"/>
              <w:rPr>
                <w:sz w:val="3"/>
                <w:szCs w:val="3"/>
                <w:color w:val="auto"/>
              </w:rPr>
            </w:pPr>
          </w:p>
        </w:tc>
      </w:tr>
      <w:tr>
        <w:trPr>
          <w:trHeight w:val="345"/>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POLICY #:</w:t>
            </w:r>
          </w:p>
        </w:tc>
        <w:tc>
          <w:tcPr>
            <w:tcW w:w="462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SCOPE:</w:t>
            </w:r>
          </w:p>
        </w:tc>
        <w:tc>
          <w:tcPr>
            <w:tcW w:w="3700" w:type="dxa"/>
            <w:vAlign w:val="bottom"/>
            <w:tcBorders>
              <w:right w:val="single" w:sz="8" w:color="auto"/>
            </w:tcBorders>
          </w:tcPr>
          <w:p>
            <w:pPr>
              <w:spacing w:after="0"/>
              <w:rPr>
                <w:sz w:val="24"/>
                <w:szCs w:val="2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28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COR-05</w:t>
            </w:r>
          </w:p>
        </w:tc>
        <w:tc>
          <w:tcPr>
            <w:tcW w:w="462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Officers of Eagle Materials Inc. or its</w:t>
            </w:r>
          </w:p>
        </w:tc>
        <w:tc>
          <w:tcPr>
            <w:tcW w:w="3700" w:type="dxa"/>
            <w:vAlign w:val="bottom"/>
            <w:tcBorders>
              <w:right w:val="single" w:sz="8" w:color="auto"/>
            </w:tcBorders>
          </w:tcPr>
          <w:p>
            <w:pPr>
              <w:spacing w:after="0"/>
              <w:rPr>
                <w:sz w:val="21"/>
                <w:szCs w:val="21"/>
                <w:color w:val="auto"/>
              </w:rPr>
            </w:pPr>
          </w:p>
        </w:tc>
      </w:tr>
      <w:tr>
        <w:trPr>
          <w:trHeight w:val="282"/>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spacing w:after="0"/>
              <w:rPr>
                <w:sz w:val="24"/>
                <w:szCs w:val="24"/>
                <w:color w:val="auto"/>
              </w:rPr>
            </w:pPr>
          </w:p>
        </w:tc>
        <w:tc>
          <w:tcPr>
            <w:tcW w:w="46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subsidiaries, to the extent set forth herein</w:t>
            </w:r>
          </w:p>
        </w:tc>
        <w:tc>
          <w:tcPr>
            <w:tcW w:w="3700" w:type="dxa"/>
            <w:vAlign w:val="bottom"/>
            <w:tcBorders>
              <w:right w:val="single" w:sz="8" w:color="auto"/>
            </w:tcBorders>
          </w:tcPr>
          <w:p>
            <w:pPr>
              <w:spacing w:after="0"/>
              <w:rPr>
                <w:sz w:val="24"/>
                <w:szCs w:val="24"/>
                <w:color w:val="auto"/>
              </w:rPr>
            </w:pPr>
          </w:p>
        </w:tc>
      </w:tr>
      <w:tr>
        <w:trPr>
          <w:trHeight w:val="743"/>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APPROVED:</w:t>
            </w:r>
          </w:p>
        </w:tc>
        <w:tc>
          <w:tcPr>
            <w:tcW w:w="462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SUBJECT:</w:t>
            </w:r>
          </w:p>
        </w:tc>
        <w:tc>
          <w:tcPr>
            <w:tcW w:w="37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2"/>
                <w:szCs w:val="22"/>
                <w:b w:val="1"/>
                <w:bCs w:val="1"/>
                <w:color w:val="auto"/>
              </w:rPr>
              <w:t>EFFECTIVE DATE:</w:t>
            </w:r>
          </w:p>
        </w:tc>
      </w:tr>
      <w:tr>
        <w:trPr>
          <w:trHeight w:val="351"/>
        </w:trPr>
        <w:tc>
          <w:tcPr>
            <w:tcW w:w="40" w:type="dxa"/>
            <w:vAlign w:val="bottom"/>
            <w:tcBorders>
              <w:right w:val="single" w:sz="8" w:color="auto"/>
            </w:tcBorders>
            <w:shd w:val="clear" w:color="auto" w:fill="000000"/>
          </w:tcPr>
          <w:p>
            <w:pPr>
              <w:spacing w:after="0"/>
              <w:rPr>
                <w:sz w:val="24"/>
                <w:szCs w:val="24"/>
                <w:color w:val="auto"/>
              </w:rPr>
            </w:pPr>
          </w:p>
        </w:tc>
        <w:tc>
          <w:tcPr>
            <w:tcW w:w="2880" w:type="dxa"/>
            <w:vAlign w:val="bottom"/>
          </w:tcPr>
          <w:p>
            <w:pPr>
              <w:spacing w:after="0"/>
              <w:rPr>
                <w:sz w:val="24"/>
                <w:szCs w:val="24"/>
                <w:color w:val="auto"/>
              </w:rPr>
            </w:pPr>
          </w:p>
        </w:tc>
        <w:tc>
          <w:tcPr>
            <w:tcW w:w="46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Recoupment Policy</w:t>
            </w:r>
          </w:p>
        </w:tc>
        <w:tc>
          <w:tcPr>
            <w:tcW w:w="37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22"/>
                <w:szCs w:val="22"/>
                <w:color w:val="auto"/>
              </w:rPr>
              <w:t>October 2, 2023</w:t>
            </w:r>
          </w:p>
        </w:tc>
      </w:tr>
      <w:tr>
        <w:trPr>
          <w:trHeight w:val="271"/>
        </w:trPr>
        <w:tc>
          <w:tcPr>
            <w:tcW w:w="40" w:type="dxa"/>
            <w:vAlign w:val="bottom"/>
            <w:tcBorders>
              <w:bottom w:val="single" w:sz="8" w:color="auto"/>
              <w:right w:val="single" w:sz="8" w:color="auto"/>
            </w:tcBorders>
            <w:shd w:val="clear" w:color="auto" w:fill="000000"/>
          </w:tcPr>
          <w:p>
            <w:pPr>
              <w:spacing w:after="0"/>
              <w:rPr>
                <w:sz w:val="23"/>
                <w:szCs w:val="23"/>
                <w:color w:val="auto"/>
              </w:rPr>
            </w:pPr>
          </w:p>
        </w:tc>
        <w:tc>
          <w:tcPr>
            <w:tcW w:w="2880" w:type="dxa"/>
            <w:vAlign w:val="bottom"/>
            <w:tcBorders>
              <w:bottom w:val="single" w:sz="8" w:color="auto"/>
            </w:tcBorders>
          </w:tcPr>
          <w:p>
            <w:pPr>
              <w:spacing w:after="0"/>
              <w:rPr>
                <w:sz w:val="23"/>
                <w:szCs w:val="23"/>
                <w:color w:val="auto"/>
              </w:rPr>
            </w:pPr>
          </w:p>
        </w:tc>
        <w:tc>
          <w:tcPr>
            <w:tcW w:w="4620" w:type="dxa"/>
            <w:vAlign w:val="bottom"/>
            <w:tcBorders>
              <w:bottom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spacing w:after="0"/>
              <w:rPr>
                <w:sz w:val="23"/>
                <w:szCs w:val="23"/>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PURPOSE</w:t>
      </w:r>
    </w:p>
    <w:p>
      <w:pPr>
        <w:spacing w:after="0" w:line="239"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As required pursuant to the listing standards of New York Stock Exchange (the “</w:t>
      </w:r>
      <w:r>
        <w:rPr>
          <w:rFonts w:ascii="Times New Roman" w:cs="Times New Roman" w:eastAsia="Times New Roman" w:hAnsi="Times New Roman"/>
          <w:sz w:val="22"/>
          <w:szCs w:val="22"/>
          <w:u w:val="single" w:color="auto"/>
          <w:color w:val="auto"/>
        </w:rPr>
        <w:t>Stock Exchange</w:t>
      </w:r>
      <w:r>
        <w:rPr>
          <w:rFonts w:ascii="Times New Roman" w:cs="Times New Roman" w:eastAsia="Times New Roman" w:hAnsi="Times New Roman"/>
          <w:sz w:val="22"/>
          <w:szCs w:val="22"/>
          <w:color w:val="auto"/>
        </w:rPr>
        <w:t>”) and Section 954 of the Dodd-Frank Wall Street Reform and Consumer Protection Act of 2010, as codified in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implemented by Rule 10D-1 thereunder adopted by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Eagle Materials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Recoupment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empower the Company to recover Covered Compensation (as defined below) erroneously awarded to a Covered Officer (as defined below) in the event of an Accounting Restatement (as defined below).</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in this Policy to the contrary, at all times, this Policy remains subject to interpretation and operation in accordance with the final rules and regulations promulgated by the SEC, the final listing standards adopted by the 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22"/>
          <w:szCs w:val="22"/>
          <w:u w:val="single" w:color="auto"/>
          <w:color w:val="auto"/>
        </w:rPr>
        <w:t>Guidance</w:t>
      </w:r>
      <w:r>
        <w:rPr>
          <w:rFonts w:ascii="Times New Roman" w:cs="Times New Roman" w:eastAsia="Times New Roman" w:hAnsi="Times New Roman"/>
          <w:sz w:val="22"/>
          <w:szCs w:val="22"/>
          <w:color w:val="auto"/>
        </w:rPr>
        <w:t>”). Questions regarding this Policy should be directed to the Company’s General Counsel.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STATEMENT OF POLICY</w:t>
      </w:r>
    </w:p>
    <w:p>
      <w:pPr>
        <w:spacing w:after="0" w:line="212"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If a Clawback Exception applies with respect to a Covered Officer, the Company may forgo such recovery under this Policy from such Covered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COVERED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COR-05</w:t>
      </w:r>
    </w:p>
    <w:p>
      <w:pPr>
        <w:spacing w:after="0" w:line="399"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 xml:space="preserve">For purposes of this Policy, “ </w:t>
      </w:r>
      <w:r>
        <w:rPr>
          <w:rFonts w:ascii="Times New Roman" w:cs="Times New Roman" w:eastAsia="Times New Roman" w:hAnsi="Times New Roman"/>
          <w:sz w:val="22"/>
          <w:szCs w:val="22"/>
          <w:u w:val="single" w:color="auto"/>
          <w:color w:val="auto"/>
        </w:rPr>
        <w:t>Covered Officer</w:t>
      </w:r>
      <w:r>
        <w:rPr>
          <w:rFonts w:ascii="Times New Roman" w:cs="Times New Roman" w:eastAsia="Times New Roman" w:hAnsi="Times New Roman"/>
          <w:sz w:val="22"/>
          <w:szCs w:val="22"/>
          <w:color w:val="auto"/>
        </w:rPr>
        <w:t>” is defined as any current or former “officer” of the Company within the meaning of Rule 16a-1(f) under the Exchange Act, as determined by the Board. Covered Officers include, at a minimum, “executive officers” as defined in Rule 3b-7 under the Exchange Act and identified under Item 401(b) of Regulation S-K.</w:t>
      </w:r>
    </w:p>
    <w:p>
      <w:pPr>
        <w:spacing w:after="0" w:line="167" w:lineRule="exact"/>
        <w:rPr>
          <w:sz w:val="20"/>
          <w:szCs w:val="20"/>
          <w:color w:val="auto"/>
        </w:rPr>
      </w:pPr>
    </w:p>
    <w:p>
      <w:pPr>
        <w:jc w:val="right"/>
        <w:ind w:right="8440"/>
        <w:spacing w:after="0"/>
        <w:rPr>
          <w:sz w:val="20"/>
          <w:szCs w:val="20"/>
          <w:color w:val="auto"/>
        </w:rPr>
      </w:pPr>
      <w:r>
        <w:rPr>
          <w:rFonts w:ascii="Times New Roman" w:cs="Times New Roman" w:eastAsia="Times New Roman" w:hAnsi="Times New Roman"/>
          <w:sz w:val="21"/>
          <w:szCs w:val="21"/>
          <w:b w:val="1"/>
          <w:bCs w:val="1"/>
          <w:i w:val="1"/>
          <w:iCs w:val="1"/>
          <w:color w:val="auto"/>
        </w:rPr>
        <w:t>COVERED COMPENSATION</w:t>
      </w:r>
    </w:p>
    <w:p>
      <w:pPr>
        <w:spacing w:after="0" w:line="224" w:lineRule="exact"/>
        <w:rPr>
          <w:sz w:val="20"/>
          <w:szCs w:val="20"/>
          <w:color w:val="auto"/>
        </w:rPr>
      </w:pPr>
    </w:p>
    <w:p>
      <w:pPr>
        <w:jc w:val="right"/>
        <w:ind w:right="842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206" w:lineRule="exact"/>
        <w:rPr>
          <w:sz w:val="20"/>
          <w:szCs w:val="20"/>
          <w:color w:val="auto"/>
        </w:rPr>
      </w:pPr>
    </w:p>
    <w:p>
      <w:pPr>
        <w:ind w:left="1500" w:right="740" w:hanging="636"/>
        <w:spacing w:after="0" w:line="238" w:lineRule="auto"/>
        <w:tabs>
          <w:tab w:leader="none" w:pos="129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77" w:lineRule="exact"/>
        <w:rPr>
          <w:sz w:val="20"/>
          <w:szCs w:val="20"/>
          <w:color w:val="auto"/>
        </w:rPr>
      </w:pPr>
    </w:p>
    <w:p>
      <w:pPr>
        <w:jc w:val="both"/>
        <w:ind w:left="1500" w:right="760"/>
        <w:spacing w:after="0" w:line="236" w:lineRule="auto"/>
        <w:rPr>
          <w:sz w:val="20"/>
          <w:szCs w:val="20"/>
          <w:color w:val="auto"/>
        </w:rPr>
      </w:pPr>
      <w:r>
        <w:rPr>
          <w:rFonts w:ascii="Times New Roman" w:cs="Times New Roman" w:eastAsia="Times New Roman" w:hAnsi="Times New Roman"/>
          <w:sz w:val="22"/>
          <w:szCs w:val="22"/>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181" w:lineRule="exact"/>
        <w:rPr>
          <w:sz w:val="20"/>
          <w:szCs w:val="20"/>
          <w:color w:val="auto"/>
        </w:rPr>
      </w:pPr>
    </w:p>
    <w:p>
      <w:pPr>
        <w:jc w:val="both"/>
        <w:ind w:left="1500" w:right="740"/>
        <w:spacing w:after="0" w:line="235" w:lineRule="auto"/>
        <w:rPr>
          <w:sz w:val="20"/>
          <w:szCs w:val="20"/>
          <w:color w:val="auto"/>
        </w:rPr>
      </w:pPr>
      <w:r>
        <w:rPr>
          <w:rFonts w:ascii="Times New Roman" w:cs="Times New Roman" w:eastAsia="Times New Roman" w:hAnsi="Times New Roman"/>
          <w:sz w:val="22"/>
          <w:szCs w:val="22"/>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183" w:lineRule="exact"/>
        <w:rPr>
          <w:sz w:val="20"/>
          <w:szCs w:val="20"/>
          <w:color w:val="auto"/>
        </w:rPr>
      </w:pPr>
    </w:p>
    <w:p>
      <w:pPr>
        <w:jc w:val="right"/>
        <w:ind w:left="1500" w:right="760" w:hanging="636"/>
        <w:spacing w:after="0" w:line="246" w:lineRule="auto"/>
        <w:tabs>
          <w:tab w:leader="none" w:pos="129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is defined as any compensation that is granted, earned, or vested based wholly or in part upon the attainment of a Financial Reporting Measure (as defined below),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w:t>
      </w:r>
    </w:p>
    <w:p>
      <w:pPr>
        <w:spacing w:after="0" w:line="1" w:lineRule="exact"/>
        <w:rPr>
          <w:rFonts w:ascii="Times New Roman" w:cs="Times New Roman" w:eastAsia="Times New Roman" w:hAnsi="Times New Roman"/>
          <w:sz w:val="21"/>
          <w:szCs w:val="21"/>
          <w:color w:val="auto"/>
        </w:rPr>
      </w:pPr>
    </w:p>
    <w:p>
      <w:pPr>
        <w:jc w:val="both"/>
        <w:ind w:left="1500" w:right="740" w:firstLine="6"/>
        <w:spacing w:after="0" w:line="232" w:lineRule="auto"/>
        <w:tabs>
          <w:tab w:leader="none" w:pos="189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82" w:lineRule="exact"/>
        <w:rPr>
          <w:rFonts w:ascii="Times New Roman" w:cs="Times New Roman" w:eastAsia="Times New Roman" w:hAnsi="Times New Roman"/>
          <w:sz w:val="22"/>
          <w:szCs w:val="22"/>
          <w:color w:val="auto"/>
        </w:rPr>
      </w:pPr>
    </w:p>
    <w:p>
      <w:pPr>
        <w:ind w:left="1500" w:right="760" w:hanging="636"/>
        <w:spacing w:after="0" w:line="258" w:lineRule="auto"/>
        <w:tabs>
          <w:tab w:leader="none" w:pos="129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is defined as a measure that is determined and presented in accordance with the accounting principles used in preparing the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COR-05</w:t>
      </w:r>
    </w:p>
    <w:p>
      <w:pPr>
        <w:spacing w:after="0" w:line="399" w:lineRule="exact"/>
        <w:rPr>
          <w:sz w:val="20"/>
          <w:szCs w:val="20"/>
          <w:color w:val="auto"/>
        </w:rPr>
      </w:pPr>
    </w:p>
    <w:p>
      <w:pPr>
        <w:ind w:left="1500" w:right="760"/>
        <w:spacing w:after="0" w:line="258" w:lineRule="auto"/>
        <w:rPr>
          <w:sz w:val="20"/>
          <w:szCs w:val="20"/>
          <w:color w:val="auto"/>
        </w:rPr>
      </w:pPr>
      <w:r>
        <w:rPr>
          <w:rFonts w:ascii="Times New Roman" w:cs="Times New Roman" w:eastAsia="Times New Roman" w:hAnsi="Times New Roman"/>
          <w:sz w:val="22"/>
          <w:szCs w:val="22"/>
          <w:color w:val="auto"/>
        </w:rPr>
        <w:t>Company’s financial statements, and any measures that are derived wholly or in part from such measures. Stock price and total shareholder return are also Financial Reporting Measures.</w:t>
      </w:r>
    </w:p>
    <w:p>
      <w:pPr>
        <w:spacing w:after="0" w:line="158" w:lineRule="exact"/>
        <w:rPr>
          <w:sz w:val="20"/>
          <w:szCs w:val="20"/>
          <w:color w:val="auto"/>
        </w:rPr>
      </w:pPr>
    </w:p>
    <w:p>
      <w:pPr>
        <w:ind w:left="1500" w:right="760" w:hanging="636"/>
        <w:spacing w:after="0" w:line="244" w:lineRule="auto"/>
        <w:tabs>
          <w:tab w:leader="none" w:pos="129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RECOVERY PERIOD</w:t>
      </w:r>
    </w:p>
    <w:p>
      <w:pPr>
        <w:spacing w:after="0" w:line="212"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this Policy, the applicable “ </w:t>
      </w: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77"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this Policy, the “ </w:t>
      </w:r>
      <w:r>
        <w:rPr>
          <w:rFonts w:ascii="Times New Roman" w:cs="Times New Roman" w:eastAsia="Times New Roman" w:hAnsi="Times New Roman"/>
          <w:sz w:val="22"/>
          <w:szCs w:val="22"/>
          <w:u w:val="single" w:color="auto"/>
          <w:color w:val="auto"/>
        </w:rPr>
        <w:t>Trigger Date</w:t>
      </w:r>
      <w:r>
        <w:rPr>
          <w:rFonts w:ascii="Times New Roman" w:cs="Times New Roman" w:eastAsia="Times New Roman" w:hAnsi="Times New Roman"/>
          <w:sz w:val="22"/>
          <w:szCs w:val="22"/>
          <w:color w:val="auto"/>
        </w:rPr>
        <w: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CLAWBACK EXCEPTIONS</w:t>
      </w:r>
    </w:p>
    <w:p>
      <w:pPr>
        <w:spacing w:after="0" w:line="239"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The Company is required to recover all Covered Compensation Received by a Covered Officer in the event of an Accounting Restatement unless (i) one of the following conditions are met and (ii) the Compensation Committee of the Board has made a determination that recovery would be impracticable in accordance with Rule 10D-1 under the Exchange Act (under such circumstances, a “</w:t>
      </w:r>
      <w:r>
        <w:rPr>
          <w:rFonts w:ascii="Times New Roman" w:cs="Times New Roman" w:eastAsia="Times New Roman" w:hAnsi="Times New Roman"/>
          <w:sz w:val="22"/>
          <w:szCs w:val="22"/>
          <w:u w:val="single" w:color="auto"/>
          <w:color w:val="auto"/>
        </w:rPr>
        <w:t>Clawback Exception</w:t>
      </w:r>
      <w:r>
        <w:rPr>
          <w:rFonts w:ascii="Times New Roman" w:cs="Times New Roman" w:eastAsia="Times New Roman" w:hAnsi="Times New Roman"/>
          <w:sz w:val="22"/>
          <w:szCs w:val="22"/>
          <w:color w:val="auto"/>
        </w:rPr>
        <w:t>” applies):</w:t>
      </w:r>
    </w:p>
    <w:p>
      <w:pPr>
        <w:spacing w:after="0" w:line="207" w:lineRule="exact"/>
        <w:rPr>
          <w:sz w:val="20"/>
          <w:szCs w:val="20"/>
          <w:color w:val="auto"/>
        </w:rPr>
      </w:pPr>
    </w:p>
    <w:p>
      <w:pPr>
        <w:ind w:left="1500" w:right="760" w:hanging="636"/>
        <w:spacing w:after="0" w:line="239" w:lineRule="auto"/>
        <w:tabs>
          <w:tab w:leader="none" w:pos="129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207" w:lineRule="exact"/>
        <w:rPr>
          <w:rFonts w:ascii="Times New Roman" w:cs="Times New Roman" w:eastAsia="Times New Roman" w:hAnsi="Times New Roman"/>
          <w:sz w:val="22"/>
          <w:szCs w:val="22"/>
          <w:color w:val="auto"/>
        </w:rPr>
      </w:pPr>
    </w:p>
    <w:p>
      <w:pPr>
        <w:ind w:left="1500" w:right="760" w:hanging="636"/>
        <w:spacing w:after="0" w:line="261" w:lineRule="auto"/>
        <w:tabs>
          <w:tab w:leader="none" w:pos="129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4" w:lineRule="exact"/>
        <w:rPr>
          <w:rFonts w:ascii="Times New Roman" w:cs="Times New Roman" w:eastAsia="Times New Roman" w:hAnsi="Times New Roman"/>
          <w:sz w:val="21"/>
          <w:szCs w:val="21"/>
          <w:color w:val="auto"/>
        </w:rPr>
      </w:pPr>
    </w:p>
    <w:p>
      <w:pPr>
        <w:ind w:left="1500" w:right="760" w:hanging="636"/>
        <w:spacing w:after="0" w:line="236" w:lineRule="auto"/>
        <w:tabs>
          <w:tab w:leader="none" w:pos="129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COR-05</w:t>
      </w:r>
    </w:p>
    <w:p>
      <w:pPr>
        <w:spacing w:after="0" w:line="399" w:lineRule="exact"/>
        <w:rPr>
          <w:sz w:val="20"/>
          <w:szCs w:val="20"/>
          <w:color w:val="auto"/>
        </w:rPr>
      </w:pPr>
    </w:p>
    <w:p>
      <w:pPr>
        <w:ind w:left="1500" w:right="740"/>
        <w:spacing w:after="0" w:line="258" w:lineRule="auto"/>
        <w:rPr>
          <w:sz w:val="20"/>
          <w:szCs w:val="20"/>
          <w:color w:val="auto"/>
        </w:rPr>
      </w:pPr>
      <w:r>
        <w:rPr>
          <w:rFonts w:ascii="Times New Roman" w:cs="Times New Roman" w:eastAsia="Times New Roman" w:hAnsi="Times New Roman"/>
          <w:sz w:val="22"/>
          <w:szCs w:val="22"/>
          <w:color w:val="auto"/>
        </w:rPr>
        <w:t>Compensation in such plans, such as earnings accrued on notional amounts of Incentive-Based Compensation contributed to such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PROHIBITIONS</w:t>
      </w:r>
    </w:p>
    <w:p>
      <w:pPr>
        <w:spacing w:after="0" w:line="21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22"/>
          <w:szCs w:val="22"/>
          <w:color w:val="auto"/>
        </w:rPr>
        <w:t>The Company is prohibited from paying or reimbursing the cost of insurance for, or indemnifying, any Covered Officer against the loss of erroneously awarded Covered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ADMINISTRATION AND INTERPRETATION</w:t>
      </w:r>
    </w:p>
    <w:p>
      <w:pPr>
        <w:spacing w:after="0" w:line="212"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 xml:space="preserve">This Policy shall be administered, in accordance with the Guidance, by the Board or, if so designated by the Board, the Compensation Committee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Guidance requires that a determination under or in relation to this Policy be made in a different manner, such as by a majority of the independent directors serving on the Board or a committee of independent directors, such determination will be made by in the manner required by the Guidance. All references herein to the Board shall be deemed references to the Board or other appropriate group of directors or committee referred to in the immediately preceding sentence. Any determinations made by the Board shall be final and binding on all affected individuals. The Board may at any time in its sole discretion, supplement, amend or terminate any provision of this Policy in any respect as the Board determines to be necessary or appropriate, subject to the Guidance.</w:t>
      </w:r>
    </w:p>
    <w:p>
      <w:pPr>
        <w:spacing w:after="0" w:line="178"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The Board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not preclude any other compensation recoupment or clawback policies, arrangements or provisions of the Company (“</w:t>
      </w:r>
      <w:r>
        <w:rPr>
          <w:rFonts w:ascii="Times New Roman" w:cs="Times New Roman" w:eastAsia="Times New Roman" w:hAnsi="Times New Roman"/>
          <w:sz w:val="22"/>
          <w:szCs w:val="22"/>
          <w:u w:val="single" w:color="auto"/>
          <w:color w:val="auto"/>
        </w:rPr>
        <w:t>Other Recovery Provisions</w:t>
      </w:r>
      <w:r>
        <w:rPr>
          <w:rFonts w:ascii="Times New Roman" w:cs="Times New Roman" w:eastAsia="Times New Roman" w:hAnsi="Times New Roman"/>
          <w:sz w:val="22"/>
          <w:szCs w:val="22"/>
          <w:color w:val="auto"/>
        </w:rPr>
        <w:t>”); to the extent recovery of compensation is achieved by the Company under this Policy, there shall be no duplication of recovery under Other Recovery Provisions, except as may be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DISCLOSURE</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and any recovery of Covered Compensation by the Company pursuant to this Policy that is required to be disclosed in the Company’s filings with the SEC, will be disclosed in accordance with the requirements of the Federal securities laws, including the disclosure required by the applicable SEC filings.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RECOUPMENT RIGHTS</w:t>
      </w:r>
    </w:p>
    <w:p>
      <w:pPr>
        <w:spacing w:after="0" w:line="23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Board intends that this Policy will be applied to the fullest extent of the law. The Board may require that any employment agreement, equity award agreement or similar agreement shall, as a condition to the grant of any benefit thereunder, require a Covered Officer to agree to abide by the terms of this Policy or implement arrangements designed to facilitate the administration hereof. Any right of recovery under this Policy is in addition to, and not in lieu of, any other remedies or rights of recovery that may be available to the Company pursuant to the terms of any employment agreement, equity award agreement, or similar agreement and any other legal remedies available to the Company.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4" w:name="page135"/>
    <w:bookmarkEnd w:id="1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214"/>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upperLetter"/>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0"/>
    </w:lvl>
  </w:abstractNum>
  <w:abstractNum w:abstractNumId="29">
    <w:nsid w:val="1D4ED43B"/>
    <w:multiLevelType w:val="hybridMultilevel"/>
    <w:lvl w:ilvl="0">
      <w:lvlJc w:val="left"/>
      <w:lvlText w:val="%1"/>
      <w:numFmt w:val="decimal"/>
      <w:start w:val="10"/>
    </w:lvl>
  </w:abstractNum>
  <w:abstractNum w:abstractNumId="30">
    <w:nsid w:val="725A06FB"/>
    <w:multiLevelType w:val="hybridMultilevel"/>
    <w:lvl w:ilvl="0">
      <w:lvlJc w:val="left"/>
      <w:lvlText w:val="%1"/>
      <w:numFmt w:val="decimal"/>
      <w:start w:val="10"/>
    </w:lvl>
  </w:abstractNum>
  <w:abstractNum w:abstractNumId="31">
    <w:nsid w:val="2CD89A32"/>
    <w:multiLevelType w:val="hybridMultilevel"/>
    <w:lvl w:ilvl="0">
      <w:lvlJc w:val="left"/>
      <w:lvlText w:val="%1"/>
      <w:numFmt w:val="decimal"/>
      <w:start w:val="10"/>
    </w:lvl>
  </w:abstractNum>
  <w:abstractNum w:abstractNumId="32">
    <w:nsid w:val="57E4CCAF"/>
    <w:multiLevelType w:val="hybridMultilevel"/>
    <w:lvl w:ilvl="0">
      <w:lvlJc w:val="left"/>
      <w:lvlText w:val="%1"/>
      <w:numFmt w:val="decimal"/>
      <w:start w:val="11"/>
    </w:lvl>
  </w:abstractNum>
  <w:abstractNum w:abstractNumId="33">
    <w:nsid w:val="7A6D8D3C"/>
    <w:multiLevelType w:val="hybridMultilevel"/>
    <w:lvl w:ilvl="0">
      <w:lvlJc w:val="left"/>
      <w:lvlText w:val="%1"/>
      <w:numFmt w:val="decimal"/>
      <w:start w:val="11"/>
    </w:lvl>
  </w:abstractNum>
  <w:abstractNum w:abstractNumId="34">
    <w:nsid w:val="4B588F54"/>
    <w:multiLevelType w:val="hybridMultilevel"/>
    <w:lvl w:ilvl="0">
      <w:lvlJc w:val="left"/>
      <w:lvlText w:val="%1"/>
      <w:numFmt w:val="decimal"/>
      <w:start w:val="13"/>
    </w:lvl>
  </w:abstractNum>
  <w:abstractNum w:abstractNumId="35">
    <w:nsid w:val="542289EC"/>
    <w:multiLevelType w:val="hybridMultilevel"/>
    <w:lvl w:ilvl="0">
      <w:lvlJc w:val="left"/>
      <w:lvlText w:val="%1."/>
      <w:numFmt w:val="upperLetter"/>
      <w:start w:val="1"/>
    </w:lvl>
    <w:lvl w:ilvl="1">
      <w:lvlJc w:val="left"/>
      <w:lvlText w:val="%2."/>
      <w:numFmt w:val="decimal"/>
      <w:start w:val="1"/>
    </w:lvl>
  </w:abstractNum>
  <w:abstractNum w:abstractNumId="36">
    <w:nsid w:val="6DE91B18"/>
    <w:multiLevelType w:val="hybridMultilevel"/>
    <w:lvl w:ilvl="0">
      <w:lvlJc w:val="left"/>
      <w:lvlText w:val="*"/>
      <w:numFmt w:val="bullet"/>
      <w:start w:val="1"/>
    </w:lvl>
    <w:lvl w:ilvl="1">
      <w:lvlJc w:val="left"/>
      <w:lvlText w:val="%2"/>
      <w:numFmt w:val="decimal"/>
      <w:start w:val="104"/>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decimal"/>
      <w:start w:val="5"/>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5"/>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Roman"/>
      <w:start w:val="1"/>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lvl w:ilvl="1">
      <w:lvlJc w:val="left"/>
      <w:lvlText w:val="(%2)"/>
      <w:numFmt w:val="lowerRoman"/>
      <w:start w:val="3"/>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90" Type="http://schemas.openxmlformats.org/officeDocument/2006/relationships/image" Target="media/image173.png"/><Relationship Id="rId206" Type="http://schemas.openxmlformats.org/officeDocument/2006/relationships/image" Target="media/image174.png"/><Relationship Id="rId222" Type="http://schemas.openxmlformats.org/officeDocument/2006/relationships/image" Target="media/image175.png"/><Relationship Id="rId238"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248" Type="http://schemas.openxmlformats.org/officeDocument/2006/relationships/image" Target="media/image179.png"/><Relationship Id="rId249" Type="http://schemas.openxmlformats.org/officeDocument/2006/relationships/image" Target="media/image180.png"/><Relationship Id="rId250" Type="http://schemas.openxmlformats.org/officeDocument/2006/relationships/image" Target="media/image181.png"/><Relationship Id="rId251" Type="http://schemas.openxmlformats.org/officeDocument/2006/relationships/image" Target="media/image182.png"/><Relationship Id="rId252" Type="http://schemas.openxmlformats.org/officeDocument/2006/relationships/image" Target="media/image183.png"/><Relationship Id="rId253" Type="http://schemas.openxmlformats.org/officeDocument/2006/relationships/image" Target="media/image184.png"/><Relationship Id="rId254"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57" Type="http://schemas.openxmlformats.org/officeDocument/2006/relationships/image" Target="media/image188.png"/><Relationship Id="rId258" Type="http://schemas.openxmlformats.org/officeDocument/2006/relationships/image" Target="media/image189.png"/><Relationship Id="rId259" Type="http://schemas.openxmlformats.org/officeDocument/2006/relationships/image" Target="media/image190.png"/><Relationship Id="rId260" Type="http://schemas.openxmlformats.org/officeDocument/2006/relationships/image" Target="media/image191.png"/><Relationship Id="rId261"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png"/><Relationship Id="rId265" Type="http://schemas.openxmlformats.org/officeDocument/2006/relationships/image" Target="media/image196.png"/><Relationship Id="rId266" Type="http://schemas.openxmlformats.org/officeDocument/2006/relationships/image" Target="media/image197.png"/><Relationship Id="rId267" Type="http://schemas.openxmlformats.org/officeDocument/2006/relationships/image" Target="media/image198.png"/><Relationship Id="rId268" Type="http://schemas.openxmlformats.org/officeDocument/2006/relationships/image" Target="media/image199.png"/><Relationship Id="rId269" Type="http://schemas.openxmlformats.org/officeDocument/2006/relationships/image" Target="media/image200.png"/><Relationship Id="rId270" Type="http://schemas.openxmlformats.org/officeDocument/2006/relationships/image" Target="media/image201.png"/><Relationship Id="rId271" Type="http://schemas.openxmlformats.org/officeDocument/2006/relationships/image" Target="media/image202.png"/><Relationship Id="rId272" Type="http://schemas.openxmlformats.org/officeDocument/2006/relationships/image" Target="media/image203.png"/><Relationship Id="rId273" Type="http://schemas.openxmlformats.org/officeDocument/2006/relationships/image" Target="media/image204.png"/><Relationship Id="rId274" Type="http://schemas.openxmlformats.org/officeDocument/2006/relationships/image" Target="media/image205.png"/><Relationship Id="rId275" Type="http://schemas.openxmlformats.org/officeDocument/2006/relationships/image" Target="media/image206.png"/><Relationship Id="rId276" Type="http://schemas.openxmlformats.org/officeDocument/2006/relationships/image" Target="media/image207.png"/><Relationship Id="rId277" Type="http://schemas.openxmlformats.org/officeDocument/2006/relationships/image" Target="media/image208.png"/><Relationship Id="rId278" Type="http://schemas.openxmlformats.org/officeDocument/2006/relationships/image" Target="media/image209.png"/><Relationship Id="rId279" Type="http://schemas.openxmlformats.org/officeDocument/2006/relationships/image" Target="media/image210.png"/><Relationship Id="rId280" Type="http://schemas.openxmlformats.org/officeDocument/2006/relationships/image" Target="media/image211.png"/><Relationship Id="rId281" Type="http://schemas.openxmlformats.org/officeDocument/2006/relationships/image" Target="media/image212.png"/><Relationship Id="rId282" Type="http://schemas.openxmlformats.org/officeDocument/2006/relationships/image" Target="media/image213.png"/><Relationship Id="rId283" Type="http://schemas.openxmlformats.org/officeDocument/2006/relationships/image" Target="media/image214.png"/><Relationship Id="rId284" Type="http://schemas.openxmlformats.org/officeDocument/2006/relationships/image" Target="media/image215.png"/><Relationship Id="rId285" Type="http://schemas.openxmlformats.org/officeDocument/2006/relationships/image" Target="media/image216.png"/><Relationship Id="rId286" Type="http://schemas.openxmlformats.org/officeDocument/2006/relationships/image" Target="media/image217.png"/><Relationship Id="rId287" Type="http://schemas.openxmlformats.org/officeDocument/2006/relationships/image" Target="media/image218.png"/><Relationship Id="rId288" Type="http://schemas.openxmlformats.org/officeDocument/2006/relationships/image" Target="media/image219.png"/><Relationship Id="rId289" Type="http://schemas.openxmlformats.org/officeDocument/2006/relationships/image" Target="media/image220.png"/><Relationship Id="rId290" Type="http://schemas.openxmlformats.org/officeDocument/2006/relationships/image" Target="media/image221.png"/><Relationship Id="rId291" Type="http://schemas.openxmlformats.org/officeDocument/2006/relationships/image" Target="media/image222.png"/><Relationship Id="rId180" Type="http://schemas.openxmlformats.org/officeDocument/2006/relationships/hyperlink" Target="https://www.sec.gov/Archives/edgar/data/0000918646/000095013403015046/d10221aexv2w1.htm" TargetMode="External"/><Relationship Id="rId181" Type="http://schemas.openxmlformats.org/officeDocument/2006/relationships/hyperlink" Target="https://www.sec.gov/Archives/edgar/data/0000918646/000095013403015046/d10221aexv2w2.htm" TargetMode="External"/><Relationship Id="rId182" Type="http://schemas.openxmlformats.org/officeDocument/2006/relationships/hyperlink" Target="https://www.sec.gov/Archives/edgar/data/0000918646/000095013406007120/d34975exv3w1.htm" TargetMode="External"/><Relationship Id="rId183" Type="http://schemas.openxmlformats.org/officeDocument/2006/relationships/hyperlink" Target="https://www.sec.gov/Archives/edgar/data/0000918646/000095013406007120/d34975exv3w2.htm" TargetMode="External"/><Relationship Id="rId184" Type="http://schemas.openxmlformats.org/officeDocument/2006/relationships/hyperlink" Target="https://www.sec.gov/Archives/edgar/data/0000918646/000119312522279133/d385636dex31.htm" TargetMode="External"/><Relationship Id="rId185" Type="http://schemas.openxmlformats.org/officeDocument/2006/relationships/hyperlink" Target="https://www.sec.gov/Archives/edgar/data/918646/000095017022010413/exp-ex4_1.htm" TargetMode="External"/><Relationship Id="rId186" Type="http://schemas.openxmlformats.org/officeDocument/2006/relationships/hyperlink" Target="https://www.sec.gov/Archives/edgar/data/0000918646/000119312521206385/d66136dex101.htm" TargetMode="External"/><Relationship Id="rId187" Type="http://schemas.openxmlformats.org/officeDocument/2006/relationships/hyperlink" Target="https://www.sec.gov/Archives/edgar/data/918646/000119312522143703/d284371dex101.htm" TargetMode="External"/><Relationship Id="rId188" Type="http://schemas.openxmlformats.org/officeDocument/2006/relationships/hyperlink" Target="https://www.sec.gov/Archives/edgar/data/918646/000119312509106356/ds3asr.htm" TargetMode="External"/><Relationship Id="rId189" Type="http://schemas.openxmlformats.org/officeDocument/2006/relationships/hyperlink" Target="https://www.sec.gov/Archives/edgar/data/0000918646/000119312521206385/d66136dex42.htm" TargetMode="External"/><Relationship Id="rId191" Type="http://schemas.openxmlformats.org/officeDocument/2006/relationships/hyperlink" Target="https://www.sec.gov/Archives/edgar/data/918646/000095013401503553/d88409ex10-2.txt" TargetMode="External"/><Relationship Id="rId192" Type="http://schemas.openxmlformats.org/officeDocument/2006/relationships/hyperlink" Target="https://www.sec.gov/Archives/edgar/data/918646/000095013401503553/d88409ex10-2a.txt" TargetMode="External"/><Relationship Id="rId193" Type="http://schemas.openxmlformats.org/officeDocument/2006/relationships/hyperlink" Target="https://www.sec.gov/Archives/edgar/data/918646/000119312513267613/d555548ddef14a.htm" TargetMode="External"/><Relationship Id="rId194" Type="http://schemas.openxmlformats.org/officeDocument/2006/relationships/hyperlink" Target="https://www.sec.gov/Archives/edgar/data/0000918646/000156459017014404/exp-ex104_60.htm" TargetMode="External"/><Relationship Id="rId195" Type="http://schemas.openxmlformats.org/officeDocument/2006/relationships/hyperlink" Target="https://www.sec.gov/Archives/edgar/data/918646/000119312523203677/d520775dex43.htm" TargetMode="External"/><Relationship Id="rId196" Type="http://schemas.openxmlformats.org/officeDocument/2006/relationships/hyperlink" Target="https://www.sec.gov/Archives/edgar/data/0000918646/000095013406014442/d38289exv10w1.htm" TargetMode="External"/><Relationship Id="rId197" Type="http://schemas.openxmlformats.org/officeDocument/2006/relationships/hyperlink" Target="https://www.sec.gov/Archives/edgar/data/918646/000119312510181321/dex108.htm" TargetMode="External"/><Relationship Id="rId198" Type="http://schemas.openxmlformats.org/officeDocument/2006/relationships/hyperlink" Target="https://www.sec.gov/Archives/edgar/data/918646/000119312513432851/d599914dex105.htm" TargetMode="External"/><Relationship Id="rId199" Type="http://schemas.openxmlformats.org/officeDocument/2006/relationships/hyperlink" Target="https://www.sec.gov/Archives/edgar/data/918646/000156459014005047/exp-ex102_20140930429.htm" TargetMode="External"/><Relationship Id="rId200" Type="http://schemas.openxmlformats.org/officeDocument/2006/relationships/hyperlink" Target="https://www.sec.gov/Archives/edgar/data/918646/000156459014005047/exp-ex104_20140930431.htm" TargetMode="External"/><Relationship Id="rId201" Type="http://schemas.openxmlformats.org/officeDocument/2006/relationships/hyperlink" Target="https://www.sec.gov/Archives/edgar/data/918646/000156459014005047/exp-ex105_20140930432.htm" TargetMode="External"/><Relationship Id="rId202" Type="http://schemas.openxmlformats.org/officeDocument/2006/relationships/hyperlink" Target="https://www.sec.gov/Archives/edgar/data/918646/000156459015006063/exp-ex106_252.htm" TargetMode="External"/><Relationship Id="rId203" Type="http://schemas.openxmlformats.org/officeDocument/2006/relationships/hyperlink" Target="https://www.sec.gov/Archives/edgar/data/918646/000156459015008677/exp-ex102_272.htm" TargetMode="External"/><Relationship Id="rId204" Type="http://schemas.openxmlformats.org/officeDocument/2006/relationships/hyperlink" Target="https://www.sec.gov/Archives/edgar/data/918646/000156459015008677/exp-ex103_273.htm" TargetMode="External"/><Relationship Id="rId205" Type="http://schemas.openxmlformats.org/officeDocument/2006/relationships/hyperlink" Target="https://www.sec.gov/Archives/edgar/data/918646/000156459016026026/exp-ex102_129.htm" TargetMode="External"/><Relationship Id="rId207" Type="http://schemas.openxmlformats.org/officeDocument/2006/relationships/hyperlink" Target="https://www.sec.gov/Archives/edgar/data/918646/000156459016026026/exp-ex103_128.htm" TargetMode="External"/><Relationship Id="rId208" Type="http://schemas.openxmlformats.org/officeDocument/2006/relationships/hyperlink" Target="https://www.sec.gov/Archives/edgar/data/918646/000156459016026026/exp-ex104_127.htm" TargetMode="External"/><Relationship Id="rId209" Type="http://schemas.openxmlformats.org/officeDocument/2006/relationships/hyperlink" Target="https://www.sec.gov/Archives/edgar/data/918646/000156459016026026/exp-ex105_126.htm" TargetMode="External"/><Relationship Id="rId210" Type="http://schemas.openxmlformats.org/officeDocument/2006/relationships/hyperlink" Target="https://www.sec.gov/Archives/edgar/data/918646/000156459017020034/exp-ex102_52.htm" TargetMode="External"/><Relationship Id="rId211" Type="http://schemas.openxmlformats.org/officeDocument/2006/relationships/hyperlink" Target="https://www.sec.gov/Archives/edgar/data/918646/000156459017014404/exp-ex105_64.htm" TargetMode="External"/><Relationship Id="rId212" Type="http://schemas.openxmlformats.org/officeDocument/2006/relationships/hyperlink" Target="https://www.sec.gov/Archives/edgar/data/918646/000156459017014404/exp-ex106_63.htm" TargetMode="External"/><Relationship Id="rId213" Type="http://schemas.openxmlformats.org/officeDocument/2006/relationships/hyperlink" Target="https://www.sec.gov/Archives/edgar/data/918646/000156459018017911/exp-ex103_169.htm" TargetMode="External"/><Relationship Id="rId214" Type="http://schemas.openxmlformats.org/officeDocument/2006/relationships/hyperlink" Target="https://www.sec.gov/Archives/edgar/data/918646/000156459018017911/exp-ex104_168.htm" TargetMode="External"/><Relationship Id="rId215" Type="http://schemas.openxmlformats.org/officeDocument/2006/relationships/hyperlink" Target="https://www.sec.gov/Archives/edgar/data/918646/000156459018025641/exp-ex102_261.htm" TargetMode="External"/><Relationship Id="rId216" Type="http://schemas.openxmlformats.org/officeDocument/2006/relationships/hyperlink" Target="https://www.sec.gov/Archives/edgar/data/918646/000119312519024134/d629735dex46.htm" TargetMode="External"/><Relationship Id="rId217" Type="http://schemas.openxmlformats.org/officeDocument/2006/relationships/hyperlink" Target="https://www.sec.gov/Archives/edgar/data/918646/000095013400005170/0000950134-00-005170-0002.txt" TargetMode="External"/><Relationship Id="rId218" Type="http://schemas.openxmlformats.org/officeDocument/2006/relationships/hyperlink" Target="https://www.sec.gov/Archives/edgar/data/918646/000095013406010995/d36609exv10w4xay.htm" TargetMode="External"/><Relationship Id="rId219" Type="http://schemas.openxmlformats.org/officeDocument/2006/relationships/hyperlink" Target="https://www.sec.gov/Archives/edgar/data/918646/000095013404008774/d15917exv10w5.txt" TargetMode="External"/><Relationship Id="rId220" Type="http://schemas.openxmlformats.org/officeDocument/2006/relationships/hyperlink" Target="https://www.sec.gov/Archives/edgar/data/918646/000095013404008774/d15917exv10w9.txt" TargetMode="External"/><Relationship Id="rId221" Type="http://schemas.openxmlformats.org/officeDocument/2006/relationships/hyperlink" Target="https://www.sec.gov/Archives/edgar/data/918646/000119312523151850/d689064dex101.htm" TargetMode="External"/><Relationship Id="rId223" Type="http://schemas.openxmlformats.org/officeDocument/2006/relationships/hyperlink" Target="https://www.sec.gov/Archives/edgar/data/918646/000119312523151850/d689064dex102.htm" TargetMode="External"/><Relationship Id="rId224" Type="http://schemas.openxmlformats.org/officeDocument/2006/relationships/hyperlink" Target="https://www.sec.gov/Archives/edgar/data/918646/000119312519181237/d767495dex101.htm" TargetMode="External"/><Relationship Id="rId225" Type="http://schemas.openxmlformats.org/officeDocument/2006/relationships/hyperlink" Target="https://www.sec.gov/Archives/edgar/data/918646/000119312519181237/d767495dex102.htm" TargetMode="External"/><Relationship Id="rId226" Type="http://schemas.openxmlformats.org/officeDocument/2006/relationships/hyperlink" Target="https://www.sec.gov/Archives/edgar/data/918646/000095017023035181/exp-ex10_5.htm" TargetMode="External"/><Relationship Id="rId227" Type="http://schemas.openxmlformats.org/officeDocument/2006/relationships/hyperlink" Target="https://www.sec.gov/Archives/edgar/data/918646/000156459019027178/exp-ex108_10.htm" TargetMode="External"/><Relationship Id="rId228" Type="http://schemas.openxmlformats.org/officeDocument/2006/relationships/hyperlink" Target="https://www.sec.gov/Archives/edgar/data/918646/000156459019027178/exp-ex109_6.htm" TargetMode="External"/><Relationship Id="rId229" Type="http://schemas.openxmlformats.org/officeDocument/2006/relationships/hyperlink" Target="https://www.sec.gov/Archives/edgar/data/918646/000156459020034976/exp-ex103_394.htm" TargetMode="External"/><Relationship Id="rId230" Type="http://schemas.openxmlformats.org/officeDocument/2006/relationships/hyperlink" Target="https://www.sec.gov/Archives/edgar/data/918646/000156459020034976/exp-ex104_395.htm" TargetMode="External"/><Relationship Id="rId231" Type="http://schemas.openxmlformats.org/officeDocument/2006/relationships/hyperlink" Target="https://www.sec.gov/Archives/edgar/data/918646/000156459021003065/exp-ex102_244.htm" TargetMode="External"/><Relationship Id="rId232" Type="http://schemas.openxmlformats.org/officeDocument/2006/relationships/hyperlink" Target="https://www.sec.gov/Archives/edgar/data/0000918646/000156459021038668/exp-ex103_38.htm" TargetMode="External"/><Relationship Id="rId233" Type="http://schemas.openxmlformats.org/officeDocument/2006/relationships/hyperlink" Target="https://www.sec.gov/Archives/edgar/data/0000918646/000156459021038668/exp-ex104_37.htm" TargetMode="External"/><Relationship Id="rId234" Type="http://schemas.openxmlformats.org/officeDocument/2006/relationships/hyperlink" Target="https://www.sec.gov/Archives/edgar/data/0000918646/000095017021002466/exp-ex10_1.htm" TargetMode="External"/><Relationship Id="rId235" Type="http://schemas.openxmlformats.org/officeDocument/2006/relationships/hyperlink" Target="https://www.sec.gov/Archives/edgar/data/0000918646/000095017021002466/exp-ex10_3.htm" TargetMode="External"/><Relationship Id="rId236" Type="http://schemas.openxmlformats.org/officeDocument/2006/relationships/hyperlink" Target="https://www.sec.gov/Archives/edgar/data/918646/000095017022013395/exp-ex10_5.htm" TargetMode="External"/><Relationship Id="rId237" Type="http://schemas.openxmlformats.org/officeDocument/2006/relationships/hyperlink" Target="https://www.sec.gov/Archives/edgar/data/918646/000095017022013395/exp-ex10_6.htm" TargetMode="External"/><Relationship Id="rId239" Type="http://schemas.openxmlformats.org/officeDocument/2006/relationships/hyperlink" Target="https://www.sec.gov/Archives/edgar/data/918646/000095017022013395/exp-ex10_7.htm" TargetMode="External"/><Relationship Id="rId240" Type="http://schemas.openxmlformats.org/officeDocument/2006/relationships/hyperlink" Target="https://www.sec.gov/Archives/edgar/data/918646/000095017022013395/exp-ex10_8.htm" TargetMode="External"/><Relationship Id="rId241" Type="http://schemas.openxmlformats.org/officeDocument/2006/relationships/hyperlink" Target="https://www.sec.gov/Archives/edgar/data/918646/000095017022020194/exp-ex10_3.htm" TargetMode="External"/><Relationship Id="rId242" Type="http://schemas.openxmlformats.org/officeDocument/2006/relationships/hyperlink" Target="https://www.sec.gov/Archives/edgar/data/918646/000095017023035181/exp-ex10_3.htm" TargetMode="External"/><Relationship Id="rId243" Type="http://schemas.openxmlformats.org/officeDocument/2006/relationships/hyperlink" Target="https://www.sec.gov/Archives/edgar/data/918646/000095017023035181/exp-ex10_4.htm" TargetMode="External"/><Relationship Id="rId244" Type="http://schemas.openxmlformats.org/officeDocument/2006/relationships/hyperlink" Target="https://www.sec.gov/Archives/edgar/data/918646/000095017023055671/exp-ex10_2.htm" TargetMode="External"/><Relationship Id="rId245" Type="http://schemas.openxmlformats.org/officeDocument/2006/relationships/hyperlink" Target="https://www.sec.gov/Archives/edgar/data/918646/000095017023055671/exp-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2024-05-22T16:08:54Z</dcterms:created>
  <dcterms:modified xsi:type="dcterms:W3CDTF">2024-05-22T16:08:54Z</dcterms:modified>
</cp:coreProperties>
</file>