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EAGLE MATERIALS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0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-147320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205740</wp:posOffset>
            </wp:positionV>
            <wp:extent cx="3147060" cy="780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706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3811 Turtle Creek Blvd, Suite 1100</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Dallas, Texas 75219-4487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It is my pleasure to invite you to our Annual Meeting of Stockholders, which will be held on Thursday, August 6, 2015, at Arlington Hall at Lee Park, 3333 Turtle Creek Blvd., Dallas, Texas 75219, at 8:00 a.m. We hope that you will attend the meeting, but we encourage you to vote by proxy whether or not you plan to attend the meeting in person.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year we are again taking advantage of the Securities and Exchange Commission rules that allow companies to furnish their proxy materials over the Internet. As a result, beginning on June 19, 2015, we are mailing a Notice Regarding the Availability of Proxy Materials, or Notice, to many of our stockholders instead of a paper copy of the materials for the Annual Meeting. The Notice contains instructions on how to access the proxy materials over the Internet and vote online, as well as how stockholders can elect to receive paper copies of the materials. We believe that this process should expedite stockholders’ receipt of proxy materials and provide stockholders with the information they need, while being consistent with our objective of conserving our natural resources and reducing the costs of printing and distributing our proxy materials.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If you attend the Annual Meeting and desire to vote your shares personally rather than by proxy, you may withdraw your proxy at any time before it is exercised. </w:t>
      </w:r>
      <w:r>
        <w:rPr>
          <w:rFonts w:ascii="Arial" w:cs="Arial" w:eastAsia="Arial" w:hAnsi="Arial"/>
          <w:sz w:val="18"/>
          <w:szCs w:val="18"/>
          <w:b w:val="1"/>
          <w:bCs w:val="1"/>
          <w:color w:val="auto"/>
        </w:rPr>
        <w:t>Your vote is very important, whether you own one share or many.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interest in Eagle.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080770"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07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Steven R. Rowley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3811 Turtle Creek Blvd, Suite 1100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Dallas, Texas 75219-4487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August 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annual meeting of stockholders of Eagle Materials Inc., which we refer to as the “Company,” will be held at Arlington Hall at Lee Park, 3333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Turtle Creek Blvd., Dallas, Texas 75219, at 8:00 a.m., local time, on Thursday, August 6, 2015. At the meeting, stockholders will vote on:</w:t>
      </w:r>
    </w:p>
    <w:p>
      <w:pPr>
        <w:spacing w:after="0" w:line="11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the four Class III directors identified in the accompanying proxy statement, each to hold office for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advisory resolution regarding the compensation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the expected appointment of Ernst &amp; Young LLP as the Company’s independent auditors for the fiscal year ending March 31, 2016.</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matters properly brought before the annual meeting, or any adjournment thereof.</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Company’s Board of Directors has fixed the close of business on June 8, 2015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69" w:lineRule="exact"/>
        <w:rPr>
          <w:sz w:val="20"/>
          <w:szCs w:val="20"/>
          <w:color w:val="auto"/>
        </w:rPr>
      </w:pPr>
    </w:p>
    <w:p>
      <w:pPr>
        <w:ind w:right="20" w:firstLine="456"/>
        <w:spacing w:after="0" w:line="289" w:lineRule="auto"/>
        <w:rPr>
          <w:sz w:val="20"/>
          <w:szCs w:val="20"/>
          <w:color w:val="auto"/>
        </w:rPr>
      </w:pPr>
      <w:r>
        <w:rPr>
          <w:rFonts w:ascii="Arial" w:cs="Arial" w:eastAsia="Arial" w:hAnsi="Arial"/>
          <w:sz w:val="17"/>
          <w:szCs w:val="17"/>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7"/>
          <w:szCs w:val="17"/>
          <w:color w:val="auto"/>
        </w:rPr>
        <w:t>If you have questions about these proposals or would like additional copies of the proxy statement, please contact: Eagle Materials Inc., Attention:</w:t>
      </w:r>
      <w:r>
        <w:rPr>
          <w:rFonts w:ascii="Arial" w:cs="Arial" w:eastAsia="Arial" w:hAnsi="Arial"/>
          <w:sz w:val="17"/>
          <w:szCs w:val="17"/>
          <w:b w:val="1"/>
          <w:bCs w:val="1"/>
          <w:color w:val="auto"/>
        </w:rPr>
        <w:t xml:space="preserve"> </w:t>
      </w:r>
      <w:r>
        <w:rPr>
          <w:rFonts w:ascii="Arial" w:cs="Arial" w:eastAsia="Arial" w:hAnsi="Arial"/>
          <w:sz w:val="17"/>
          <w:szCs w:val="17"/>
          <w:color w:val="auto"/>
        </w:rPr>
        <w:t>James H. Graass, Secretary, 3811 Turtle Creek Blvd., Suite 1100, Dallas, Texas 75219-4487 (telephone: (214) 432-2000).</w:t>
      </w:r>
    </w:p>
    <w:p>
      <w:pPr>
        <w:spacing w:after="0" w:line="1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22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 OF STOCKHOLDERS TO BE HELD ON AUGUST 6, 2015.</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Our proxy statement and 2015 annual report to stockholders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55"/>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20" w:type="dxa"/>
            <w:vAlign w:val="bottom"/>
            <w:gridSpan w:val="5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INTRODUCTION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1440" w:type="dxa"/>
            <w:vAlign w:val="bottom"/>
            <w:tcBorders>
              <w:right w:val="single" w:sz="8" w:color="0000EE"/>
            </w:tcBorders>
            <w:gridSpan w:val="4"/>
            <w:shd w:val="clear" w:color="auto" w:fill="0000EE"/>
          </w:tcPr>
          <w:p>
            <w:pPr>
              <w:spacing w:after="0" w:line="20" w:lineRule="exact"/>
              <w:rPr>
                <w:sz w:val="1"/>
                <w:szCs w:val="1"/>
                <w:color w:val="auto"/>
              </w:rPr>
            </w:pPr>
          </w:p>
        </w:tc>
        <w:tc>
          <w:tcPr>
            <w:tcW w:w="9880" w:type="dxa"/>
            <w:vAlign w:val="bottom"/>
            <w:gridSpan w:val="52"/>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42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91"/>
              </w:rPr>
            </w:pPr>
            <w:hyperlink w:anchor="page6">
              <w:r>
                <w:rPr>
                  <w:rFonts w:ascii="Arial" w:cs="Arial" w:eastAsia="Arial" w:hAnsi="Arial"/>
                  <w:sz w:val="18"/>
                  <w:szCs w:val="18"/>
                  <w:b w:val="1"/>
                  <w:bCs w:val="1"/>
                  <w:color w:val="0000EE"/>
                  <w:w w:val="91"/>
                </w:rPr>
                <w:t>Date, Time and Place of the Annual Meeting</w:t>
              </w:r>
            </w:hyperlink>
          </w:p>
        </w:tc>
        <w:tc>
          <w:tcPr>
            <w:tcW w:w="724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Purposes of the Annual Meeting and Recommendations of our Board of Directors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w:t>
            </w: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1020" w:type="dxa"/>
            <w:vAlign w:val="bottom"/>
            <w:gridSpan w:val="55"/>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ABOUT THE 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36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Who Can Vote</w:t>
              </w:r>
            </w:hyperlink>
          </w:p>
        </w:tc>
        <w:tc>
          <w:tcPr>
            <w:tcW w:w="480" w:type="dxa"/>
            <w:vAlign w:val="bottom"/>
            <w:tcBorders>
              <w:top w:val="single" w:sz="8" w:color="0000EE"/>
            </w:tcBorders>
            <w:gridSpan w:val="6"/>
          </w:tcPr>
          <w:p>
            <w:pPr>
              <w:spacing w:after="0"/>
              <w:rPr>
                <w:sz w:val="17"/>
                <w:szCs w:val="17"/>
                <w:color w:val="auto"/>
              </w:rPr>
            </w:pPr>
          </w:p>
        </w:tc>
        <w:tc>
          <w:tcPr>
            <w:tcW w:w="9040" w:type="dxa"/>
            <w:vAlign w:val="bottom"/>
            <w:gridSpan w:val="4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Proxies Will be Voted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12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How to Revoke Your Proxy</w:t>
              </w:r>
            </w:hyperlink>
          </w:p>
        </w:tc>
        <w:tc>
          <w:tcPr>
            <w:tcW w:w="8540" w:type="dxa"/>
            <w:vAlign w:val="bottom"/>
            <w:gridSpan w:val="3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36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1"/>
              </w:rPr>
            </w:pPr>
            <w:hyperlink w:anchor="page7">
              <w:r>
                <w:rPr>
                  <w:rFonts w:ascii="Arial" w:cs="Arial" w:eastAsia="Arial" w:hAnsi="Arial"/>
                  <w:sz w:val="18"/>
                  <w:szCs w:val="18"/>
                  <w:b w:val="1"/>
                  <w:bCs w:val="1"/>
                  <w:color w:val="0000EE"/>
                  <w:w w:val="91"/>
                </w:rPr>
                <w:t>Quorum and Required Vote</w:t>
              </w:r>
            </w:hyperlink>
          </w:p>
        </w:tc>
        <w:tc>
          <w:tcPr>
            <w:tcW w:w="8500" w:type="dxa"/>
            <w:vAlign w:val="bottom"/>
            <w:gridSpan w:val="3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Expenses of Soliciting Proxies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36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1"/>
              </w:rPr>
            </w:pPr>
            <w:hyperlink w:anchor="page8">
              <w:r>
                <w:rPr>
                  <w:rFonts w:ascii="Arial" w:cs="Arial" w:eastAsia="Arial" w:hAnsi="Arial"/>
                  <w:sz w:val="18"/>
                  <w:szCs w:val="18"/>
                  <w:b w:val="1"/>
                  <w:bCs w:val="1"/>
                  <w:color w:val="0000EE"/>
                  <w:w w:val="91"/>
                </w:rPr>
                <w:t>How You Can Vote</w:t>
              </w:r>
            </w:hyperlink>
          </w:p>
        </w:tc>
        <w:tc>
          <w:tcPr>
            <w:tcW w:w="800" w:type="dxa"/>
            <w:vAlign w:val="bottom"/>
            <w:tcBorders>
              <w:top w:val="single" w:sz="8" w:color="0000EE"/>
            </w:tcBorders>
            <w:gridSpan w:val="15"/>
          </w:tcPr>
          <w:p>
            <w:pPr>
              <w:spacing w:after="0"/>
              <w:rPr>
                <w:sz w:val="17"/>
                <w:szCs w:val="17"/>
                <w:color w:val="auto"/>
              </w:rPr>
            </w:pPr>
          </w:p>
        </w:tc>
        <w:tc>
          <w:tcPr>
            <w:tcW w:w="8380" w:type="dxa"/>
            <w:vAlign w:val="bottom"/>
            <w:gridSpan w:val="3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11020" w:type="dxa"/>
            <w:vAlign w:val="bottom"/>
            <w:gridSpan w:val="55"/>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NO. 1: ELECTION OF DIRECTORS AND RELATED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360" w:type="dxa"/>
            <w:vAlign w:val="bottom"/>
            <w:tcBorders>
              <w:top w:val="single" w:sz="8" w:color="0000EE"/>
            </w:tcBorders>
          </w:tcPr>
          <w:p>
            <w:pPr>
              <w:spacing w:after="0"/>
              <w:rPr>
                <w:sz w:val="17"/>
                <w:szCs w:val="17"/>
                <w:color w:val="auto"/>
              </w:rPr>
            </w:pPr>
          </w:p>
        </w:tc>
        <w:tc>
          <w:tcPr>
            <w:tcW w:w="5840" w:type="dxa"/>
            <w:vAlign w:val="bottom"/>
            <w:tcBorders>
              <w:top w:val="single" w:sz="8" w:color="0000EE"/>
            </w:tcBorders>
            <w:gridSpan w:val="47"/>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General</w:t>
              </w:r>
            </w:hyperlink>
          </w:p>
        </w:tc>
        <w:tc>
          <w:tcPr>
            <w:tcW w:w="482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Director Independence</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36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5"/>
              </w:rPr>
            </w:pPr>
            <w:hyperlink w:anchor="page10">
              <w:r>
                <w:rPr>
                  <w:rFonts w:ascii="Arial" w:cs="Arial" w:eastAsia="Arial" w:hAnsi="Arial"/>
                  <w:sz w:val="18"/>
                  <w:szCs w:val="18"/>
                  <w:b w:val="1"/>
                  <w:bCs w:val="1"/>
                  <w:color w:val="0000EE"/>
                  <w:w w:val="85"/>
                </w:rPr>
                <w:t>Nominees</w:t>
              </w:r>
            </w:hyperlink>
          </w:p>
        </w:tc>
        <w:tc>
          <w:tcPr>
            <w:tcW w:w="1000" w:type="dxa"/>
            <w:vAlign w:val="bottom"/>
            <w:tcBorders>
              <w:top w:val="single" w:sz="8" w:color="0000EE"/>
            </w:tcBorders>
            <w:gridSpan w:val="10"/>
          </w:tcPr>
          <w:p>
            <w:pPr>
              <w:spacing w:after="0"/>
              <w:rPr>
                <w:sz w:val="17"/>
                <w:szCs w:val="17"/>
                <w:color w:val="auto"/>
              </w:rPr>
            </w:pPr>
          </w:p>
        </w:tc>
        <w:tc>
          <w:tcPr>
            <w:tcW w:w="8900" w:type="dxa"/>
            <w:vAlign w:val="bottom"/>
            <w:gridSpan w:val="4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Recommendation of the Board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91"/>
              </w:rPr>
            </w:pPr>
            <w:hyperlink w:anchor="page11">
              <w:r>
                <w:rPr>
                  <w:rFonts w:ascii="Arial" w:cs="Arial" w:eastAsia="Arial" w:hAnsi="Arial"/>
                  <w:sz w:val="18"/>
                  <w:szCs w:val="18"/>
                  <w:b w:val="1"/>
                  <w:bCs w:val="1"/>
                  <w:color w:val="0000EE"/>
                  <w:w w:val="91"/>
                </w:rPr>
                <w:t>Director Qualifications</w:t>
              </w:r>
            </w:hyperlink>
          </w:p>
        </w:tc>
        <w:tc>
          <w:tcPr>
            <w:tcW w:w="580" w:type="dxa"/>
            <w:vAlign w:val="bottom"/>
            <w:tcBorders>
              <w:top w:val="single" w:sz="8" w:color="0000EE"/>
            </w:tcBorders>
            <w:gridSpan w:val="12"/>
          </w:tcPr>
          <w:p>
            <w:pPr>
              <w:spacing w:after="0"/>
              <w:rPr>
                <w:sz w:val="17"/>
                <w:szCs w:val="17"/>
                <w:color w:val="auto"/>
              </w:rPr>
            </w:pPr>
          </w:p>
        </w:tc>
        <w:tc>
          <w:tcPr>
            <w:tcW w:w="8300" w:type="dxa"/>
            <w:vAlign w:val="bottom"/>
            <w:gridSpan w:val="2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Board Meetings and Attendance Records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w:t>
            </w:r>
          </w:p>
        </w:tc>
      </w:tr>
      <w:tr>
        <w:trPr>
          <w:trHeight w:val="20"/>
        </w:trPr>
        <w:tc>
          <w:tcPr>
            <w:tcW w:w="36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BOARD COMPENSATION</w:t>
              </w:r>
            </w:hyperlink>
          </w:p>
        </w:tc>
        <w:tc>
          <w:tcPr>
            <w:tcW w:w="8840" w:type="dxa"/>
            <w:vAlign w:val="bottom"/>
            <w:gridSpan w:val="4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w:t>
            </w:r>
          </w:p>
        </w:tc>
      </w:tr>
      <w:tr>
        <w:trPr>
          <w:trHeight w:val="196"/>
        </w:trPr>
        <w:tc>
          <w:tcPr>
            <w:tcW w:w="360" w:type="dxa"/>
            <w:vAlign w:val="bottom"/>
          </w:tcPr>
          <w:p>
            <w:pPr>
              <w:spacing w:after="0"/>
              <w:rPr>
                <w:sz w:val="17"/>
                <w:szCs w:val="17"/>
                <w:color w:val="auto"/>
              </w:rPr>
            </w:pPr>
          </w:p>
        </w:tc>
        <w:tc>
          <w:tcPr>
            <w:tcW w:w="4580" w:type="dxa"/>
            <w:vAlign w:val="bottom"/>
            <w:tcBorders>
              <w:bottom w:val="single" w:sz="8" w:color="0000EE"/>
            </w:tcBorders>
            <w:gridSpan w:val="43"/>
          </w:tcPr>
          <w:p>
            <w:pPr>
              <w:spacing w:after="0" w:line="196" w:lineRule="exact"/>
              <w:rPr>
                <w:rFonts w:ascii="Arial" w:cs="Arial" w:eastAsia="Arial" w:hAnsi="Arial"/>
                <w:sz w:val="18"/>
                <w:szCs w:val="18"/>
                <w:b w:val="1"/>
                <w:bCs w:val="1"/>
                <w:color w:val="0000EE"/>
                <w:w w:val="90"/>
              </w:rPr>
            </w:pPr>
            <w:hyperlink w:anchor="page16">
              <w:r>
                <w:rPr>
                  <w:rFonts w:ascii="Arial" w:cs="Arial" w:eastAsia="Arial" w:hAnsi="Arial"/>
                  <w:sz w:val="18"/>
                  <w:szCs w:val="18"/>
                  <w:b w:val="1"/>
                  <w:bCs w:val="1"/>
                  <w:color w:val="0000EE"/>
                  <w:w w:val="90"/>
                </w:rPr>
                <w:t>Non-Employee Director Compensation for Fiscal Year 2015</w:t>
              </w:r>
            </w:hyperlink>
          </w:p>
        </w:tc>
        <w:tc>
          <w:tcPr>
            <w:tcW w:w="608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w:t>
            </w:r>
          </w:p>
        </w:tc>
      </w:tr>
      <w:tr>
        <w:trPr>
          <w:trHeight w:val="196"/>
        </w:trPr>
        <w:tc>
          <w:tcPr>
            <w:tcW w:w="360" w:type="dxa"/>
            <w:vAlign w:val="bottom"/>
          </w:tcPr>
          <w:p>
            <w:pPr>
              <w:spacing w:after="0"/>
              <w:rPr>
                <w:sz w:val="17"/>
                <w:szCs w:val="17"/>
                <w:color w:val="auto"/>
              </w:rPr>
            </w:pPr>
          </w:p>
        </w:tc>
        <w:tc>
          <w:tcPr>
            <w:tcW w:w="432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91"/>
              </w:rPr>
            </w:pPr>
            <w:hyperlink w:anchor="page18">
              <w:r>
                <w:rPr>
                  <w:rFonts w:ascii="Arial" w:cs="Arial" w:eastAsia="Arial" w:hAnsi="Arial"/>
                  <w:sz w:val="18"/>
                  <w:szCs w:val="18"/>
                  <w:b w:val="1"/>
                  <w:bCs w:val="1"/>
                  <w:color w:val="0000EE"/>
                  <w:w w:val="91"/>
                </w:rPr>
                <w:t>Board Leadership Structure and Role in Risk Oversight</w:t>
              </w:r>
            </w:hyperlink>
          </w:p>
        </w:tc>
        <w:tc>
          <w:tcPr>
            <w:tcW w:w="63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36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9"/>
              </w:rPr>
            </w:pPr>
            <w:hyperlink w:anchor="page19">
              <w:r>
                <w:rPr>
                  <w:rFonts w:ascii="Arial" w:cs="Arial" w:eastAsia="Arial" w:hAnsi="Arial"/>
                  <w:sz w:val="18"/>
                  <w:szCs w:val="18"/>
                  <w:b w:val="1"/>
                  <w:bCs w:val="1"/>
                  <w:color w:val="0000EE"/>
                  <w:w w:val="89"/>
                </w:rPr>
                <w:t>Board Committees</w:t>
              </w:r>
            </w:hyperlink>
          </w:p>
        </w:tc>
        <w:tc>
          <w:tcPr>
            <w:tcW w:w="9200" w:type="dxa"/>
            <w:vAlign w:val="bottom"/>
            <w:gridSpan w:val="4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Compensation Committee Interlocks and Insider Participation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r>
      <w:tr>
        <w:trPr>
          <w:trHeight w:val="196"/>
        </w:trPr>
        <w:tc>
          <w:tcPr>
            <w:tcW w:w="3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b w:val="1"/>
                <w:bCs w:val="1"/>
                <w:color w:val="0000EE"/>
                <w:w w:val="92"/>
              </w:rPr>
            </w:pPr>
            <w:hyperlink w:anchor="page22">
              <w:r>
                <w:rPr>
                  <w:rFonts w:ascii="Arial" w:cs="Arial" w:eastAsia="Arial" w:hAnsi="Arial"/>
                  <w:sz w:val="18"/>
                  <w:szCs w:val="18"/>
                  <w:b w:val="1"/>
                  <w:bCs w:val="1"/>
                  <w:color w:val="0000EE"/>
                  <w:w w:val="92"/>
                </w:rPr>
                <w:t>How to Contact Our Board</w:t>
              </w:r>
            </w:hyperlink>
          </w:p>
        </w:tc>
        <w:tc>
          <w:tcPr>
            <w:tcW w:w="2700" w:type="dxa"/>
            <w:vAlign w:val="bottom"/>
            <w:tcBorders>
              <w:top w:val="single" w:sz="8" w:color="0000EE"/>
            </w:tcBorders>
            <w:gridSpan w:val="27"/>
          </w:tcPr>
          <w:p>
            <w:pPr>
              <w:spacing w:after="0"/>
              <w:rPr>
                <w:sz w:val="17"/>
                <w:szCs w:val="17"/>
                <w:color w:val="auto"/>
              </w:rPr>
            </w:pPr>
          </w:p>
        </w:tc>
        <w:tc>
          <w:tcPr>
            <w:tcW w:w="584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w:t>
            </w:r>
          </w:p>
        </w:tc>
      </w:tr>
      <w:tr>
        <w:trPr>
          <w:trHeight w:val="196"/>
        </w:trPr>
        <w:tc>
          <w:tcPr>
            <w:tcW w:w="452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EXECUTIVE OFFICERS WHO ARE NOT DIRECTORS</w:t>
              </w:r>
            </w:hyperlink>
          </w:p>
        </w:tc>
        <w:tc>
          <w:tcPr>
            <w:tcW w:w="65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r>
      <w:tr>
        <w:trPr>
          <w:trHeight w:val="196"/>
        </w:trPr>
        <w:tc>
          <w:tcPr>
            <w:tcW w:w="352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COMPENSATION COMMITTEE REPORT</w:t>
              </w:r>
            </w:hyperlink>
          </w:p>
        </w:tc>
        <w:tc>
          <w:tcPr>
            <w:tcW w:w="7500" w:type="dxa"/>
            <w:vAlign w:val="bottom"/>
            <w:gridSpan w:val="2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r>
      <w:tr>
        <w:trPr>
          <w:trHeight w:val="196"/>
        </w:trPr>
        <w:tc>
          <w:tcPr>
            <w:tcW w:w="4020" w:type="dxa"/>
            <w:vAlign w:val="bottom"/>
            <w:tcBorders>
              <w:bottom w:val="single" w:sz="8" w:color="0000EE"/>
            </w:tcBorders>
            <w:gridSpan w:val="36"/>
          </w:tcPr>
          <w:p>
            <w:pPr>
              <w:spacing w:after="0" w:line="196" w:lineRule="exact"/>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COMPENSATION DISCUSSION AND ANALYSIS</w:t>
              </w:r>
            </w:hyperlink>
          </w:p>
        </w:tc>
        <w:tc>
          <w:tcPr>
            <w:tcW w:w="700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Executive Summary</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w:t>
            </w:r>
          </w:p>
        </w:tc>
      </w:tr>
      <w:tr>
        <w:trPr>
          <w:trHeight w:val="20"/>
        </w:trPr>
        <w:tc>
          <w:tcPr>
            <w:tcW w:w="36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Advisory Vote on Executive Compensation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r>
      <w:tr>
        <w:trPr>
          <w:trHeight w:val="196"/>
        </w:trPr>
        <w:tc>
          <w:tcPr>
            <w:tcW w:w="36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w w:val="90"/>
              </w:rPr>
            </w:pPr>
            <w:hyperlink w:anchor="page28">
              <w:r>
                <w:rPr>
                  <w:rFonts w:ascii="Arial" w:cs="Arial" w:eastAsia="Arial" w:hAnsi="Arial"/>
                  <w:sz w:val="18"/>
                  <w:szCs w:val="18"/>
                  <w:b w:val="1"/>
                  <w:bCs w:val="1"/>
                  <w:color w:val="0000EE"/>
                  <w:w w:val="90"/>
                </w:rPr>
                <w:t>Named Executive Officers</w:t>
              </w:r>
            </w:hyperlink>
          </w:p>
        </w:tc>
        <w:tc>
          <w:tcPr>
            <w:tcW w:w="1240" w:type="dxa"/>
            <w:vAlign w:val="bottom"/>
            <w:tcBorders>
              <w:top w:val="single" w:sz="8" w:color="0000EE"/>
            </w:tcBorders>
            <w:gridSpan w:val="15"/>
          </w:tcPr>
          <w:p>
            <w:pPr>
              <w:spacing w:after="0"/>
              <w:rPr>
                <w:sz w:val="17"/>
                <w:szCs w:val="17"/>
                <w:color w:val="auto"/>
              </w:rPr>
            </w:pPr>
          </w:p>
        </w:tc>
        <w:tc>
          <w:tcPr>
            <w:tcW w:w="7380" w:type="dxa"/>
            <w:vAlign w:val="bottom"/>
            <w:gridSpan w:val="2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r>
      <w:tr>
        <w:trPr>
          <w:trHeight w:val="196"/>
        </w:trPr>
        <w:tc>
          <w:tcPr>
            <w:tcW w:w="360" w:type="dxa"/>
            <w:vAlign w:val="bottom"/>
          </w:tcPr>
          <w:p>
            <w:pPr>
              <w:spacing w:after="0"/>
              <w:rPr>
                <w:sz w:val="17"/>
                <w:szCs w:val="17"/>
                <w:color w:val="auto"/>
              </w:rPr>
            </w:pPr>
          </w:p>
        </w:tc>
        <w:tc>
          <w:tcPr>
            <w:tcW w:w="20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8"/>
              </w:rPr>
            </w:pPr>
            <w:hyperlink w:anchor="page28">
              <w:r>
                <w:rPr>
                  <w:rFonts w:ascii="Arial" w:cs="Arial" w:eastAsia="Arial" w:hAnsi="Arial"/>
                  <w:sz w:val="18"/>
                  <w:szCs w:val="18"/>
                  <w:b w:val="1"/>
                  <w:bCs w:val="1"/>
                  <w:color w:val="0000EE"/>
                  <w:w w:val="88"/>
                </w:rPr>
                <w:t>Compensation Philosophy</w:t>
              </w:r>
            </w:hyperlink>
          </w:p>
        </w:tc>
        <w:tc>
          <w:tcPr>
            <w:tcW w:w="8640" w:type="dxa"/>
            <w:vAlign w:val="bottom"/>
            <w:gridSpan w:val="3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w:t>
            </w:r>
          </w:p>
        </w:tc>
      </w:tr>
      <w:tr>
        <w:trPr>
          <w:trHeight w:val="196"/>
        </w:trPr>
        <w:tc>
          <w:tcPr>
            <w:tcW w:w="360" w:type="dxa"/>
            <w:vAlign w:val="bottom"/>
          </w:tcPr>
          <w:p>
            <w:pPr>
              <w:spacing w:after="0"/>
              <w:rPr>
                <w:sz w:val="17"/>
                <w:szCs w:val="17"/>
                <w:color w:val="auto"/>
              </w:rPr>
            </w:pPr>
          </w:p>
        </w:tc>
        <w:tc>
          <w:tcPr>
            <w:tcW w:w="15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0"/>
              </w:rPr>
            </w:pPr>
            <w:hyperlink w:anchor="page29">
              <w:r>
                <w:rPr>
                  <w:rFonts w:ascii="Arial" w:cs="Arial" w:eastAsia="Arial" w:hAnsi="Arial"/>
                  <w:sz w:val="18"/>
                  <w:szCs w:val="18"/>
                  <w:b w:val="1"/>
                  <w:bCs w:val="1"/>
                  <w:color w:val="0000EE"/>
                  <w:w w:val="90"/>
                </w:rPr>
                <w:t>Compensation Risk</w:t>
              </w:r>
            </w:hyperlink>
          </w:p>
        </w:tc>
        <w:tc>
          <w:tcPr>
            <w:tcW w:w="9100" w:type="dxa"/>
            <w:vAlign w:val="bottom"/>
            <w:gridSpan w:val="4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Role of the Compensation Committee and Management in Executive Compensation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196"/>
        </w:trPr>
        <w:tc>
          <w:tcPr>
            <w:tcW w:w="360" w:type="dxa"/>
            <w:vAlign w:val="bottom"/>
          </w:tcPr>
          <w:p>
            <w:pPr>
              <w:spacing w:after="0"/>
              <w:rPr>
                <w:sz w:val="17"/>
                <w:szCs w:val="17"/>
                <w:color w:val="auto"/>
              </w:rPr>
            </w:pPr>
          </w:p>
        </w:tc>
        <w:tc>
          <w:tcPr>
            <w:tcW w:w="6420" w:type="dxa"/>
            <w:vAlign w:val="bottom"/>
            <w:tcBorders>
              <w:top w:val="single" w:sz="8" w:color="0000EE"/>
            </w:tcBorders>
            <w:gridSpan w:val="50"/>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Engagement of a Compensation Consultant</w:t>
              </w:r>
            </w:hyperlink>
          </w:p>
        </w:tc>
        <w:tc>
          <w:tcPr>
            <w:tcW w:w="42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92"/>
              </w:rPr>
            </w:pPr>
            <w:hyperlink w:anchor="page31">
              <w:r>
                <w:rPr>
                  <w:rFonts w:ascii="Arial" w:cs="Arial" w:eastAsia="Arial" w:hAnsi="Arial"/>
                  <w:sz w:val="18"/>
                  <w:szCs w:val="18"/>
                  <w:b w:val="1"/>
                  <w:bCs w:val="1"/>
                  <w:color w:val="0000EE"/>
                  <w:w w:val="92"/>
                </w:rPr>
                <w:t>Market Comparisons</w:t>
              </w:r>
            </w:hyperlink>
          </w:p>
        </w:tc>
        <w:tc>
          <w:tcPr>
            <w:tcW w:w="1680" w:type="dxa"/>
            <w:vAlign w:val="bottom"/>
            <w:tcBorders>
              <w:top w:val="single" w:sz="8" w:color="0000EE"/>
            </w:tcBorders>
            <w:gridSpan w:val="21"/>
          </w:tcPr>
          <w:p>
            <w:pPr>
              <w:spacing w:after="0"/>
              <w:rPr>
                <w:sz w:val="17"/>
                <w:szCs w:val="17"/>
                <w:color w:val="auto"/>
              </w:rPr>
            </w:pPr>
          </w:p>
        </w:tc>
        <w:tc>
          <w:tcPr>
            <w:tcW w:w="7320" w:type="dxa"/>
            <w:vAlign w:val="bottom"/>
            <w:gridSpan w:val="2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New Named Executive Officer Compensation and Benefits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w:t>
            </w:r>
          </w:p>
        </w:tc>
      </w:tr>
      <w:tr>
        <w:trPr>
          <w:trHeight w:val="196"/>
        </w:trPr>
        <w:tc>
          <w:tcPr>
            <w:tcW w:w="360" w:type="dxa"/>
            <w:vAlign w:val="bottom"/>
          </w:tcPr>
          <w:p>
            <w:pPr>
              <w:spacing w:after="0"/>
              <w:rPr>
                <w:sz w:val="17"/>
                <w:szCs w:val="17"/>
                <w:color w:val="auto"/>
              </w:rPr>
            </w:pPr>
          </w:p>
        </w:tc>
        <w:tc>
          <w:tcPr>
            <w:tcW w:w="4480" w:type="dxa"/>
            <w:vAlign w:val="bottom"/>
            <w:tcBorders>
              <w:top w:val="single" w:sz="8" w:color="0000EE"/>
            </w:tcBorders>
            <w:gridSpan w:val="41"/>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Elements of Executive Compensation</w:t>
              </w:r>
            </w:hyperlink>
          </w:p>
        </w:tc>
        <w:tc>
          <w:tcPr>
            <w:tcW w:w="61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w:t>
            </w:r>
          </w:p>
        </w:tc>
      </w:tr>
      <w:tr>
        <w:trPr>
          <w:trHeight w:val="196"/>
        </w:trPr>
        <w:tc>
          <w:tcPr>
            <w:tcW w:w="3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b w:val="1"/>
                <w:bCs w:val="1"/>
                <w:color w:val="0000EE"/>
                <w:w w:val="89"/>
              </w:rPr>
            </w:pPr>
            <w:hyperlink w:anchor="page41">
              <w:r>
                <w:rPr>
                  <w:rFonts w:ascii="Arial" w:cs="Arial" w:eastAsia="Arial" w:hAnsi="Arial"/>
                  <w:sz w:val="18"/>
                  <w:szCs w:val="18"/>
                  <w:b w:val="1"/>
                  <w:bCs w:val="1"/>
                  <w:color w:val="0000EE"/>
                  <w:w w:val="89"/>
                </w:rPr>
                <w:t>Change in Control Benefits</w:t>
              </w:r>
            </w:hyperlink>
          </w:p>
        </w:tc>
        <w:tc>
          <w:tcPr>
            <w:tcW w:w="760" w:type="dxa"/>
            <w:vAlign w:val="bottom"/>
            <w:tcBorders>
              <w:top w:val="single" w:sz="8" w:color="0000EE"/>
            </w:tcBorders>
            <w:gridSpan w:val="11"/>
          </w:tcPr>
          <w:p>
            <w:pPr>
              <w:spacing w:after="0"/>
              <w:rPr>
                <w:sz w:val="17"/>
                <w:szCs w:val="17"/>
                <w:color w:val="auto"/>
              </w:rPr>
            </w:pPr>
          </w:p>
        </w:tc>
        <w:tc>
          <w:tcPr>
            <w:tcW w:w="7800" w:type="dxa"/>
            <w:vAlign w:val="bottom"/>
            <w:gridSpan w:val="2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r>
      <w:tr>
        <w:trPr>
          <w:trHeight w:val="196"/>
        </w:trPr>
        <w:tc>
          <w:tcPr>
            <w:tcW w:w="360" w:type="dxa"/>
            <w:vAlign w:val="bottom"/>
          </w:tcPr>
          <w:p>
            <w:pPr>
              <w:spacing w:after="0"/>
              <w:rPr>
                <w:sz w:val="17"/>
                <w:szCs w:val="17"/>
                <w:color w:val="auto"/>
              </w:rPr>
            </w:pPr>
          </w:p>
        </w:tc>
        <w:tc>
          <w:tcPr>
            <w:tcW w:w="220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89"/>
              </w:rPr>
            </w:pPr>
            <w:hyperlink w:anchor="page41">
              <w:r>
                <w:rPr>
                  <w:rFonts w:ascii="Arial" w:cs="Arial" w:eastAsia="Arial" w:hAnsi="Arial"/>
                  <w:sz w:val="18"/>
                  <w:szCs w:val="18"/>
                  <w:b w:val="1"/>
                  <w:bCs w:val="1"/>
                  <w:color w:val="0000EE"/>
                  <w:w w:val="89"/>
                </w:rPr>
                <w:t>Stock Ownership Guidelines</w:t>
              </w:r>
            </w:hyperlink>
          </w:p>
        </w:tc>
        <w:tc>
          <w:tcPr>
            <w:tcW w:w="8460" w:type="dxa"/>
            <w:vAlign w:val="bottom"/>
            <w:gridSpan w:val="3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w:t>
            </w:r>
          </w:p>
        </w:tc>
      </w:tr>
      <w:tr>
        <w:trPr>
          <w:trHeight w:val="196"/>
        </w:trPr>
        <w:tc>
          <w:tcPr>
            <w:tcW w:w="360" w:type="dxa"/>
            <w:vAlign w:val="bottom"/>
          </w:tcPr>
          <w:p>
            <w:pPr>
              <w:spacing w:after="0"/>
              <w:rPr>
                <w:sz w:val="17"/>
                <w:szCs w:val="17"/>
                <w:color w:val="auto"/>
              </w:rPr>
            </w:pPr>
          </w:p>
        </w:tc>
        <w:tc>
          <w:tcPr>
            <w:tcW w:w="386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90"/>
              </w:rPr>
            </w:pPr>
            <w:hyperlink w:anchor="page42">
              <w:r>
                <w:rPr>
                  <w:rFonts w:ascii="Arial" w:cs="Arial" w:eastAsia="Arial" w:hAnsi="Arial"/>
                  <w:sz w:val="18"/>
                  <w:szCs w:val="18"/>
                  <w:b w:val="1"/>
                  <w:bCs w:val="1"/>
                  <w:color w:val="0000EE"/>
                  <w:w w:val="90"/>
                </w:rPr>
                <w:t>Limitations on Tax Deductibility of Compensation</w:t>
              </w:r>
            </w:hyperlink>
          </w:p>
        </w:tc>
        <w:tc>
          <w:tcPr>
            <w:tcW w:w="680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260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EXECUTIVE COMPENSATION</w:t>
              </w:r>
            </w:hyperlink>
          </w:p>
        </w:tc>
        <w:tc>
          <w:tcPr>
            <w:tcW w:w="8420" w:type="dxa"/>
            <w:vAlign w:val="bottom"/>
            <w:gridSpan w:val="3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196"/>
        </w:trPr>
        <w:tc>
          <w:tcPr>
            <w:tcW w:w="360" w:type="dxa"/>
            <w:vAlign w:val="bottom"/>
          </w:tcPr>
          <w:p>
            <w:pPr>
              <w:spacing w:after="0"/>
              <w:rPr>
                <w:sz w:val="17"/>
                <w:szCs w:val="17"/>
                <w:color w:val="auto"/>
              </w:rPr>
            </w:pPr>
          </w:p>
        </w:tc>
        <w:tc>
          <w:tcPr>
            <w:tcW w:w="240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0"/>
              </w:rPr>
            </w:pPr>
            <w:hyperlink w:anchor="page43">
              <w:r>
                <w:rPr>
                  <w:rFonts w:ascii="Arial" w:cs="Arial" w:eastAsia="Arial" w:hAnsi="Arial"/>
                  <w:sz w:val="18"/>
                  <w:szCs w:val="18"/>
                  <w:b w:val="1"/>
                  <w:bCs w:val="1"/>
                  <w:color w:val="0000EE"/>
                  <w:w w:val="90"/>
                </w:rPr>
                <w:t>Summary Compensation Table</w:t>
              </w:r>
            </w:hyperlink>
          </w:p>
        </w:tc>
        <w:tc>
          <w:tcPr>
            <w:tcW w:w="8260" w:type="dxa"/>
            <w:vAlign w:val="bottom"/>
            <w:gridSpan w:val="2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196"/>
        </w:trPr>
        <w:tc>
          <w:tcPr>
            <w:tcW w:w="360" w:type="dxa"/>
            <w:vAlign w:val="bottom"/>
          </w:tcPr>
          <w:p>
            <w:pPr>
              <w:spacing w:after="0"/>
              <w:rPr>
                <w:sz w:val="17"/>
                <w:szCs w:val="17"/>
                <w:color w:val="auto"/>
              </w:rPr>
            </w:pPr>
          </w:p>
        </w:tc>
        <w:tc>
          <w:tcPr>
            <w:tcW w:w="230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0"/>
              </w:rPr>
            </w:pPr>
            <w:hyperlink w:anchor="page45">
              <w:r>
                <w:rPr>
                  <w:rFonts w:ascii="Arial" w:cs="Arial" w:eastAsia="Arial" w:hAnsi="Arial"/>
                  <w:sz w:val="18"/>
                  <w:szCs w:val="18"/>
                  <w:b w:val="1"/>
                  <w:bCs w:val="1"/>
                  <w:color w:val="0000EE"/>
                  <w:w w:val="90"/>
                </w:rPr>
                <w:t>Grants of Plan-Based Awards</w:t>
              </w:r>
            </w:hyperlink>
          </w:p>
        </w:tc>
        <w:tc>
          <w:tcPr>
            <w:tcW w:w="8360" w:type="dxa"/>
            <w:vAlign w:val="bottom"/>
            <w:gridSpan w:val="3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Outstanding Equity Awards at Fiscal Year-End</w:t>
              </w:r>
            </w:hyperlink>
          </w:p>
        </w:tc>
        <w:tc>
          <w:tcPr>
            <w:tcW w:w="702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Option Exercises and Stock Vested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w:t>
            </w:r>
          </w:p>
        </w:tc>
      </w:tr>
      <w:tr>
        <w:trPr>
          <w:trHeight w:val="20"/>
        </w:trPr>
        <w:tc>
          <w:tcPr>
            <w:tcW w:w="360" w:type="dxa"/>
            <w:vAlign w:val="bottom"/>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10"/>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80" w:type="dxa"/>
            <w:vAlign w:val="bottom"/>
            <w:tcBorders>
              <w:bottom w:val="single" w:sz="8" w:color="0000EE"/>
            </w:tcBorders>
            <w:gridSpan w:val="36"/>
          </w:tcPr>
          <w:p>
            <w:pPr>
              <w:spacing w:after="0" w:line="196" w:lineRule="exact"/>
              <w:rPr>
                <w:rFonts w:ascii="Arial" w:cs="Arial" w:eastAsia="Arial" w:hAnsi="Arial"/>
                <w:sz w:val="18"/>
                <w:szCs w:val="18"/>
                <w:b w:val="1"/>
                <w:bCs w:val="1"/>
                <w:color w:val="0000EE"/>
                <w:w w:val="91"/>
              </w:rPr>
            </w:pPr>
            <w:hyperlink w:anchor="page49">
              <w:r>
                <w:rPr>
                  <w:rFonts w:ascii="Arial" w:cs="Arial" w:eastAsia="Arial" w:hAnsi="Arial"/>
                  <w:sz w:val="18"/>
                  <w:szCs w:val="18"/>
                  <w:b w:val="1"/>
                  <w:bCs w:val="1"/>
                  <w:color w:val="0000EE"/>
                  <w:w w:val="91"/>
                </w:rPr>
                <w:t>Nonqualified Deferred Compensation in FY 2015</w:t>
              </w:r>
            </w:hyperlink>
          </w:p>
        </w:tc>
        <w:tc>
          <w:tcPr>
            <w:tcW w:w="6880" w:type="dxa"/>
            <w:vAlign w:val="bottom"/>
            <w:gridSpan w:val="1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w:t>
            </w:r>
          </w:p>
        </w:tc>
      </w:tr>
      <w:tr>
        <w:trPr>
          <w:trHeight w:val="196"/>
        </w:trPr>
        <w:tc>
          <w:tcPr>
            <w:tcW w:w="11020" w:type="dxa"/>
            <w:vAlign w:val="bottom"/>
            <w:gridSpan w:val="55"/>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POTENTIAL PAYMENTS UPON TERMINATION OR CHANGE IN CONTROL</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r>
      <w:tr>
        <w:trPr>
          <w:trHeight w:val="196"/>
        </w:trPr>
        <w:tc>
          <w:tcPr>
            <w:tcW w:w="360" w:type="dxa"/>
            <w:vAlign w:val="bottom"/>
            <w:tcBorders>
              <w:top w:val="single" w:sz="8" w:color="0000EE"/>
            </w:tcBorders>
          </w:tcPr>
          <w:p>
            <w:pPr>
              <w:spacing w:after="0"/>
              <w:rPr>
                <w:sz w:val="17"/>
                <w:szCs w:val="17"/>
                <w:color w:val="auto"/>
              </w:rPr>
            </w:pPr>
          </w:p>
        </w:tc>
        <w:tc>
          <w:tcPr>
            <w:tcW w:w="308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b w:val="1"/>
                <w:bCs w:val="1"/>
                <w:color w:val="0000EE"/>
                <w:w w:val="91"/>
              </w:rPr>
            </w:pPr>
            <w:hyperlink w:anchor="page50">
              <w:r>
                <w:rPr>
                  <w:rFonts w:ascii="Arial" w:cs="Arial" w:eastAsia="Arial" w:hAnsi="Arial"/>
                  <w:sz w:val="18"/>
                  <w:szCs w:val="18"/>
                  <w:b w:val="1"/>
                  <w:bCs w:val="1"/>
                  <w:color w:val="0000EE"/>
                  <w:w w:val="91"/>
                </w:rPr>
                <w:t>Payments Made Upon Any Termination</w:t>
              </w:r>
            </w:hyperlink>
          </w:p>
        </w:tc>
        <w:tc>
          <w:tcPr>
            <w:tcW w:w="2920" w:type="dxa"/>
            <w:vAlign w:val="bottom"/>
            <w:tcBorders>
              <w:top w:val="single" w:sz="8" w:color="0000EE"/>
            </w:tcBorders>
            <w:gridSpan w:val="19"/>
          </w:tcPr>
          <w:p>
            <w:pPr>
              <w:spacing w:after="0"/>
              <w:rPr>
                <w:sz w:val="17"/>
                <w:szCs w:val="17"/>
                <w:color w:val="auto"/>
              </w:rPr>
            </w:pPr>
          </w:p>
        </w:tc>
        <w:tc>
          <w:tcPr>
            <w:tcW w:w="46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r>
      <w:tr>
        <w:trPr>
          <w:trHeight w:val="196"/>
        </w:trPr>
        <w:tc>
          <w:tcPr>
            <w:tcW w:w="11020" w:type="dxa"/>
            <w:vAlign w:val="bottom"/>
            <w:gridSpan w:val="55"/>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STOCK OWNERSHIP</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r>
      <w:tr>
        <w:trPr>
          <w:trHeight w:val="196"/>
        </w:trPr>
        <w:tc>
          <w:tcPr>
            <w:tcW w:w="36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4"/>
              </w:rPr>
            </w:pPr>
            <w:hyperlink w:anchor="page53">
              <w:r>
                <w:rPr>
                  <w:rFonts w:ascii="Arial" w:cs="Arial" w:eastAsia="Arial" w:hAnsi="Arial"/>
                  <w:sz w:val="18"/>
                  <w:szCs w:val="18"/>
                  <w:b w:val="1"/>
                  <w:bCs w:val="1"/>
                  <w:color w:val="0000EE"/>
                  <w:w w:val="94"/>
                </w:rPr>
                <w:t>Management</w:t>
              </w:r>
            </w:hyperlink>
          </w:p>
        </w:tc>
        <w:tc>
          <w:tcPr>
            <w:tcW w:w="360" w:type="dxa"/>
            <w:vAlign w:val="bottom"/>
            <w:tcBorders>
              <w:top w:val="single" w:sz="8" w:color="0000EE"/>
            </w:tcBorders>
            <w:gridSpan w:val="3"/>
          </w:tcPr>
          <w:p>
            <w:pPr>
              <w:spacing w:after="0"/>
              <w:rPr>
                <w:sz w:val="17"/>
                <w:szCs w:val="17"/>
                <w:color w:val="auto"/>
              </w:rPr>
            </w:pPr>
          </w:p>
        </w:tc>
        <w:tc>
          <w:tcPr>
            <w:tcW w:w="9220" w:type="dxa"/>
            <w:vAlign w:val="bottom"/>
            <w:gridSpan w:val="4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46</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Certain Beneficial Owners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47</w:t>
            </w:r>
          </w:p>
        </w:tc>
      </w:tr>
      <w:tr>
        <w:trPr>
          <w:trHeight w:val="20"/>
        </w:trPr>
        <w:tc>
          <w:tcPr>
            <w:tcW w:w="3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4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0" w:type="dxa"/>
            <w:vAlign w:val="bottom"/>
            <w:gridSpan w:val="1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Related Party Transactions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r>
      <w:tr>
        <w:trPr>
          <w:trHeight w:val="20"/>
        </w:trPr>
        <w:tc>
          <w:tcPr>
            <w:tcW w:w="3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800" w:type="dxa"/>
            <w:vAlign w:val="bottom"/>
            <w:gridSpan w:val="12"/>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0" w:type="dxa"/>
            <w:vAlign w:val="bottom"/>
            <w:gridSpan w:val="1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500" w:type="dxa"/>
            <w:vAlign w:val="bottom"/>
            <w:tcBorders>
              <w:bottom w:val="single" w:sz="8" w:color="0000EE"/>
            </w:tcBorders>
            <w:gridSpan w:val="42"/>
          </w:tcPr>
          <w:p>
            <w:pPr>
              <w:spacing w:after="0" w:line="196" w:lineRule="exact"/>
              <w:rPr>
                <w:rFonts w:ascii="Arial" w:cs="Arial" w:eastAsia="Arial" w:hAnsi="Arial"/>
                <w:sz w:val="18"/>
                <w:szCs w:val="18"/>
                <w:b w:val="1"/>
                <w:bCs w:val="1"/>
                <w:color w:val="0000EE"/>
                <w:w w:val="90"/>
              </w:rPr>
            </w:pPr>
            <w:hyperlink w:anchor="page55">
              <w:r>
                <w:rPr>
                  <w:rFonts w:ascii="Arial" w:cs="Arial" w:eastAsia="Arial" w:hAnsi="Arial"/>
                  <w:sz w:val="18"/>
                  <w:szCs w:val="18"/>
                  <w:b w:val="1"/>
                  <w:bCs w:val="1"/>
                  <w:color w:val="0000EE"/>
                  <w:w w:val="90"/>
                </w:rPr>
                <w:t>Section 16(a) Beneficial Ownership Reporting Compliance</w:t>
              </w:r>
            </w:hyperlink>
          </w:p>
        </w:tc>
        <w:tc>
          <w:tcPr>
            <w:tcW w:w="616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w:t>
            </w: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Code of Conduct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20"/>
        </w:trPr>
        <w:tc>
          <w:tcPr>
            <w:tcW w:w="36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920" w:type="dxa"/>
            <w:vAlign w:val="bottom"/>
            <w:gridSpan w:val="1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0" w:type="dxa"/>
            <w:vAlign w:val="bottom"/>
            <w:gridSpan w:val="1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1020" w:type="dxa"/>
            <w:vAlign w:val="bottom"/>
            <w:gridSpan w:val="55"/>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PROPOSAL NO. 2: ADVISORY VOTE ON COMPENSATION OF OUR NAMED EXECUTIVE OFFICERS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r>
      <w:tr>
        <w:trPr>
          <w:trHeight w:val="196"/>
        </w:trPr>
        <w:tc>
          <w:tcPr>
            <w:tcW w:w="360" w:type="dxa"/>
            <w:vAlign w:val="bottom"/>
            <w:tcBorders>
              <w:top w:val="single" w:sz="8" w:color="0000EE"/>
            </w:tcBorders>
          </w:tcPr>
          <w:p>
            <w:pPr>
              <w:spacing w:after="0"/>
              <w:rPr>
                <w:sz w:val="17"/>
                <w:szCs w:val="17"/>
                <w:color w:val="auto"/>
              </w:rPr>
            </w:pPr>
          </w:p>
        </w:tc>
        <w:tc>
          <w:tcPr>
            <w:tcW w:w="8100" w:type="dxa"/>
            <w:vAlign w:val="bottom"/>
            <w:tcBorders>
              <w:top w:val="single" w:sz="8" w:color="0000EE"/>
            </w:tcBorders>
            <w:gridSpan w:val="53"/>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Recommendation of the Board</w:t>
              </w:r>
            </w:hyperlink>
          </w:p>
        </w:tc>
        <w:tc>
          <w:tcPr>
            <w:tcW w:w="25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50</w:t>
            </w:r>
          </w:p>
        </w:tc>
      </w:tr>
      <w:tr>
        <w:trPr>
          <w:trHeight w:val="20"/>
        </w:trPr>
        <w:tc>
          <w:tcPr>
            <w:tcW w:w="360" w:type="dxa"/>
            <w:vAlign w:val="bottom"/>
          </w:tcPr>
          <w:p>
            <w:pPr>
              <w:spacing w:after="0" w:line="20" w:lineRule="exact"/>
              <w:rPr>
                <w:sz w:val="1"/>
                <w:szCs w:val="1"/>
                <w:color w:val="auto"/>
              </w:rPr>
            </w:pPr>
          </w:p>
        </w:tc>
        <w:tc>
          <w:tcPr>
            <w:tcW w:w="2220" w:type="dxa"/>
            <w:vAlign w:val="bottom"/>
            <w:gridSpan w:val="21"/>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600" w:type="dxa"/>
            <w:vAlign w:val="bottom"/>
            <w:gridSpan w:val="1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1020" w:type="dxa"/>
            <w:vAlign w:val="bottom"/>
            <w:gridSpan w:val="55"/>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PROPOSAL NO. 3: APPROVAL OF EXPECTED APPOINTMENT OF INDEPENDENT AUDITORS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196"/>
        </w:trPr>
        <w:tc>
          <w:tcPr>
            <w:tcW w:w="36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52"/>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General</w:t>
              </w:r>
            </w:hyperlink>
          </w:p>
        </w:tc>
        <w:tc>
          <w:tcPr>
            <w:tcW w:w="31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20"/>
        </w:trPr>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0" w:type="dxa"/>
            <w:vAlign w:val="bottom"/>
            <w:gridSpan w:val="20"/>
          </w:tcPr>
          <w:p>
            <w:pPr>
              <w:spacing w:after="0" w:line="20" w:lineRule="exact"/>
              <w:rPr>
                <w:sz w:val="1"/>
                <w:szCs w:val="1"/>
                <w:color w:val="auto"/>
              </w:rPr>
            </w:pPr>
          </w:p>
        </w:tc>
        <w:tc>
          <w:tcPr>
            <w:tcW w:w="1740" w:type="dxa"/>
            <w:vAlign w:val="bottom"/>
            <w:gridSpan w:val="1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54"/>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Recommendation of the Board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51</w:t>
            </w:r>
          </w:p>
        </w:tc>
      </w:tr>
      <w:tr>
        <w:trPr>
          <w:trHeight w:val="20"/>
        </w:trPr>
        <w:tc>
          <w:tcPr>
            <w:tcW w:w="360" w:type="dxa"/>
            <w:vAlign w:val="bottom"/>
          </w:tcPr>
          <w:p>
            <w:pPr>
              <w:spacing w:after="0" w:line="20" w:lineRule="exact"/>
              <w:rPr>
                <w:sz w:val="1"/>
                <w:szCs w:val="1"/>
                <w:color w:val="auto"/>
              </w:rPr>
            </w:pPr>
          </w:p>
        </w:tc>
        <w:tc>
          <w:tcPr>
            <w:tcW w:w="2220" w:type="dxa"/>
            <w:vAlign w:val="bottom"/>
            <w:gridSpan w:val="21"/>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600" w:type="dxa"/>
            <w:vAlign w:val="bottom"/>
            <w:gridSpan w:val="1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47"/>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RELATIONSHIP WITH INDEPENDENT PUBLIC ACCOUNTANTS</w:t>
              </w:r>
            </w:hyperlink>
          </w:p>
        </w:tc>
        <w:tc>
          <w:tcPr>
            <w:tcW w:w="55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w:t>
            </w:r>
          </w:p>
        </w:tc>
      </w:tr>
      <w:tr>
        <w:trPr>
          <w:trHeight w:val="196"/>
        </w:trPr>
        <w:tc>
          <w:tcPr>
            <w:tcW w:w="11020" w:type="dxa"/>
            <w:vAlign w:val="bottom"/>
            <w:gridSpan w:val="55"/>
          </w:tcPr>
          <w:p>
            <w:pPr>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AUDIT COMMITTEE REPORT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w:t>
            </w:r>
          </w:p>
        </w:tc>
      </w:tr>
      <w:tr>
        <w:trPr>
          <w:trHeight w:val="20"/>
        </w:trPr>
        <w:tc>
          <w:tcPr>
            <w:tcW w:w="2580" w:type="dxa"/>
            <w:vAlign w:val="bottom"/>
            <w:gridSpan w:val="22"/>
            <w:shd w:val="clear" w:color="auto" w:fill="0000EE"/>
          </w:tcPr>
          <w:p>
            <w:pPr>
              <w:spacing w:after="0" w:line="20" w:lineRule="exact"/>
              <w:rPr>
                <w:sz w:val="1"/>
                <w:szCs w:val="1"/>
                <w:color w:val="auto"/>
              </w:rPr>
            </w:pPr>
          </w:p>
        </w:tc>
        <w:tc>
          <w:tcPr>
            <w:tcW w:w="1740" w:type="dxa"/>
            <w:vAlign w:val="bottom"/>
            <w:gridSpan w:val="17"/>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1020" w:type="dxa"/>
            <w:vAlign w:val="bottom"/>
            <w:gridSpan w:val="55"/>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OTHER MATTERS WHICH MAY BE PRESENTED FOR ACTION AT THE MEETING</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w:t>
            </w:r>
          </w:p>
        </w:tc>
      </w:tr>
      <w:tr>
        <w:trPr>
          <w:trHeight w:val="196"/>
        </w:trPr>
        <w:tc>
          <w:tcPr>
            <w:tcW w:w="4320" w:type="dxa"/>
            <w:vAlign w:val="bottom"/>
            <w:tcBorders>
              <w:top w:val="single" w:sz="8" w:color="0000EE"/>
              <w:bottom w:val="single" w:sz="8" w:color="0000EE"/>
            </w:tcBorders>
            <w:gridSpan w:val="39"/>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DELIVERY OF DOCUMENTS TO STOCKHOLDERS</w:t>
              </w:r>
            </w:hyperlink>
          </w:p>
        </w:tc>
        <w:tc>
          <w:tcPr>
            <w:tcW w:w="2640" w:type="dxa"/>
            <w:vAlign w:val="bottom"/>
            <w:tcBorders>
              <w:top w:val="single" w:sz="8" w:color="0000EE"/>
            </w:tcBorders>
            <w:gridSpan w:val="13"/>
          </w:tcPr>
          <w:p>
            <w:pPr>
              <w:spacing w:after="0"/>
              <w:rPr>
                <w:sz w:val="17"/>
                <w:szCs w:val="17"/>
                <w:color w:val="auto"/>
              </w:rPr>
            </w:pPr>
          </w:p>
        </w:tc>
        <w:tc>
          <w:tcPr>
            <w:tcW w:w="40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w:t>
            </w:r>
          </w:p>
        </w:tc>
      </w:tr>
      <w:tr>
        <w:trPr>
          <w:trHeight w:val="196"/>
        </w:trPr>
        <w:tc>
          <w:tcPr>
            <w:tcW w:w="11020" w:type="dxa"/>
            <w:vAlign w:val="bottom"/>
            <w:gridSpan w:val="55"/>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DEADLINE FOR RECEIPT OF STOCKHOLDER PROPOSALS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53</w:t>
            </w:r>
          </w:p>
        </w:tc>
      </w:tr>
      <w:tr>
        <w:trPr>
          <w:trHeight w:val="20"/>
        </w:trPr>
        <w:tc>
          <w:tcPr>
            <w:tcW w:w="14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14"/>
            <w:shd w:val="clear" w:color="auto" w:fill="0000EE"/>
          </w:tcPr>
          <w:p>
            <w:pPr>
              <w:spacing w:after="0" w:line="20" w:lineRule="exact"/>
              <w:rPr>
                <w:sz w:val="1"/>
                <w:szCs w:val="1"/>
                <w:color w:val="auto"/>
              </w:rPr>
            </w:pPr>
          </w:p>
        </w:tc>
        <w:tc>
          <w:tcPr>
            <w:tcW w:w="7800" w:type="dxa"/>
            <w:vAlign w:val="bottom"/>
            <w:gridSpan w:val="25"/>
            <w:shd w:val="clear" w:color="auto" w:fill="0000EE"/>
          </w:tcPr>
          <w:p>
            <w:pPr>
              <w:spacing w:after="0" w:line="20" w:lineRule="exact"/>
              <w:rPr>
                <w:sz w:val="1"/>
                <w:szCs w:val="1"/>
                <w:color w:val="auto"/>
              </w:rPr>
            </w:pPr>
          </w:p>
        </w:tc>
      </w:tr>
    </w:tbl>
    <w:p>
      <w:pPr>
        <w:sectPr>
          <w:pgSz w:w="11900" w:h="16838" w:orient="portrait"/>
          <w:cols w:equalWidth="0" w:num="1">
            <w:col w:w="11320"/>
          </w:cols>
          <w:pgMar w:left="240" w:top="459" w:right="339" w:bottom="981"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3811 Turtle Creek Blvd., Suite 1100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Dallas, Texas 75219-4487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19,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12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2015 annual meeting of our stockholders will be held at Arlington Hall at Lee Park, 3333 Turtle Creek Blvd., Dallas, Texas 75219, at 8:00 a.m., local time, on Thursday, August 6,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131" w:lineRule="exact"/>
        <w:rPr>
          <w:sz w:val="20"/>
          <w:szCs w:val="20"/>
          <w:color w:val="auto"/>
        </w:rPr>
      </w:pPr>
    </w:p>
    <w:p>
      <w:pPr>
        <w:ind w:left="1480" w:right="40" w:hanging="567"/>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 four Class III directors identified in this proxy statement, each to hold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for a term of three years.</w:t>
      </w:r>
    </w:p>
    <w:p>
      <w:pPr>
        <w:spacing w:after="0" w:line="58" w:lineRule="exact"/>
        <w:rPr>
          <w:rFonts w:ascii="Arial" w:cs="Arial" w:eastAsia="Arial" w:hAnsi="Arial"/>
          <w:sz w:val="18"/>
          <w:szCs w:val="18"/>
          <w:color w:val="auto"/>
        </w:rPr>
      </w:pPr>
    </w:p>
    <w:p>
      <w:pPr>
        <w:ind w:left="1500" w:right="6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election of its four nominees for director named in this proxy statement.</w:t>
      </w:r>
    </w:p>
    <w:p>
      <w:pPr>
        <w:spacing w:after="0" w:line="71" w:lineRule="exact"/>
        <w:rPr>
          <w:rFonts w:ascii="Arial" w:cs="Arial" w:eastAsia="Arial" w:hAnsi="Arial"/>
          <w:sz w:val="18"/>
          <w:szCs w:val="18"/>
          <w:color w:val="auto"/>
        </w:rPr>
      </w:pPr>
    </w:p>
    <w:p>
      <w:pPr>
        <w:ind w:left="1480" w:right="520" w:hanging="567"/>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Advisory Vote on Compensation of our Named Executive Officers. </w:t>
      </w:r>
      <w:r>
        <w:rPr>
          <w:rFonts w:ascii="Arial" w:cs="Arial" w:eastAsia="Arial" w:hAnsi="Arial"/>
          <w:sz w:val="18"/>
          <w:szCs w:val="18"/>
          <w:color w:val="auto"/>
        </w:rPr>
        <w:t>We are asking you to approve a non-binding advisory resolution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compensation of our named executive officers as reported in this proxy statement.</w:t>
      </w:r>
    </w:p>
    <w:p>
      <w:pPr>
        <w:spacing w:after="0" w:line="58" w:lineRule="exact"/>
        <w:rPr>
          <w:rFonts w:ascii="Arial" w:cs="Arial" w:eastAsia="Arial" w:hAnsi="Arial"/>
          <w:sz w:val="18"/>
          <w:szCs w:val="18"/>
          <w:color w:val="auto"/>
        </w:rPr>
      </w:pPr>
    </w:p>
    <w:p>
      <w:pPr>
        <w:ind w:left="1500" w:right="8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non-binding advisory resolution approving the compensation of our named executive officers.</w:t>
      </w:r>
    </w:p>
    <w:p>
      <w:pPr>
        <w:spacing w:after="0" w:line="71" w:lineRule="exact"/>
        <w:rPr>
          <w:rFonts w:ascii="Arial" w:cs="Arial" w:eastAsia="Arial" w:hAnsi="Arial"/>
          <w:sz w:val="18"/>
          <w:szCs w:val="18"/>
          <w:color w:val="auto"/>
        </w:rPr>
      </w:pPr>
    </w:p>
    <w:p>
      <w:pPr>
        <w:ind w:left="1480" w:right="440" w:hanging="567"/>
        <w:spacing w:after="0" w:line="308" w:lineRule="auto"/>
        <w:tabs>
          <w:tab w:leader="none" w:pos="14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Approval of the Expected Appointment of Ernst &amp; Young LLP. </w:t>
      </w:r>
      <w:r>
        <w:rPr>
          <w:rFonts w:ascii="Arial" w:cs="Arial" w:eastAsia="Arial" w:hAnsi="Arial"/>
          <w:sz w:val="17"/>
          <w:szCs w:val="17"/>
          <w:color w:val="auto"/>
        </w:rPr>
        <w:t>We are asking you to approve the expected appointment by our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of Ernst &amp; Young LLP as the Company’s independent auditors for the fiscal year ending March 31, 2016.</w:t>
      </w:r>
    </w:p>
    <w:p>
      <w:pPr>
        <w:spacing w:after="0" w:line="34" w:lineRule="exact"/>
        <w:rPr>
          <w:rFonts w:ascii="Arial" w:cs="Arial" w:eastAsia="Arial" w:hAnsi="Arial"/>
          <w:sz w:val="17"/>
          <w:szCs w:val="17"/>
          <w:color w:val="auto"/>
        </w:rPr>
      </w:pPr>
    </w:p>
    <w:p>
      <w:pPr>
        <w:ind w:left="1500" w:right="8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2016.</w:t>
      </w:r>
    </w:p>
    <w:p>
      <w:pPr>
        <w:spacing w:after="0" w:line="71" w:lineRule="exact"/>
        <w:rPr>
          <w:rFonts w:ascii="Arial" w:cs="Arial" w:eastAsia="Arial" w:hAnsi="Arial"/>
          <w:sz w:val="17"/>
          <w:szCs w:val="17"/>
          <w:color w:val="auto"/>
        </w:rPr>
      </w:pPr>
    </w:p>
    <w:p>
      <w:pPr>
        <w:ind w:left="1480" w:right="300" w:hanging="567"/>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if any, as properly come before the annual meeting, or</w:t>
      </w:r>
      <w:r>
        <w:rPr>
          <w:rFonts w:ascii="Arial" w:cs="Arial" w:eastAsia="Arial" w:hAnsi="Arial"/>
          <w:sz w:val="18"/>
          <w:szCs w:val="18"/>
          <w:i w:val="1"/>
          <w:iCs w:val="1"/>
          <w:color w:val="auto"/>
        </w:rPr>
        <w:t xml:space="preserve"> </w:t>
      </w:r>
      <w:r>
        <w:rPr>
          <w:rFonts w:ascii="Arial" w:cs="Arial" w:eastAsia="Arial" w:hAnsi="Arial"/>
          <w:sz w:val="18"/>
          <w:szCs w:val="18"/>
          <w:color w:val="auto"/>
        </w:rPr>
        <w:t>any adjournment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Our Board of Directors does not know of any matters to be acted upon at the meeting other than the matters set forth in items (1)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 above.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 OF STOCKHOLDERS TO BE HELD ON AUGUST 6, 2015.</w:t>
      </w:r>
    </w:p>
    <w:p>
      <w:pPr>
        <w:spacing w:after="0" w:line="20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Our proxy statement and 2015 annual report to stockholders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are available to you on the Internet at www.proxyvote.com.</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8, 2015. In this proxy statement, we refer to this date as the “record date.” As of the record date, there were 50,234,767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ectPr>
          <w:pgSz w:w="11900" w:h="16838" w:orient="portrait"/>
          <w:cols w:equalWidth="0" w:num="1">
            <w:col w:w="11420"/>
          </w:cols>
          <w:pgMar w:left="240" w:top="459" w:right="239" w:bottom="1440" w:gutter="0" w:footer="0" w:header="0"/>
        </w:sectPr>
      </w:pPr>
    </w:p>
    <w:p>
      <w:pPr>
        <w:spacing w:after="0" w:line="381"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Proposal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Directors</w:t>
      </w:r>
    </w:p>
    <w:p>
      <w:pPr>
        <w:spacing w:after="0" w:line="1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Advisory vote on compensation of our named executive officers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Approval of the expected appointment of Ernst &amp; Young LLP as our independent auditors for the fiscal year ending March 31, 2016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Effect of Abstentions and</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Required Vote</w:t>
            </w:r>
          </w:p>
        </w:tc>
        <w:tc>
          <w:tcPr>
            <w:tcW w:w="820" w:type="dxa"/>
            <w:vAlign w:val="bottom"/>
          </w:tcPr>
          <w:p>
            <w:pPr>
              <w:spacing w:after="0"/>
              <w:rPr>
                <w:sz w:val="16"/>
                <w:szCs w:val="16"/>
                <w:color w:val="auto"/>
              </w:rPr>
            </w:pPr>
          </w:p>
        </w:tc>
        <w:tc>
          <w:tcPr>
            <w:tcW w:w="2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Broker Non-Votes</w:t>
            </w:r>
          </w:p>
        </w:tc>
        <w:tc>
          <w:tcPr>
            <w:tcW w:w="0" w:type="dxa"/>
            <w:vAlign w:val="bottom"/>
          </w:tcPr>
          <w:p>
            <w:pPr>
              <w:spacing w:after="0"/>
              <w:rPr>
                <w:sz w:val="1"/>
                <w:szCs w:val="1"/>
                <w:color w:val="auto"/>
              </w:rPr>
            </w:pPr>
          </w:p>
        </w:tc>
      </w:tr>
      <w:tr>
        <w:trPr>
          <w:trHeight w:val="20"/>
        </w:trPr>
        <w:tc>
          <w:tcPr>
            <w:tcW w:w="1560" w:type="dxa"/>
            <w:vAlign w:val="bottom"/>
            <w:vMerge w:val="restart"/>
          </w:tcPr>
          <w:p>
            <w:pPr>
              <w:spacing w:after="0"/>
              <w:rPr>
                <w:sz w:val="20"/>
                <w:szCs w:val="20"/>
                <w:color w:val="auto"/>
              </w:rPr>
            </w:pPr>
            <w:r>
              <w:rPr>
                <w:rFonts w:ascii="Arial" w:cs="Arial" w:eastAsia="Arial" w:hAnsi="Arial"/>
                <w:sz w:val="18"/>
                <w:szCs w:val="18"/>
                <w:color w:val="auto"/>
                <w:w w:val="91"/>
              </w:rPr>
              <w:t>Majority of votes cast</w:t>
            </w:r>
          </w:p>
        </w:tc>
        <w:tc>
          <w:tcPr>
            <w:tcW w:w="900" w:type="dxa"/>
            <w:vAlign w:val="bottom"/>
            <w:tcBorders>
              <w:bottom w:val="single" w:sz="8" w:color="auto"/>
            </w:tcBorders>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820" w:type="dxa"/>
            <w:vAlign w:val="bottom"/>
            <w:vMerge w:val="restart"/>
          </w:tcPr>
          <w:p>
            <w:pPr>
              <w:ind w:left="220"/>
              <w:spacing w:after="0"/>
              <w:rPr>
                <w:sz w:val="20"/>
                <w:szCs w:val="20"/>
                <w:color w:val="auto"/>
              </w:rPr>
            </w:pPr>
            <w:r>
              <w:rPr>
                <w:rFonts w:ascii="Arial" w:cs="Arial" w:eastAsia="Arial" w:hAnsi="Arial"/>
                <w:sz w:val="18"/>
                <w:szCs w:val="18"/>
                <w:color w:val="auto"/>
                <w:w w:val="80"/>
              </w:rPr>
              <w:t>No effect</w:t>
            </w:r>
          </w:p>
        </w:tc>
        <w:tc>
          <w:tcPr>
            <w:tcW w:w="158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8"/>
                <w:szCs w:val="18"/>
                <w:color w:val="auto"/>
                <w:w w:val="94"/>
              </w:rPr>
              <w:t>on outcome of vote</w:t>
            </w:r>
          </w:p>
        </w:tc>
        <w:tc>
          <w:tcPr>
            <w:tcW w:w="5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5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3920" w:type="dxa"/>
            <w:vAlign w:val="bottom"/>
            <w:gridSpan w:val="3"/>
          </w:tcPr>
          <w:p>
            <w:pPr>
              <w:spacing w:after="0"/>
              <w:rPr>
                <w:sz w:val="20"/>
                <w:szCs w:val="20"/>
                <w:color w:val="auto"/>
              </w:rPr>
            </w:pPr>
            <w:r>
              <w:rPr>
                <w:rFonts w:ascii="Arial" w:cs="Arial" w:eastAsia="Arial" w:hAnsi="Arial"/>
                <w:sz w:val="18"/>
                <w:szCs w:val="18"/>
                <w:color w:val="auto"/>
              </w:rPr>
              <w:t>Majority of votes cast</w:t>
            </w: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rPr>
              <w:t>No effect on outcome of vote</w:t>
            </w:r>
          </w:p>
        </w:tc>
        <w:tc>
          <w:tcPr>
            <w:tcW w:w="0" w:type="dxa"/>
            <w:vAlign w:val="bottom"/>
          </w:tcPr>
          <w:p>
            <w:pPr>
              <w:spacing w:after="0"/>
              <w:rPr>
                <w:sz w:val="1"/>
                <w:szCs w:val="1"/>
                <w:color w:val="auto"/>
              </w:rPr>
            </w:pPr>
          </w:p>
        </w:tc>
      </w:tr>
      <w:tr>
        <w:trPr>
          <w:trHeight w:val="526"/>
        </w:trPr>
        <w:tc>
          <w:tcPr>
            <w:tcW w:w="3920" w:type="dxa"/>
            <w:vAlign w:val="bottom"/>
            <w:gridSpan w:val="3"/>
          </w:tcPr>
          <w:p>
            <w:pPr>
              <w:spacing w:after="0"/>
              <w:rPr>
                <w:sz w:val="20"/>
                <w:szCs w:val="20"/>
                <w:color w:val="auto"/>
              </w:rPr>
            </w:pPr>
            <w:r>
              <w:rPr>
                <w:rFonts w:ascii="Arial" w:cs="Arial" w:eastAsia="Arial" w:hAnsi="Arial"/>
                <w:sz w:val="18"/>
                <w:szCs w:val="18"/>
                <w:color w:val="auto"/>
              </w:rPr>
              <w:t>Affirmative vote of a majority of the shares of</w:t>
            </w:r>
          </w:p>
        </w:tc>
        <w:tc>
          <w:tcPr>
            <w:tcW w:w="2900" w:type="dxa"/>
            <w:vAlign w:val="bottom"/>
            <w:gridSpan w:val="3"/>
          </w:tcPr>
          <w:p>
            <w:pPr>
              <w:ind w:left="220"/>
              <w:spacing w:after="0"/>
              <w:rPr>
                <w:sz w:val="20"/>
                <w:szCs w:val="20"/>
                <w:color w:val="auto"/>
              </w:rPr>
            </w:pPr>
            <w:r>
              <w:rPr>
                <w:rFonts w:ascii="Arial" w:cs="Arial" w:eastAsia="Arial" w:hAnsi="Arial"/>
                <w:sz w:val="18"/>
                <w:szCs w:val="18"/>
                <w:color w:val="auto"/>
                <w:w w:val="87"/>
              </w:rPr>
              <w:t>Same effect as votes against proposal</w:t>
            </w:r>
          </w:p>
        </w:tc>
        <w:tc>
          <w:tcPr>
            <w:tcW w:w="0" w:type="dxa"/>
            <w:vAlign w:val="bottom"/>
          </w:tcPr>
          <w:p>
            <w:pPr>
              <w:spacing w:after="0"/>
              <w:rPr>
                <w:sz w:val="1"/>
                <w:szCs w:val="1"/>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w w:val="94"/>
              </w:rPr>
              <w:t>Common Stock present in person or represented by</w:t>
            </w: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rPr>
              <w:t>proxy at the meeting</w:t>
            </w:r>
          </w:p>
        </w:tc>
        <w:tc>
          <w:tcPr>
            <w:tcW w:w="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ectPr>
          <w:pgSz w:w="11900" w:h="16838" w:orient="portrait"/>
          <w:cols w:equalWidth="0" w:num="2">
            <w:col w:w="4200" w:space="300"/>
            <w:col w:w="6920"/>
          </w:cols>
          <w:pgMar w:left="240" w:top="459" w:right="239" w:bottom="1440" w:gutter="0" w:footer="0" w:header="0"/>
          <w:type w:val="continuous"/>
        </w:sectPr>
      </w:pPr>
    </w:p>
    <w:p>
      <w:pPr>
        <w:ind w:right="180" w:firstLine="456"/>
        <w:spacing w:after="0" w:line="286" w:lineRule="auto"/>
        <w:rPr>
          <w:sz w:val="20"/>
          <w:szCs w:val="20"/>
          <w:color w:val="auto"/>
        </w:rPr>
      </w:pPr>
      <w:r>
        <w:rPr>
          <w:rFonts w:ascii="Arial" w:cs="Arial" w:eastAsia="Arial" w:hAnsi="Arial"/>
          <w:sz w:val="17"/>
          <w:szCs w:val="17"/>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regarding executive compensation is also not considered “routine,” and brokers may not vote your shares with respect to such matter without instructions from you.</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Okapi Partners, which will receive a fee of approximately $9,000,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You can vote your shares at the meeting, by telephone, over the Internet or by completing, signing, dating and returning your proxy in the enclosed envelope.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 ELECTION OF DIRECTORS AND RELATED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7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Members of our Board of Directors are divided into three classes based on their term of office (Class I, II and III). The directors in each such class hold office for staggered terms of three years each. At present, each class has three directors, except for Class III, which has four directors. Our Board has determined that the Board shall consist of ten directors.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shows the composition of our Board after the annual meeting, assuming the election of the proposed slate of Class III director nominees: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w w:val="85"/>
              </w:rPr>
              <w:t>Class</w:t>
            </w:r>
          </w:p>
        </w:tc>
        <w:tc>
          <w:tcPr>
            <w:tcW w:w="2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Directors</w:t>
            </w:r>
          </w:p>
        </w:tc>
      </w:tr>
      <w:tr>
        <w:trPr>
          <w:trHeight w:val="20"/>
        </w:trPr>
        <w:tc>
          <w:tcPr>
            <w:tcW w:w="2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0"/>
        </w:trPr>
        <w:tc>
          <w:tcPr>
            <w:tcW w:w="5640" w:type="dxa"/>
            <w:vAlign w:val="bottom"/>
            <w:gridSpan w:val="3"/>
          </w:tcPr>
          <w:p>
            <w:pPr>
              <w:spacing w:after="0"/>
              <w:rPr>
                <w:sz w:val="20"/>
                <w:szCs w:val="20"/>
                <w:color w:val="auto"/>
              </w:rPr>
            </w:pPr>
            <w:r>
              <w:rPr>
                <w:rFonts w:ascii="Arial" w:cs="Arial" w:eastAsia="Arial" w:hAnsi="Arial"/>
                <w:sz w:val="18"/>
                <w:szCs w:val="18"/>
                <w:i w:val="1"/>
                <w:iCs w:val="1"/>
                <w:color w:val="auto"/>
                <w:w w:val="98"/>
              </w:rPr>
              <w:t>Class I</w:t>
            </w:r>
            <w:r>
              <w:rPr>
                <w:rFonts w:ascii="Arial" w:cs="Arial" w:eastAsia="Arial" w:hAnsi="Arial"/>
                <w:sz w:val="18"/>
                <w:szCs w:val="18"/>
                <w:color w:val="auto"/>
                <w:w w:val="98"/>
              </w:rPr>
              <w:t>: Term expires at the 2016 annual meeting and every three years</w:t>
            </w: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rPr>
              <w:t>Robert L. Clarke</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rPr>
              <w:t>Martin M. Ellen</w:t>
            </w:r>
          </w:p>
        </w:tc>
      </w:tr>
      <w:tr>
        <w:trPr>
          <w:trHeight w:val="230"/>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rPr>
              <w:t>Steven R. Rowley</w:t>
            </w:r>
          </w:p>
        </w:tc>
      </w:tr>
      <w:tr>
        <w:trPr>
          <w:trHeight w:val="323"/>
        </w:trPr>
        <w:tc>
          <w:tcPr>
            <w:tcW w:w="5640" w:type="dxa"/>
            <w:vAlign w:val="bottom"/>
            <w:gridSpan w:val="3"/>
          </w:tcPr>
          <w:p>
            <w:pPr>
              <w:spacing w:after="0"/>
              <w:rPr>
                <w:sz w:val="20"/>
                <w:szCs w:val="20"/>
                <w:color w:val="auto"/>
              </w:rPr>
            </w:pPr>
            <w:r>
              <w:rPr>
                <w:rFonts w:ascii="Arial" w:cs="Arial" w:eastAsia="Arial" w:hAnsi="Arial"/>
                <w:sz w:val="18"/>
                <w:szCs w:val="18"/>
                <w:i w:val="1"/>
                <w:iCs w:val="1"/>
                <w:color w:val="auto"/>
                <w:w w:val="97"/>
              </w:rPr>
              <w:t xml:space="preserve">Class II: </w:t>
            </w:r>
            <w:r>
              <w:rPr>
                <w:rFonts w:ascii="Arial" w:cs="Arial" w:eastAsia="Arial" w:hAnsi="Arial"/>
                <w:sz w:val="18"/>
                <w:szCs w:val="18"/>
                <w:color w:val="auto"/>
                <w:w w:val="97"/>
              </w:rPr>
              <w:t>Term expires at the 2017 annual meeting and every three years</w:t>
            </w: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w w:val="94"/>
              </w:rPr>
              <w:t>Laurence E. Hirsch</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w w:val="94"/>
              </w:rPr>
              <w:t>Michael R. Nicolais</w:t>
            </w:r>
          </w:p>
        </w:tc>
      </w:tr>
      <w:tr>
        <w:trPr>
          <w:trHeight w:val="230"/>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w w:val="95"/>
              </w:rPr>
              <w:t>Richard R. Stewart</w:t>
            </w:r>
          </w:p>
        </w:tc>
      </w:tr>
      <w:tr>
        <w:trPr>
          <w:trHeight w:val="323"/>
        </w:trPr>
        <w:tc>
          <w:tcPr>
            <w:tcW w:w="5640" w:type="dxa"/>
            <w:vAlign w:val="bottom"/>
            <w:gridSpan w:val="3"/>
          </w:tcPr>
          <w:p>
            <w:pPr>
              <w:spacing w:after="0"/>
              <w:rPr>
                <w:sz w:val="20"/>
                <w:szCs w:val="20"/>
                <w:color w:val="auto"/>
              </w:rPr>
            </w:pPr>
            <w:r>
              <w:rPr>
                <w:rFonts w:ascii="Arial" w:cs="Arial" w:eastAsia="Arial" w:hAnsi="Arial"/>
                <w:sz w:val="18"/>
                <w:szCs w:val="18"/>
                <w:i w:val="1"/>
                <w:iCs w:val="1"/>
                <w:color w:val="auto"/>
                <w:w w:val="96"/>
              </w:rPr>
              <w:t xml:space="preserve">Class III: </w:t>
            </w:r>
            <w:r>
              <w:rPr>
                <w:rFonts w:ascii="Arial" w:cs="Arial" w:eastAsia="Arial" w:hAnsi="Arial"/>
                <w:sz w:val="18"/>
                <w:szCs w:val="18"/>
                <w:color w:val="auto"/>
                <w:w w:val="96"/>
              </w:rPr>
              <w:t>Term expires at the 2018 annual meeting and every three years</w:t>
            </w: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rPr>
              <w:t>F. William Barnett</w:t>
            </w: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rPr>
              <w:t>Richard Beckwitt</w:t>
            </w:r>
          </w:p>
        </w:tc>
      </w:tr>
      <w:tr>
        <w:trPr>
          <w:trHeight w:val="216"/>
        </w:trPr>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rPr>
              <w:t>Ed H. Bowman</w:t>
            </w:r>
          </w:p>
        </w:tc>
      </w:tr>
      <w:tr>
        <w:trPr>
          <w:trHeight w:val="230"/>
        </w:trPr>
        <w:tc>
          <w:tcPr>
            <w:tcW w:w="2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860" w:type="dxa"/>
            <w:vAlign w:val="bottom"/>
            <w:gridSpan w:val="3"/>
          </w:tcPr>
          <w:p>
            <w:pPr>
              <w:ind w:left="400"/>
              <w:spacing w:after="0"/>
              <w:rPr>
                <w:sz w:val="20"/>
                <w:szCs w:val="20"/>
                <w:color w:val="auto"/>
              </w:rPr>
            </w:pPr>
            <w:r>
              <w:rPr>
                <w:rFonts w:ascii="Arial" w:cs="Arial" w:eastAsia="Arial" w:hAnsi="Arial"/>
                <w:sz w:val="18"/>
                <w:szCs w:val="18"/>
                <w:color w:val="auto"/>
              </w:rPr>
              <w:t>David W. Quinn</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Rowley, are “independent” within the meaning of the independence requirements of the Securities Exchange Act of 1934, as amended, which we refer to as the “Exchange Act,” and the corporate governance rules of the NYSE.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determining that nine of our ten directors are “independent,” our Board of Directors considered the following facts:</w:t>
      </w:r>
    </w:p>
    <w:p>
      <w:pPr>
        <w:spacing w:after="0" w:line="131" w:lineRule="exact"/>
        <w:rPr>
          <w:sz w:val="20"/>
          <w:szCs w:val="20"/>
          <w:color w:val="auto"/>
        </w:rPr>
      </w:pPr>
    </w:p>
    <w:p>
      <w:pPr>
        <w:ind w:left="900" w:right="24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Messrs. F. William Barnett, Richard Beckwitt, Ed H. Bowman, Robert L. Clarke, Martin M. Ellen and Richard R. Stewart have no relationship with the Company that potentially affects their independence.</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1987 until his retirement in March 2002, Mr. David W. Quinn was an officer of Centex Corporation, our former parent, which we refer to as “Centex.” Because it has been over five years since his retirement as an officer of Centex and in light of the absence of any other material relationship with the Company (other than as a director of the Company), our Board of Directors has determined that Mr. Quinn has no material relationship with the Company.</w:t>
      </w:r>
    </w:p>
    <w:p>
      <w:pPr>
        <w:spacing w:after="0" w:line="92" w:lineRule="exact"/>
        <w:rPr>
          <w:rFonts w:ascii="Arial" w:cs="Arial" w:eastAsia="Arial" w:hAnsi="Arial"/>
          <w:sz w:val="18"/>
          <w:szCs w:val="18"/>
          <w:color w:val="auto"/>
        </w:rPr>
      </w:pPr>
    </w:p>
    <w:p>
      <w:pPr>
        <w:ind w:left="900" w:right="20" w:hanging="446"/>
        <w:spacing w:after="0" w:line="31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From 1985 until his retirement in March 2004, Mr. Laurence E. Hirsch was an officer of Centex. Mr. Hirsch was also our interim Chief Executive Officer for approximately six months from April 2003 until September 2003 prior to the appointment of Mr. Rowley as Chief Executive Officer in September 2003. Because it has been over ten years since Mr. Hirsch retired from Centex or served as an officer of the Company on an interim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basis, and in light of the absence of any other material relationship with the Company (other than as a director of the Company), our Board of Directors has determined that Mr. Hirsch has no material relationship with the Company.</w:t>
      </w:r>
    </w:p>
    <w:p>
      <w:pPr>
        <w:spacing w:after="0" w:line="76" w:lineRule="exact"/>
        <w:rPr>
          <w:sz w:val="20"/>
          <w:szCs w:val="20"/>
          <w:color w:val="auto"/>
        </w:rPr>
      </w:pPr>
    </w:p>
    <w:p>
      <w:pPr>
        <w:ind w:left="900" w:right="20" w:hanging="446"/>
        <w:spacing w:after="0" w:line="288"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Michael R. Nicolais entered into an employment relationship with a company owned by another member of our Board of Directors, Laurence E. Hirsch, in 2004. In particular, in April 2004, Mr. Nicolais accepted employment as president of Highlander Partners L.P., or “Highlander Partners,” a private investment partnership of which Mr. Hirsch is the sole equity owner. In view of, among other things: (1) the fact that</w:t>
      </w:r>
    </w:p>
    <w:p>
      <w:pPr>
        <w:ind w:left="900" w:right="80"/>
        <w:spacing w:after="0" w:line="281" w:lineRule="auto"/>
        <w:rPr>
          <w:rFonts w:ascii="Arial" w:cs="Arial" w:eastAsia="Arial" w:hAnsi="Arial"/>
          <w:sz w:val="16"/>
          <w:szCs w:val="16"/>
          <w:color w:val="auto"/>
        </w:rPr>
      </w:pPr>
      <w:r>
        <w:rPr>
          <w:rFonts w:ascii="Arial" w:cs="Arial" w:eastAsia="Arial" w:hAnsi="Arial"/>
          <w:sz w:val="16"/>
          <w:szCs w:val="16"/>
          <w:color w:val="auto"/>
        </w:rPr>
        <w:t>Mr. Nicolais has never served as an officer or employee of the Company or any of its parents or subsidiaries; (2) the employment relationship between Mr. Nicolais and Highlander Partners commenced after the completion of the spin-off of the Company from Centex and after the date Mr. Hirsch retired as an executive officer and director of Centex; (3) the investment services provided by Mr. Nicolais to Highlander Partners are largely unrelated to the Company (except to the extent that such services involve investment services relating to a portion of the shares of our Common Stock beneficially owned by Mr. Hirsch); and (4) the fact that, as described above, our Board of Directors has determined that</w:t>
      </w:r>
    </w:p>
    <w:p>
      <w:pPr>
        <w:spacing w:after="0" w:line="3" w:lineRule="exact"/>
        <w:rPr>
          <w:rFonts w:ascii="Arial" w:cs="Arial" w:eastAsia="Arial" w:hAnsi="Arial"/>
          <w:sz w:val="16"/>
          <w:szCs w:val="16"/>
          <w:color w:val="auto"/>
        </w:rPr>
      </w:pPr>
    </w:p>
    <w:p>
      <w:pPr>
        <w:ind w:left="900" w:right="760"/>
        <w:spacing w:after="0" w:line="261" w:lineRule="auto"/>
        <w:rPr>
          <w:rFonts w:ascii="Arial" w:cs="Arial" w:eastAsia="Arial" w:hAnsi="Arial"/>
          <w:sz w:val="16"/>
          <w:szCs w:val="16"/>
          <w:color w:val="auto"/>
        </w:rPr>
      </w:pPr>
      <w:r>
        <w:rPr>
          <w:rFonts w:ascii="Arial" w:cs="Arial" w:eastAsia="Arial" w:hAnsi="Arial"/>
          <w:sz w:val="18"/>
          <w:szCs w:val="18"/>
          <w:color w:val="auto"/>
        </w:rPr>
        <w:t>Mr. Hirsch himself has no material relationship with the Company, our Board of Directors determined that Mr. Nicolais has no material relationship with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recommended for nomination by our Governance Committee (with Mr. Barnett abstaining as to his own nomination)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Corporate Governance Guidelines generally require directors to retire at the first annual meeting that occurs after the director’s 72</w:t>
      </w:r>
      <w:r>
        <w:rPr>
          <w:rFonts w:ascii="Arial" w:cs="Arial" w:eastAsia="Arial" w:hAnsi="Arial"/>
          <w:sz w:val="15"/>
          <w:szCs w:val="15"/>
          <w:color w:val="auto"/>
        </w:rPr>
        <w:t>nd</w:t>
      </w:r>
      <w:r>
        <w:rPr>
          <w:rFonts w:ascii="Arial" w:cs="Arial" w:eastAsia="Arial" w:hAnsi="Arial"/>
          <w:sz w:val="18"/>
          <w:szCs w:val="18"/>
          <w:color w:val="auto"/>
        </w:rPr>
        <w:t xml:space="preserve"> birthday unless the Board (other than the affected director) waives the requirement upon the recommendation of the Governance Committee. The Board has previously approved such a waiver for Mr. Quinn, which waiver expires in 2016. Therefore, although each of the nominees is standing for election to a three-year term, if elected, Mr. Quinn is expected to retire from the Board at the 2016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nominees listed below to serve as Class III directors for a three-year term ending at our 2018 annual meeting of stockholders: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William Barnett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Beckwitt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 H. Bowman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W. Quinn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Set forth below is information about the nominees standing for election at our 2015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to serve as a director of the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Director Whose Terms Expire at our 2015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III Directors)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2200" w:type="dxa"/>
            <w:vAlign w:val="bottom"/>
          </w:tcPr>
          <w:p>
            <w:pPr>
              <w:spacing w:after="0"/>
              <w:rPr>
                <w:sz w:val="14"/>
                <w:szCs w:val="14"/>
                <w:color w:val="auto"/>
              </w:rPr>
            </w:pPr>
          </w:p>
        </w:tc>
        <w:tc>
          <w:tcPr>
            <w:tcW w:w="59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1"/>
              </w:rPr>
              <w:t>Business Experience and Principal Occupation;</w:t>
            </w:r>
          </w:p>
        </w:tc>
      </w:tr>
      <w:tr>
        <w:trPr>
          <w:trHeight w:val="169"/>
        </w:trPr>
        <w:tc>
          <w:tcPr>
            <w:tcW w:w="8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818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r>
      <w:tr>
        <w:trPr>
          <w:trHeight w:val="20"/>
        </w:trPr>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98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77"/>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F. William Barnett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8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2003</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Mr. Barnett retired in 2003 from his position as a Director in the Dallas office of McKinsey &amp; Company, Inc.,</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2"/>
              </w:rPr>
              <w:t>an international consulting firm, after 23 years of employment, where he led the firm’s Strategy Practice. Mr.</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6"/>
              </w:rPr>
              <w:t>Barnett has previously served as an Adjunct Professor at the Yale School of Management and currently</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6"/>
              </w:rPr>
              <w:t xml:space="preserve">teaches at the Jesse H. Jones Graduate School of Business at Rice University. Mr. Barnett’s book, </w:t>
            </w:r>
            <w:r>
              <w:rPr>
                <w:rFonts w:ascii="Arial" w:cs="Arial" w:eastAsia="Arial" w:hAnsi="Arial"/>
                <w:sz w:val="18"/>
                <w:szCs w:val="18"/>
                <w:i w:val="1"/>
                <w:iCs w:val="1"/>
                <w:color w:val="auto"/>
                <w:w w:val="96"/>
              </w:rPr>
              <w:t>The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i w:val="1"/>
                <w:iCs w:val="1"/>
                <w:color w:val="auto"/>
                <w:w w:val="93"/>
              </w:rPr>
              <w:t>Strategic Career: Let Business Principles Guide You</w:t>
            </w:r>
            <w:r>
              <w:rPr>
                <w:rFonts w:ascii="Arial" w:cs="Arial" w:eastAsia="Arial" w:hAnsi="Arial"/>
                <w:sz w:val="18"/>
                <w:szCs w:val="18"/>
                <w:color w:val="auto"/>
                <w:w w:val="93"/>
              </w:rPr>
              <w:t>, was released in 2015. Mr. Barnett is a member of our</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Governance Committee and Compensation Committee.</w:t>
            </w:r>
          </w:p>
        </w:tc>
      </w:tr>
      <w:tr>
        <w:trPr>
          <w:trHeight w:val="323"/>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2"/>
              </w:rPr>
              <w:t>Mr. Barnett brings to the Board, the Governance Committee and the Compensation Committee his corporate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9"/>
              </w:rPr>
              <w:t>governance and strategy development and implementation experience gained from his long career in</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management consulting and his service on another board.</w:t>
            </w:r>
          </w:p>
        </w:tc>
      </w:tr>
      <w:tr>
        <w:trPr>
          <w:trHeight w:val="323"/>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Richard Beckwitt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8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2014</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4"/>
              </w:rPr>
              <w:t>Mr. Beckwitt is the President of Lennar Corporation. He joined Lennar in March 2006 as an Executive Vice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1"/>
              </w:rPr>
              <w:t>President and was promoted to President in April 2011. Mr. Beckwitt served on the Board of Directors of D.R.</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7"/>
              </w:rPr>
              <w:t>Horton, Inc. from 1993 to November 2003. From 1993 to March 2000, he held various executive officer</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positions at D.R. Horton, including President of the Company. From March 2000 to April 2003, Mr. Beckwitt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was the owner and principal of EVP Capital, L.P., a venture capital and real estate advisory company. From</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1986 to 1993, Mr. Beckwitt worked in the Mergers and Acquisitions and Corporate Finance Departments at</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Lehman Brothers. Mr. Beckwitt is a member of our Audit Committee.</w:t>
            </w:r>
          </w:p>
        </w:tc>
      </w:tr>
      <w:tr>
        <w:trPr>
          <w:trHeight w:val="323"/>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1"/>
              </w:rPr>
              <w:t>Mr. Beckwitt brings to the Board and the Audit Committee his extensive executive experience gained through</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4"/>
              </w:rPr>
              <w:t>his service as the President and executive officer of public companies within the homebuilding industry, as</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well as finance-related experience with a major investment banking firm.</w:t>
            </w:r>
          </w:p>
        </w:tc>
      </w:tr>
      <w:tr>
        <w:trPr>
          <w:trHeight w:val="323"/>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Ed H. Bowman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820" w:type="dxa"/>
            <w:vAlign w:val="bottom"/>
            <w:gridSpan w:val="2"/>
          </w:tcPr>
          <w:p>
            <w:pPr>
              <w:jc w:val="center"/>
              <w:ind w:left="110"/>
              <w:spacing w:after="0"/>
              <w:rPr>
                <w:sz w:val="20"/>
                <w:szCs w:val="20"/>
                <w:color w:val="auto"/>
              </w:rPr>
            </w:pPr>
            <w:r>
              <w:rPr>
                <w:rFonts w:ascii="Arial" w:cs="Arial" w:eastAsia="Arial" w:hAnsi="Arial"/>
                <w:sz w:val="18"/>
                <w:szCs w:val="18"/>
                <w:color w:val="auto"/>
                <w:w w:val="84"/>
              </w:rPr>
              <w:t>2011</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Mr. Bowman served as Chief Executive Officer, President and a director of SOURCECORP from 1996 until</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0"/>
              </w:rPr>
              <w:t>2011. Prior to 1996, Mr. Bowman was a senior executive at First Data Corporation. Mr. Bowman serves on the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1"/>
              </w:rPr>
              <w:t>advisory board of the J. Mack Robinson College of Business at Georgia State University. Mr. Bowman serves</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as Chair of our Compensation Committee.</w:t>
            </w:r>
          </w:p>
        </w:tc>
      </w:tr>
      <w:tr>
        <w:trPr>
          <w:trHeight w:val="323"/>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6"/>
              </w:rPr>
              <w:t>Mr. Bowman brings to the Board and the Compensation Committee his proven leadership and business</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4"/>
              </w:rPr>
              <w:t>experience as the retired CEO of an expanding company. Mr. Bowman also brings corporate governance,</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finance and compensation knowledge gained from his experience at other public companies.</w:t>
            </w:r>
          </w:p>
        </w:tc>
      </w:tr>
      <w:tr>
        <w:trPr>
          <w:trHeight w:val="323"/>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David W. Quinn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8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1994</w:t>
            </w: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Mr. Quinn served as a director of Centex from 1989 until its merger with Pulte in 2009, as Vice Chairman of</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2"/>
              </w:rPr>
              <w:t>the Board of Directors of Centex from May 1996 to March 2002, as Executive Vice President of Centex from</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w w:val="93"/>
              </w:rPr>
              <w:t>February 1987 to May 1996, and Chief Financial Officer of Centex from February 1987 until June 1997 and</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80" w:type="dxa"/>
            <w:vAlign w:val="bottom"/>
            <w:gridSpan w:val="3"/>
          </w:tcPr>
          <w:p>
            <w:pPr>
              <w:ind w:left="200"/>
              <w:spacing w:after="0"/>
              <w:rPr>
                <w:sz w:val="20"/>
                <w:szCs w:val="20"/>
                <w:color w:val="auto"/>
              </w:rPr>
            </w:pPr>
            <w:r>
              <w:rPr>
                <w:rFonts w:ascii="Arial" w:cs="Arial" w:eastAsia="Arial" w:hAnsi="Arial"/>
                <w:sz w:val="18"/>
                <w:szCs w:val="18"/>
                <w:color w:val="auto"/>
              </w:rPr>
              <w:t>again from October 1997 until May 2000. Mr. Quinn is a member of our Audit Committee.</w:t>
            </w:r>
          </w:p>
        </w:tc>
      </w:tr>
      <w:tr>
        <w:trPr>
          <w:trHeight w:val="36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80" w:type="dxa"/>
            <w:vAlign w:val="bottom"/>
            <w:gridSpan w:val="2"/>
          </w:tcPr>
          <w:p>
            <w:pPr>
              <w:ind w:left="2420"/>
              <w:spacing w:after="0"/>
              <w:rPr>
                <w:sz w:val="20"/>
                <w:szCs w:val="20"/>
                <w:color w:val="auto"/>
              </w:rPr>
            </w:pPr>
            <w:r>
              <w:rPr>
                <w:rFonts w:ascii="Arial" w:cs="Arial" w:eastAsia="Arial" w:hAnsi="Arial"/>
                <w:sz w:val="18"/>
                <w:szCs w:val="18"/>
                <w:color w:val="auto"/>
              </w:rPr>
              <w:t>6</w:t>
            </w:r>
          </w:p>
        </w:tc>
        <w:tc>
          <w:tcPr>
            <w:tcW w:w="20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7"/>
              </w:rPr>
              <w:t>Mr. Quinn brings to the Board and the Audit Committee his extensive management, financial and audit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0"/>
              </w:rPr>
              <w:t>experience gained from his 17 years as CFO and/or Vice Chairman of the Company’s former parent company</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9"/>
              </w:rPr>
              <w:t>and through prior experience as a partner with a major public accounting firm. Mr. Quinn also brings</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9"/>
              </w:rPr>
              <w:t>corporate governance experience gained from membership on the boards of other public and private</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rPr>
              <w:t>companies.</w:t>
            </w:r>
          </w:p>
        </w:tc>
      </w:tr>
      <w:tr>
        <w:trPr>
          <w:trHeight w:val="630"/>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760" w:type="dxa"/>
            <w:vAlign w:val="bottom"/>
            <w:gridSpan w:val="4"/>
          </w:tcPr>
          <w:p>
            <w:pPr>
              <w:ind w:left="340"/>
              <w:spacing w:after="0"/>
              <w:rPr>
                <w:sz w:val="20"/>
                <w:szCs w:val="20"/>
                <w:color w:val="auto"/>
              </w:rPr>
            </w:pPr>
            <w:r>
              <w:rPr>
                <w:rFonts w:ascii="Arial" w:cs="Arial" w:eastAsia="Arial" w:hAnsi="Arial"/>
                <w:sz w:val="18"/>
                <w:szCs w:val="18"/>
                <w:b w:val="1"/>
                <w:bCs w:val="1"/>
                <w:color w:val="auto"/>
              </w:rPr>
              <w:t>Continuing Directors Whose Terms Expire at our 2016 Annual Meeting</w:t>
            </w:r>
          </w:p>
        </w:tc>
      </w:tr>
      <w:tr>
        <w:trPr>
          <w:trHeight w:val="234"/>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40" w:type="dxa"/>
            <w:vAlign w:val="bottom"/>
            <w:gridSpan w:val="3"/>
          </w:tcPr>
          <w:p>
            <w:pPr>
              <w:ind w:left="1780"/>
              <w:spacing w:after="0"/>
              <w:rPr>
                <w:sz w:val="20"/>
                <w:szCs w:val="20"/>
                <w:color w:val="auto"/>
              </w:rPr>
            </w:pPr>
            <w:r>
              <w:rPr>
                <w:rFonts w:ascii="Arial" w:cs="Arial" w:eastAsia="Arial" w:hAnsi="Arial"/>
                <w:sz w:val="18"/>
                <w:szCs w:val="18"/>
                <w:b w:val="1"/>
                <w:bCs w:val="1"/>
                <w:color w:val="auto"/>
              </w:rPr>
              <w:t>(Class I Directors)</w:t>
            </w:r>
          </w:p>
        </w:tc>
      </w:tr>
      <w:tr>
        <w:trPr>
          <w:trHeight w:val="38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2200" w:type="dxa"/>
            <w:vAlign w:val="bottom"/>
          </w:tcPr>
          <w:p>
            <w:pPr>
              <w:spacing w:after="0"/>
              <w:rPr>
                <w:sz w:val="24"/>
                <w:szCs w:val="24"/>
                <w:color w:val="auto"/>
              </w:rPr>
            </w:pPr>
          </w:p>
        </w:tc>
        <w:tc>
          <w:tcPr>
            <w:tcW w:w="594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91"/>
              </w:rPr>
              <w:t>Business Experience and Principal Occupation;</w:t>
            </w:r>
          </w:p>
        </w:tc>
      </w:tr>
      <w:tr>
        <w:trPr>
          <w:trHeight w:val="169"/>
        </w:trPr>
        <w:tc>
          <w:tcPr>
            <w:tcW w:w="8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8140" w:type="dxa"/>
            <w:vAlign w:val="bottom"/>
            <w:gridSpan w:val="3"/>
          </w:tcPr>
          <w:p>
            <w:pPr>
              <w:jc w:val="center"/>
              <w:ind w:left="151"/>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r>
      <w:tr>
        <w:trPr>
          <w:trHeight w:val="20"/>
        </w:trPr>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98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77"/>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Robert L. Clarke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8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1994</w:t>
            </w: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9"/>
              </w:rPr>
              <w:t>Mr. Clarke was a partner in the law firm of Bracewell &amp; Giuliani LLP (formerly known as Bracewell &amp;</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0"/>
              </w:rPr>
              <w:t>Patterson) from 1971 to December 1985, returned to the firm as a partner in March 1992 and retired from that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2"/>
              </w:rPr>
              <w:t>firm in December 2014. From December 1985 to February 1992, he was Comptroller of the Currency of the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6"/>
              </w:rPr>
              <w:t>United States. Mr. Clarke is also a director of Stewart Information Services Corporation. Mr. Clarke is a</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rPr>
              <w:t>member of our Audit Committee and Governance Committee.</w:t>
            </w:r>
          </w:p>
        </w:tc>
      </w:tr>
      <w:tr>
        <w:trPr>
          <w:trHeight w:val="323"/>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2"/>
              </w:rPr>
              <w:t>Mr. Clarke brings to the Board, the Audit Committee and the Governance Committee extensive financial and</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3"/>
              </w:rPr>
              <w:t>legal experience and knowledge of corporate governance and financial oversight gained from his long legal</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7"/>
              </w:rPr>
              <w:t>career, his membership on the boards of other public companies and his service as Comptroller of the</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rPr>
              <w:t>Currency of the United States.</w:t>
            </w:r>
          </w:p>
        </w:tc>
      </w:tr>
      <w:tr>
        <w:trPr>
          <w:trHeight w:val="323"/>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Martin M. Ellen</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8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2013</w:t>
            </w: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3"/>
              </w:rPr>
              <w:t>Mr. Ellen has served as Chief Financial Officer and Executive Vice President at Dr Pepper Snapple Group,</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1"/>
              </w:rPr>
              <w:t>Inc. since April 2010. Mr. Ellen also served as the Chief Financial Officer and Senior Vice President - Finance</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2"/>
              </w:rPr>
              <w:t>of Snap-on Inc. from November 2002 to March 2010. Mr. Ellen is a certified public accountant and serves as</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rPr>
              <w:t>Chair of our Audit Committee.</w:t>
            </w:r>
          </w:p>
        </w:tc>
      </w:tr>
      <w:tr>
        <w:trPr>
          <w:trHeight w:val="323"/>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9"/>
              </w:rPr>
              <w:t>Mr. Ellen brings to the Board and the Audit Committee his extensive management, finance and audit</w:t>
            </w:r>
          </w:p>
        </w:tc>
      </w:tr>
      <w:tr>
        <w:trPr>
          <w:trHeight w:val="216"/>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1"/>
              </w:rPr>
              <w:t>experience gained from over 25 years serving as chief financial officer with public and private companies and</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rPr>
              <w:t>prior experience with a major public accounting firm.</w:t>
            </w:r>
          </w:p>
        </w:tc>
      </w:tr>
      <w:tr>
        <w:trPr>
          <w:trHeight w:val="323"/>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Steven R. Rowley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8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2003</w:t>
            </w: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6"/>
              </w:rPr>
              <w:t>Mr. Rowley has been the Company’s President and Chief Executive Officer since September 2003. Mr.</w:t>
            </w:r>
          </w:p>
        </w:tc>
      </w:tr>
      <w:tr>
        <w:trPr>
          <w:trHeight w:val="230"/>
        </w:trPr>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w w:val="97"/>
              </w:rPr>
              <w:t>Rowley is also a member of the Executive Committee of our Board of Directors. Mr. Rowley joined the</w:t>
            </w:r>
          </w:p>
        </w:tc>
      </w:tr>
    </w:tbl>
    <w:p>
      <w:pPr>
        <w:ind w:left="3440" w:right="300"/>
        <w:spacing w:after="0" w:line="271" w:lineRule="auto"/>
        <w:rPr>
          <w:sz w:val="20"/>
          <w:szCs w:val="20"/>
          <w:color w:val="auto"/>
        </w:rPr>
      </w:pPr>
      <w:r>
        <w:rPr>
          <w:rFonts w:ascii="Arial" w:cs="Arial" w:eastAsia="Arial" w:hAnsi="Arial"/>
          <w:sz w:val="17"/>
          <w:szCs w:val="17"/>
          <w:color w:val="auto"/>
        </w:rPr>
        <w:t>Company in 1991 as a plant manager at its Nevada cement operations and subsequently became Executive Vice President of the Company’s Illinois Cement Company subsidiary in June of 1995. Mr. Rowley was named the Company’s Executive Vice President-Cement in 1998. In 2001, Mr. Rowley’s operational responsibilities were expanded to include concrete and aggregates. Mr. Rowley was the Company’s Chief Operating Officer from October 2002 until September 2003.</w:t>
      </w:r>
    </w:p>
    <w:p>
      <w:pPr>
        <w:spacing w:after="0" w:line="84" w:lineRule="exact"/>
        <w:rPr>
          <w:sz w:val="20"/>
          <w:szCs w:val="20"/>
          <w:color w:val="auto"/>
        </w:rPr>
      </w:pPr>
    </w:p>
    <w:p>
      <w:pPr>
        <w:ind w:left="3440"/>
        <w:spacing w:after="0" w:line="277" w:lineRule="auto"/>
        <w:rPr>
          <w:sz w:val="20"/>
          <w:szCs w:val="20"/>
          <w:color w:val="auto"/>
        </w:rPr>
      </w:pPr>
      <w:r>
        <w:rPr>
          <w:rFonts w:ascii="Arial" w:cs="Arial" w:eastAsia="Arial" w:hAnsi="Arial"/>
          <w:sz w:val="18"/>
          <w:szCs w:val="18"/>
          <w:color w:val="auto"/>
        </w:rPr>
        <w:t>Mr. Rowley brings to the Board his extensive executive and operations experience in the construction products industry, including over 20 years of service with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Directors Whose Terms Expire at our 2017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 Directors)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2240" w:type="dxa"/>
            <w:vAlign w:val="bottom"/>
          </w:tcPr>
          <w:p>
            <w:pPr>
              <w:spacing w:after="0"/>
              <w:rPr>
                <w:sz w:val="14"/>
                <w:szCs w:val="14"/>
                <w:color w:val="auto"/>
              </w:rPr>
            </w:pPr>
          </w:p>
        </w:tc>
        <w:tc>
          <w:tcPr>
            <w:tcW w:w="6020" w:type="dxa"/>
            <w:vAlign w:val="bottom"/>
            <w:gridSpan w:val="2"/>
          </w:tcPr>
          <w:p>
            <w:pPr>
              <w:jc w:val="center"/>
              <w:ind w:right="2060"/>
              <w:spacing w:after="0"/>
              <w:rPr>
                <w:sz w:val="20"/>
                <w:szCs w:val="20"/>
                <w:color w:val="auto"/>
              </w:rPr>
            </w:pPr>
            <w:r>
              <w:rPr>
                <w:rFonts w:ascii="Arial" w:cs="Arial" w:eastAsia="Arial" w:hAnsi="Arial"/>
                <w:sz w:val="14"/>
                <w:szCs w:val="14"/>
                <w:b w:val="1"/>
                <w:bCs w:val="1"/>
                <w:color w:val="auto"/>
                <w:w w:val="91"/>
              </w:rPr>
              <w:t>Business Experience and Principal Occupation;</w:t>
            </w:r>
          </w:p>
        </w:tc>
      </w:tr>
      <w:tr>
        <w:trPr>
          <w:trHeight w:val="169"/>
        </w:trPr>
        <w:tc>
          <w:tcPr>
            <w:tcW w:w="84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826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r>
      <w:tr>
        <w:trPr>
          <w:trHeight w:val="20"/>
        </w:trPr>
        <w:tc>
          <w:tcPr>
            <w:tcW w:w="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9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Laurence E. Hirsch</w:t>
            </w:r>
          </w:p>
        </w:tc>
        <w:tc>
          <w:tcPr>
            <w:tcW w:w="180" w:type="dxa"/>
            <w:vAlign w:val="bottom"/>
          </w:tcPr>
          <w:p>
            <w:pPr>
              <w:spacing w:after="0"/>
              <w:rPr>
                <w:sz w:val="20"/>
                <w:szCs w:val="20"/>
                <w:color w:val="auto"/>
              </w:rPr>
            </w:pPr>
            <w:r>
              <w:rPr>
                <w:rFonts w:ascii="Arial" w:cs="Arial" w:eastAsia="Arial" w:hAnsi="Arial"/>
                <w:sz w:val="18"/>
                <w:szCs w:val="18"/>
                <w:color w:val="auto"/>
                <w:w w:val="79"/>
              </w:rPr>
              <w:t>69</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1985</w:t>
            </w: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2"/>
              </w:rPr>
              <w:t>Mr. Hirsch is Chairman of Highlander Partners, a private investment company. He has served as Chairman of</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7"/>
              </w:rPr>
              <w:t>our Board of Directors from July 1999 to the present and also served in that capacity from January 1994</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7"/>
              </w:rPr>
              <w:t>through December 1997. He was our interim Chief Executive Officer from April 2003 through September</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4"/>
              </w:rPr>
              <w:t>2003. Mr. Hirsch is a member of the Executive Committee of our Board of Directors. Until his retirement on</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2"/>
              </w:rPr>
              <w:t>March 31, 2004, Mr. Hirsch served Centex Corporation in various capacities, including as President beginning</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2"/>
              </w:rPr>
              <w:t>in 1985, as Chief Executive Officer beginning in July 1988 and as Chairman of its board of directors beginning</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7"/>
              </w:rPr>
              <w:t>in July 1991. Mr. Hirsch served as a director of Belo Corp. from August 1999 through January 2008 and</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1"/>
              </w:rPr>
              <w:t>continued as a director of A. H. Belo until May 2011. Mr. Hirsch served as a director of the Federal Home Loan</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3"/>
              </w:rPr>
              <w:t>Mortgage Corp. (Freddie Mac) from November 2009 until February 2012. Mr. Hirsch is currently Chairman of</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rPr>
              <w:t>the Center for European Policy Analysis.</w:t>
            </w:r>
          </w:p>
        </w:tc>
      </w:tr>
      <w:tr>
        <w:trPr>
          <w:trHeight w:val="323"/>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2"/>
              </w:rPr>
              <w:t>Mr. Hirsch brings to the Board his extensive executive experience gained through his service as the CEO of a</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1"/>
              </w:rPr>
              <w:t>public company. In addition, Mr. Hirsch brings extensive knowledge of the Company through having served as</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7"/>
              </w:rPr>
              <w:t>our Chairman for 20 years. Mr. Hirsch also brings valuable experience as an executive officer within the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1"/>
              </w:rPr>
              <w:t>construction products industry and his knowledge of corporate governance and financial oversight gained from</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rPr>
              <w:t>his membership on the boards of other public companies.</w:t>
            </w:r>
          </w:p>
        </w:tc>
      </w:tr>
      <w:tr>
        <w:trPr>
          <w:trHeight w:val="323"/>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Michael R. Nicolais</w:t>
            </w:r>
          </w:p>
        </w:tc>
        <w:tc>
          <w:tcPr>
            <w:tcW w:w="180" w:type="dxa"/>
            <w:vAlign w:val="bottom"/>
          </w:tcPr>
          <w:p>
            <w:pPr>
              <w:spacing w:after="0"/>
              <w:rPr>
                <w:sz w:val="20"/>
                <w:szCs w:val="20"/>
                <w:color w:val="auto"/>
              </w:rPr>
            </w:pPr>
            <w:r>
              <w:rPr>
                <w:rFonts w:ascii="Arial" w:cs="Arial" w:eastAsia="Arial" w:hAnsi="Arial"/>
                <w:sz w:val="18"/>
                <w:szCs w:val="18"/>
                <w:color w:val="auto"/>
                <w:w w:val="79"/>
              </w:rPr>
              <w:t>57</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2"/>
              </w:rPr>
              <w:t>In April 2004, Mr. Nicolais became President of Highlander Partners. From August 2002 until March 2004, Mr.</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1"/>
              </w:rPr>
              <w:t>Nicolais served as Managing Director of Stephens, Inc., an investment banking firm. Prior to joining Stephens,</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8"/>
              </w:rPr>
              <w:t>Inc., he was a partner in the private investment firm of Olivhan Investments, L.P. from March 2001 until</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7"/>
              </w:rPr>
              <w:t>August 2002. From August 1986 to December 2000, he was employed by Donaldson, Lufkin &amp; Jenrette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3"/>
              </w:rPr>
              <w:t>Securities Corporation’s Investment Banking Division, most recently in the position of Managing Director and</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8"/>
              </w:rPr>
              <w:t>co-head of that firm’s Dallas office. Mr. Nicolais serves as a member of our Compensation Committee.</w:t>
            </w:r>
          </w:p>
        </w:tc>
      </w:tr>
      <w:tr>
        <w:trPr>
          <w:trHeight w:val="323"/>
        </w:trPr>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1"/>
              </w:rPr>
              <w:t>Mr. Nicolais brings to the Board and the Compensation Committee his extensive knowledge of capital markets,</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rPr>
              <w:t>financial analysis and financial oversight gained through his experience as an investment banker and</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rPr>
              <w:t>investment manager.</w:t>
            </w:r>
          </w:p>
        </w:tc>
      </w:tr>
      <w:tr>
        <w:trPr>
          <w:trHeight w:val="323"/>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rPr>
              <w:t>Richard R. Stewart</w:t>
            </w:r>
          </w:p>
        </w:tc>
        <w:tc>
          <w:tcPr>
            <w:tcW w:w="180" w:type="dxa"/>
            <w:vAlign w:val="bottom"/>
          </w:tcPr>
          <w:p>
            <w:pPr>
              <w:spacing w:after="0"/>
              <w:rPr>
                <w:sz w:val="20"/>
                <w:szCs w:val="20"/>
                <w:color w:val="auto"/>
              </w:rPr>
            </w:pPr>
            <w:r>
              <w:rPr>
                <w:rFonts w:ascii="Arial" w:cs="Arial" w:eastAsia="Arial" w:hAnsi="Arial"/>
                <w:sz w:val="18"/>
                <w:szCs w:val="18"/>
                <w:color w:val="auto"/>
                <w:w w:val="79"/>
              </w:rPr>
              <w:t>65</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3"/>
              </w:rPr>
              <w:t>From 1998 until 2006 Mr. Stewart served as President and CEO of GE Aero Energy, a division of GE Power</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1"/>
              </w:rPr>
              <w:t>Systems and as an officer of General Electric Company. Mr. Stewart retired from General Electric in 2006. Mr.</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0"/>
              </w:rPr>
              <w:t>Stewart’s career at General Electric began in 1998 as a result of General Electric’s acquisition of the gas turbine</w:t>
            </w:r>
          </w:p>
        </w:tc>
      </w:tr>
      <w:tr>
        <w:trPr>
          <w:trHeight w:val="216"/>
        </w:trPr>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2"/>
              </w:rPr>
              <w:t>business of Stewart &amp; Stevenson Services, Inc. Mr. Stewart began his career at Stewart &amp; Stevenson in 1972</w:t>
            </w:r>
          </w:p>
        </w:tc>
      </w:tr>
      <w:tr>
        <w:trPr>
          <w:trHeight w:val="230"/>
        </w:trPr>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60" w:type="dxa"/>
            <w:vAlign w:val="bottom"/>
            <w:gridSpan w:val="3"/>
          </w:tcPr>
          <w:p>
            <w:pPr>
              <w:ind w:left="200"/>
              <w:spacing w:after="0"/>
              <w:rPr>
                <w:sz w:val="20"/>
                <w:szCs w:val="20"/>
                <w:color w:val="auto"/>
              </w:rPr>
            </w:pPr>
            <w:r>
              <w:rPr>
                <w:rFonts w:ascii="Arial" w:cs="Arial" w:eastAsia="Arial" w:hAnsi="Arial"/>
                <w:sz w:val="18"/>
                <w:szCs w:val="18"/>
                <w:color w:val="auto"/>
                <w:w w:val="91"/>
              </w:rPr>
              <w:t>and while at Stewart &amp; Stevenson served in various positions including as Group President and member of the</w:t>
            </w:r>
          </w:p>
        </w:tc>
      </w:tr>
    </w:tbl>
    <w:p>
      <w:pPr>
        <w:ind w:left="3360" w:right="60"/>
        <w:spacing w:after="0" w:line="273" w:lineRule="auto"/>
        <w:rPr>
          <w:sz w:val="20"/>
          <w:szCs w:val="20"/>
          <w:color w:val="auto"/>
        </w:rPr>
      </w:pPr>
      <w:r>
        <w:rPr>
          <w:rFonts w:ascii="Arial" w:cs="Arial" w:eastAsia="Arial" w:hAnsi="Arial"/>
          <w:sz w:val="17"/>
          <w:szCs w:val="17"/>
          <w:color w:val="auto"/>
        </w:rPr>
        <w:t>board of directors. Mr. Stewart also served as a director of Plug Power Inc. from July of 2003 to March of 2006. Mr. Stewart became a director of Kirby Corporation in 2008 and was a director of Lufkin Industries, Inc. from 2009 until its acquisition by GE Oil &amp; Gas in 2013. Mr. Stewart was elected to the board of Exterran Holdings, Inc. in April 2015. Mr. Stewart serves as Chair of our Governance Committee.</w:t>
      </w:r>
    </w:p>
    <w:p>
      <w:pPr>
        <w:spacing w:after="0" w:line="82" w:lineRule="exact"/>
        <w:rPr>
          <w:sz w:val="20"/>
          <w:szCs w:val="20"/>
          <w:color w:val="auto"/>
        </w:rPr>
      </w:pPr>
    </w:p>
    <w:p>
      <w:pPr>
        <w:ind w:left="3360" w:right="80"/>
        <w:spacing w:after="0" w:line="312" w:lineRule="auto"/>
        <w:rPr>
          <w:sz w:val="20"/>
          <w:szCs w:val="20"/>
          <w:color w:val="auto"/>
        </w:rPr>
      </w:pPr>
      <w:r>
        <w:rPr>
          <w:rFonts w:ascii="Arial" w:cs="Arial" w:eastAsia="Arial" w:hAnsi="Arial"/>
          <w:sz w:val="16"/>
          <w:szCs w:val="16"/>
          <w:color w:val="auto"/>
        </w:rPr>
        <w:t>Mr. Stewart brings to the Board and the Governance Committee his proven leadership and business experience as the former CEO of a manufacturing company. Mr. Stewart also brings corporate governance experience gained from membership on the boards of other public companies and as an officer with General Electric.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During the Company’s fiscal year ended March 31, 2015, our Board of Directors held four regularly scheduled meetings and five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2015 annual stockholders meeting. All of our then-current directors attended our 2014 annual meeting. We strongly encourage all directors to attend our stockholder meetings. Our non-employee directors (which currently constitute all our directors, except for Mr. Rowley) meet immediately after all Board meetings without management present. Mr. Hirsch presides at all executive sessions of the non-employee directors.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COMPENSATION</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Board compensation for the 12-month period from August 2014 through July 2015 was approved by our Board of Directors in August 2014. The Board adopted a director compensation structure in which directors who are not employees of the Company or any of our subsidiaries received compensation for their services during the 12-month period from August 2014 through July 2015 by electing one of the following two compensation package alternatives:</w:t>
      </w:r>
    </w:p>
    <w:p>
      <w:pPr>
        <w:spacing w:after="0" w:line="52" w:lineRule="exact"/>
        <w:rPr>
          <w:sz w:val="20"/>
          <w:szCs w:val="20"/>
          <w:color w:val="auto"/>
        </w:rPr>
      </w:pPr>
    </w:p>
    <w:p>
      <w:pPr>
        <w:ind w:left="900" w:right="2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compensation valued at $160,000, of which $75,000 is paid in cash and the remainder is provided in the form of an equity grant valued at $85,000;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equity grant valued at $180,000.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grant date value of the equity grant under either alternative is allocated between restricted stock and options to purchase Common Stock (based upon the recommendation of the Compensation Committee) with respect to each non-employee director.</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the terms of the Eagle Materials Inc. Amended and Restated Incentive Plan, which we refer to as our “Incentive Plan,” the exercise price of stock options is set at the closing price of the Common Stock on the NYSE on the date of grant. The number of option shares granted is determined as of the date of grant by using the Black-Scholes method. All the options granted to directors in August 2014 were fully exercisable when granted and have a ten-year term.</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number of shares of restricted stock is determined as of the date of grant using the closing price of the Common Stock on the NYSE on the date of grant. The restricted stock granted to directors in August 2014 was earned at the time of grant; however, the shares will not become fully vested (unrestricted) until the director’s service on the Board terminates because of the director’s death or the director’s retirement in accordance with the Company’s director retirement policy, or under such circumstances as are approved by the Compensation Committee. During the restriction period the director will have the right to vote the shares. In addition, the director will also be entitled to cash dividends as and when the Company issues a cash dividend on the Common Stock. Notwithstanding the above, the restricted shares issued to Mr. Hirsch do not have voting rights and are not entitled to cash dividends, but rather to a dividend-equivalent payment.</w:t>
      </w:r>
    </w:p>
    <w:p>
      <w:pPr>
        <w:spacing w:after="0" w:line="18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Non-employee directors who chair committees of the Board of Directors receive additional annual compensation. The Governance Committee Chair receives a fee of $10,000 per year. The chairs of the Audit Committee and the Compensation Committee each receive a fee of $15,000 per year. The Chairman of the Board receives a fee of $50,000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26.67% premium is added to such fees when valuing the equity to be received by such chairperson.</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non-employee directors hold unvested restricted stock units, which we refer to as “RSUs,” granted as part of director compensation in prior fiscal years (which currently includes Messrs. Barnett, Hirsch and Nicolais), these directors will receive dividend equivalent units as and when the Company pays a cash dividend on the Common Stock in accordance with the terms of the RSUs.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directors are reimbursed for reasonable expenses of attending meetings.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for Fiscal Year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compensation paid by the Company to our non-employee directors for the fiscal year ended March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Change in Pension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Value and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Fees Earned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Non-Equity</w:t>
            </w: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gridSpan w:val="2"/>
            <w:vMerge w:val="continue"/>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or</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5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00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8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Awards</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Earnings</w:t>
            </w: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00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3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3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r>
              <w:rPr>
                <w:rFonts w:ascii="Arial" w:cs="Arial" w:eastAsia="Arial" w:hAnsi="Arial"/>
                <w:sz w:val="15"/>
                <w:szCs w:val="15"/>
                <w:color w:val="auto"/>
              </w:rPr>
              <w:t>(4)</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$135,075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$ 45,020</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Richard Beckwitt</w:t>
            </w:r>
            <w:r>
              <w:rPr>
                <w:rFonts w:ascii="Arial" w:cs="Arial" w:eastAsia="Arial" w:hAnsi="Arial"/>
                <w:sz w:val="15"/>
                <w:szCs w:val="15"/>
                <w:color w:val="auto"/>
              </w:rPr>
              <w:t>(5)</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   84,889</w:t>
            </w:r>
          </w:p>
        </w:tc>
        <w:tc>
          <w:tcPr>
            <w:tcW w:w="18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84,889</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 H. Bowman</w:t>
            </w:r>
            <w:r>
              <w:rPr>
                <w:rFonts w:ascii="Arial" w:cs="Arial" w:eastAsia="Arial" w:hAnsi="Arial"/>
                <w:sz w:val="15"/>
                <w:szCs w:val="15"/>
                <w:color w:val="auto"/>
              </w:rPr>
              <w:t>(6)</w:t>
            </w:r>
          </w:p>
        </w:tc>
        <w:tc>
          <w:tcPr>
            <w:tcW w:w="6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149,327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49,761</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5"/>
                <w:szCs w:val="15"/>
                <w:color w:val="auto"/>
              </w:rPr>
              <w:t>(4)</w:t>
            </w:r>
          </w:p>
        </w:tc>
        <w:tc>
          <w:tcPr>
            <w:tcW w:w="6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45,056</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135,024</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181,440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5"/>
                <w:szCs w:val="15"/>
                <w:color w:val="auto"/>
              </w:rPr>
              <w:t>(7)</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90,000</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42,573</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42,525</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5"/>
                <w:szCs w:val="15"/>
                <w:color w:val="auto"/>
              </w:rPr>
              <w:t>(8)</w:t>
            </w:r>
          </w:p>
        </w:tc>
        <w:tc>
          <w:tcPr>
            <w:tcW w:w="6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60,871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182,504</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1,865</w:t>
            </w:r>
            <w:r>
              <w:rPr>
                <w:rFonts w:ascii="Arial" w:cs="Arial" w:eastAsia="Arial" w:hAnsi="Arial"/>
                <w:sz w:val="15"/>
                <w:szCs w:val="15"/>
                <w:color w:val="auto"/>
              </w:rPr>
              <w:t>(9)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245,240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5"/>
                <w:szCs w:val="15"/>
                <w:color w:val="auto"/>
              </w:rPr>
              <w:t>(10)</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21,332</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63,769</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David W. Quinn</w:t>
            </w:r>
            <w:r>
              <w:rPr>
                <w:rFonts w:ascii="Arial" w:cs="Arial" w:eastAsia="Arial" w:hAnsi="Arial"/>
                <w:sz w:val="15"/>
                <w:szCs w:val="15"/>
                <w:color w:val="auto"/>
              </w:rPr>
              <w:t>(4)</w:t>
            </w:r>
          </w:p>
        </w:tc>
        <w:tc>
          <w:tcPr>
            <w:tcW w:w="6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135,075</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45,020</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2,260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182,355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5"/>
                <w:szCs w:val="15"/>
                <w:color w:val="auto"/>
              </w:rPr>
              <w:t>(11)</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96,364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96,349</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100" w:hanging="572"/>
        <w:spacing w:after="0" w:line="254"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this column reflect the value of restricted stock awards made to the directors in the fiscal year ended March 31, 2015 and are consistent with the grant date fair value of the award computed in accordance with FASB ASC Topic 718. For assumptions used in determining these values, refer to footnote (J) to the Company’s audited financial statements for the fiscal year ended March 31, 2015 included in the Company’s Annual Report on Form 10-K filed with the SEC on May 22, 2015, or “Fiscal 2015 Form 10-K.”</w:t>
      </w:r>
    </w:p>
    <w:p>
      <w:pPr>
        <w:spacing w:after="0" w:line="2" w:lineRule="exact"/>
        <w:rPr>
          <w:rFonts w:ascii="Arial" w:cs="Arial" w:eastAsia="Arial" w:hAnsi="Arial"/>
          <w:sz w:val="18"/>
          <w:szCs w:val="18"/>
          <w:color w:val="auto"/>
        </w:rPr>
      </w:pPr>
    </w:p>
    <w:p>
      <w:pPr>
        <w:ind w:left="580" w:right="100" w:hanging="572"/>
        <w:spacing w:after="0" w:line="281"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amounts in this column reflect the value of option awards made to the directors in the fiscal year ended March 31, 2015 and are consistent with the grant date fair value of the award computed in accordance with FASB ASC Topic 718. For assumptions used in determining these values, refer to footnote (J) to the Company’s audited financial statements for the fiscal year ended March 31, 2015 included in the Fiscal 2015 Form 10-K.</w:t>
      </w:r>
    </w:p>
    <w:p>
      <w:pPr>
        <w:spacing w:after="0" w:line="2" w:lineRule="exact"/>
        <w:rPr>
          <w:rFonts w:ascii="Arial" w:cs="Arial" w:eastAsia="Arial" w:hAnsi="Arial"/>
          <w:sz w:val="16"/>
          <w:szCs w:val="16"/>
          <w:color w:val="auto"/>
        </w:rPr>
      </w:pPr>
    </w:p>
    <w:p>
      <w:pPr>
        <w:ind w:left="580" w:right="680" w:hanging="572"/>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in this column represent dividend payments made in fiscal 2015 to the directors with respect to restricted stock awarded to such directors, except as otherwise noted.</w:t>
      </w: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Messrs. Barnett, Clarke and Quinn elected to receive 100% of their director compensation in the form of equity.</w:t>
      </w:r>
    </w:p>
    <w:p>
      <w:pPr>
        <w:spacing w:after="0" w:line="9" w:lineRule="exact"/>
        <w:rPr>
          <w:rFonts w:ascii="Arial" w:cs="Arial" w:eastAsia="Arial" w:hAnsi="Arial"/>
          <w:sz w:val="18"/>
          <w:szCs w:val="18"/>
          <w:color w:val="auto"/>
        </w:rPr>
      </w:pPr>
    </w:p>
    <w:p>
      <w:pPr>
        <w:ind w:left="580" w:right="600" w:hanging="572"/>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Beckwitt was appointed to the Board in September 2014 and received cash compensation for his services as a director from the date of his appointment through July 2015.</w:t>
      </w:r>
    </w:p>
    <w:p>
      <w:pPr>
        <w:ind w:left="580" w:right="140" w:hanging="572"/>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Bowman is the Chair of the Compensation Committee. He elected to receive 100% of his director compensation in the form of equity (including his chairperson fee).</w:t>
      </w:r>
    </w:p>
    <w:p>
      <w:pPr>
        <w:ind w:left="580" w:right="360" w:hanging="572"/>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Ellen is Chair of the Audit Committee. He selected the compensation package where he receives a portion of his director compensation in the form of equity and a portion in cash. Mr. Ellen received his committee chairperson fee in cash.</w:t>
      </w:r>
    </w:p>
    <w:p>
      <w:pPr>
        <w:ind w:left="580" w:right="300" w:hanging="572"/>
        <w:spacing w:after="0" w:line="250"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Hirsch is the Chairman of the Board. He elected to receive 100% of his director compensation in the form of equity (including his chairperson fee).</w:t>
      </w: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$480 of dividend equivalent cash payments made to Mr. Hirsch in connection with restricted stock awarded to Mr. Hirsch.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Mr. Nicolais selected the compensation package where he receives a portion of his director compensation in the form of equity and a portion in cash.</w:t>
      </w:r>
    </w:p>
    <w:p>
      <w:pPr>
        <w:spacing w:after="0" w:line="32" w:lineRule="exact"/>
        <w:rPr>
          <w:rFonts w:ascii="Arial" w:cs="Arial" w:eastAsia="Arial" w:hAnsi="Arial"/>
          <w:sz w:val="16"/>
          <w:szCs w:val="16"/>
          <w:color w:val="auto"/>
        </w:rPr>
      </w:pPr>
    </w:p>
    <w:p>
      <w:pPr>
        <w:ind w:left="580" w:right="160" w:hanging="572"/>
        <w:spacing w:after="0" w:line="255"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Stewart is the Chair of the Governance Committee. He elected to receive 100% of his director compensation in the form of equity (including his committee chairperson fee). The previous year, Mr. Stewart elected to receive a portion of his director compensation in the form of cash, some of which was paid during fiscal year 2015.</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shows the number of outstanding stock options, RSUs and shares of restricted stock held by each director as of March 31, 2015.</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Stock Options</w:t>
            </w:r>
            <w:r>
              <w:rPr>
                <w:rFonts w:ascii="Arial" w:cs="Arial" w:eastAsia="Arial" w:hAnsi="Arial"/>
                <w:sz w:val="12"/>
                <w:szCs w:val="12"/>
                <w:color w:val="auto"/>
              </w:rPr>
              <w:t>(1)</w:t>
            </w: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RSUs</w:t>
            </w:r>
            <w:r>
              <w:rPr>
                <w:rFonts w:ascii="Arial" w:cs="Arial" w:eastAsia="Arial" w:hAnsi="Arial"/>
                <w:sz w:val="12"/>
                <w:szCs w:val="12"/>
                <w:color w:val="auto"/>
              </w:rPr>
              <w:t>(2)</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Restricted Stock</w:t>
            </w:r>
            <w:r>
              <w:rPr>
                <w:rFonts w:ascii="Arial" w:cs="Arial" w:eastAsia="Arial" w:hAnsi="Arial"/>
                <w:sz w:val="12"/>
                <w:szCs w:val="12"/>
                <w:color w:val="auto"/>
                <w:w w:val="91"/>
              </w:rPr>
              <w:t>(3)</w:t>
            </w:r>
          </w:p>
        </w:tc>
      </w:tr>
      <w:tr>
        <w:trPr>
          <w:trHeight w:val="88"/>
        </w:trPr>
        <w:tc>
          <w:tcPr>
            <w:tcW w:w="380" w:type="dxa"/>
            <w:vAlign w:val="bottom"/>
            <w:tcBorders>
              <w:top w:val="single" w:sz="8" w:color="auto"/>
            </w:tcBorders>
          </w:tcPr>
          <w:p>
            <w:pPr>
              <w:spacing w:after="0"/>
              <w:rPr>
                <w:sz w:val="7"/>
                <w:szCs w:val="7"/>
                <w:color w:val="auto"/>
              </w:rPr>
            </w:pPr>
          </w:p>
        </w:tc>
        <w:tc>
          <w:tcPr>
            <w:tcW w:w="508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78,088</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8,611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Richard Beckwitt</w:t>
            </w:r>
          </w:p>
        </w:tc>
        <w:tc>
          <w:tcPr>
            <w:tcW w:w="16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 H. Bowman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96,540</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3,646</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M. Ellen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1020" w:type="dxa"/>
            <w:vAlign w:val="bottom"/>
          </w:tcPr>
          <w:p>
            <w:pPr>
              <w:jc w:val="right"/>
              <w:spacing w:after="0"/>
              <w:rPr>
                <w:sz w:val="20"/>
                <w:szCs w:val="20"/>
                <w:color w:val="auto"/>
              </w:rPr>
            </w:pPr>
            <w:r>
              <w:rPr>
                <w:rFonts w:ascii="Arial" w:cs="Arial" w:eastAsia="Arial" w:hAnsi="Arial"/>
                <w:sz w:val="18"/>
                <w:szCs w:val="18"/>
                <w:color w:val="auto"/>
              </w:rPr>
              <w:t>131,850</w:t>
            </w:r>
          </w:p>
        </w:tc>
        <w:tc>
          <w:tcPr>
            <w:tcW w:w="64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11,173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33,259</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3,787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31,321</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6,384</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R. Stewart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15,752</w:t>
            </w: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these stock options were fully exercisable as of March 31, 2015.</w:t>
      </w:r>
    </w:p>
    <w:p>
      <w:pPr>
        <w:spacing w:after="0" w:line="23"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RSUs granted to non-employee directors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Barnett – 1,099 RSUs; Mr. Hirsch – 1,430 RSUs; and</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Nicolais – 487 RSUs.</w:t>
      </w:r>
    </w:p>
    <w:p>
      <w:pPr>
        <w:spacing w:after="0" w:line="9"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restrictions on the restricted stock granted to non-employee directors will not lapse until the non-employee director’s service on the board terminates because of the director’s death or the director’s retirement in accordance with the Company’s director retirement policy, or under such circumstances as are approved by the Compensation Committee. Any cash dividends declared and paid by the Company during the restricted period are paid in cash with respect to such restricted stock.</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positions of Chairman of the Board and CEO are performed by two different persons. Mr. Rowley, our CEO, focuses on the day-to-day operation of the Company’s businesses and participates in both operational and long-term strategy and development. Mr. Hirsch, our Chairman, oversees the Company’s general strategic direction and leads and manages the Board.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Risk Assessment in Compensation Programs</w:t>
      </w:r>
    </w:p>
    <w:p>
      <w:pPr>
        <w:spacing w:after="0" w:line="11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 This assessment was overseen by the Compensation Committee, in consultation with management. We reviewed the compensation policies and practices in effect for our executive officers, senior management and other employees and assessed the features we have built into the compensation programs to discourage excessive risk-taking. These features include, among other things, a balance between different elements of compensation, use of different time periods and performance metrics for different elements of compensation, restrictions on pricing authority, review and approval of material contracts, and stock ownership guidelines for senior management.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 Executive Committee. The following table lists the chairpersons and members of each committee as of March 31, 2015, and the number of meetings held by each committee during the fiscal year ended March 31, 2015:</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660" w:type="dxa"/>
            <w:vAlign w:val="bottom"/>
            <w:gridSpan w:val="3"/>
          </w:tcPr>
          <w:p>
            <w:pPr>
              <w:ind w:left="460"/>
              <w:spacing w:after="0"/>
              <w:rPr>
                <w:sz w:val="20"/>
                <w:szCs w:val="20"/>
                <w:color w:val="auto"/>
              </w:rPr>
            </w:pPr>
            <w:r>
              <w:rPr>
                <w:rFonts w:ascii="Arial" w:cs="Arial" w:eastAsia="Arial" w:hAnsi="Arial"/>
                <w:sz w:val="14"/>
                <w:szCs w:val="14"/>
                <w:b w:val="1"/>
                <w:bCs w:val="1"/>
                <w:color w:val="auto"/>
              </w:rPr>
              <w:t>Audit</w:t>
            </w:r>
          </w:p>
        </w:tc>
        <w:tc>
          <w:tcPr>
            <w:tcW w:w="1480" w:type="dxa"/>
            <w:vAlign w:val="bottom"/>
            <w:gridSpan w:val="2"/>
          </w:tcPr>
          <w:p>
            <w:pPr>
              <w:ind w:left="600"/>
              <w:spacing w:after="0"/>
              <w:rPr>
                <w:sz w:val="20"/>
                <w:szCs w:val="20"/>
                <w:color w:val="auto"/>
              </w:rPr>
            </w:pPr>
            <w:r>
              <w:rPr>
                <w:rFonts w:ascii="Arial" w:cs="Arial" w:eastAsia="Arial" w:hAnsi="Arial"/>
                <w:sz w:val="14"/>
                <w:szCs w:val="14"/>
                <w:b w:val="1"/>
                <w:bCs w:val="1"/>
                <w:color w:val="auto"/>
                <w:w w:val="88"/>
              </w:rPr>
              <w:t>Compensation</w:t>
            </w:r>
          </w:p>
        </w:tc>
        <w:tc>
          <w:tcPr>
            <w:tcW w:w="900" w:type="dxa"/>
            <w:vAlign w:val="bottom"/>
          </w:tcPr>
          <w:p>
            <w:pPr>
              <w:spacing w:after="0"/>
              <w:rPr>
                <w:sz w:val="16"/>
                <w:szCs w:val="16"/>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Governance</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20" w:type="dxa"/>
            <w:vAlign w:val="bottom"/>
            <w:gridSpan w:val="2"/>
          </w:tcPr>
          <w:p>
            <w:pPr>
              <w:spacing w:after="0"/>
              <w:rPr>
                <w:sz w:val="20"/>
                <w:szCs w:val="20"/>
                <w:color w:val="auto"/>
              </w:rPr>
            </w:pPr>
            <w:r>
              <w:rPr>
                <w:rFonts w:ascii="Arial" w:cs="Arial" w:eastAsia="Arial" w:hAnsi="Arial"/>
                <w:sz w:val="18"/>
                <w:szCs w:val="18"/>
                <w:color w:val="auto"/>
              </w:rPr>
              <w:t>F. William Barnett</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Member</w:t>
            </w:r>
          </w:p>
        </w:tc>
        <w:tc>
          <w:tcPr>
            <w:tcW w:w="900" w:type="dxa"/>
            <w:vAlign w:val="bottom"/>
            <w:vMerge w:val="continue"/>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Member</w:t>
            </w:r>
          </w:p>
        </w:tc>
        <w:tc>
          <w:tcPr>
            <w:tcW w:w="10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020" w:type="dxa"/>
            <w:vAlign w:val="bottom"/>
            <w:gridSpan w:val="2"/>
          </w:tcPr>
          <w:p>
            <w:pPr>
              <w:spacing w:after="0"/>
              <w:rPr>
                <w:sz w:val="20"/>
                <w:szCs w:val="20"/>
                <w:color w:val="auto"/>
              </w:rPr>
            </w:pPr>
            <w:r>
              <w:rPr>
                <w:rFonts w:ascii="Arial" w:cs="Arial" w:eastAsia="Arial" w:hAnsi="Arial"/>
                <w:sz w:val="18"/>
                <w:szCs w:val="18"/>
                <w:color w:val="auto"/>
              </w:rPr>
              <w:t>Richard Beckwitt</w:t>
            </w:r>
          </w:p>
        </w:tc>
        <w:tc>
          <w:tcPr>
            <w:tcW w:w="1660" w:type="dxa"/>
            <w:vAlign w:val="bottom"/>
            <w:gridSpan w:val="3"/>
          </w:tcPr>
          <w:p>
            <w:pPr>
              <w:ind w:left="460"/>
              <w:spacing w:after="0"/>
              <w:rPr>
                <w:sz w:val="20"/>
                <w:szCs w:val="20"/>
                <w:color w:val="auto"/>
              </w:rPr>
            </w:pPr>
            <w:r>
              <w:rPr>
                <w:rFonts w:ascii="Arial" w:cs="Arial" w:eastAsia="Arial" w:hAnsi="Arial"/>
                <w:sz w:val="18"/>
                <w:szCs w:val="18"/>
                <w:color w:val="auto"/>
              </w:rPr>
              <w:t>Member</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Ed H. Bowman</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Chair</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Robert L. Clarke</w:t>
            </w:r>
          </w:p>
        </w:tc>
        <w:tc>
          <w:tcPr>
            <w:tcW w:w="1660" w:type="dxa"/>
            <w:vAlign w:val="bottom"/>
            <w:gridSpan w:val="3"/>
          </w:tcPr>
          <w:p>
            <w:pPr>
              <w:ind w:left="460"/>
              <w:spacing w:after="0"/>
              <w:rPr>
                <w:sz w:val="20"/>
                <w:szCs w:val="20"/>
                <w:color w:val="auto"/>
              </w:rPr>
            </w:pPr>
            <w:r>
              <w:rPr>
                <w:rFonts w:ascii="Arial" w:cs="Arial" w:eastAsia="Arial" w:hAnsi="Arial"/>
                <w:sz w:val="18"/>
                <w:szCs w:val="18"/>
                <w:color w:val="auto"/>
              </w:rPr>
              <w:t>Member</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Member</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Martin M. Ellen</w:t>
            </w:r>
          </w:p>
        </w:tc>
        <w:tc>
          <w:tcPr>
            <w:tcW w:w="1660" w:type="dxa"/>
            <w:vAlign w:val="bottom"/>
            <w:gridSpan w:val="3"/>
          </w:tcPr>
          <w:p>
            <w:pPr>
              <w:ind w:left="460"/>
              <w:spacing w:after="0"/>
              <w:rPr>
                <w:sz w:val="20"/>
                <w:szCs w:val="20"/>
                <w:color w:val="auto"/>
              </w:rPr>
            </w:pPr>
            <w:r>
              <w:rPr>
                <w:rFonts w:ascii="Arial" w:cs="Arial" w:eastAsia="Arial" w:hAnsi="Arial"/>
                <w:sz w:val="18"/>
                <w:szCs w:val="18"/>
                <w:color w:val="auto"/>
              </w:rPr>
              <w:t>Chair</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Laurence E. Hirsch</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Michael R. Nicolais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Member</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1660" w:type="dxa"/>
            <w:vAlign w:val="bottom"/>
            <w:gridSpan w:val="3"/>
          </w:tcPr>
          <w:p>
            <w:pPr>
              <w:ind w:left="460"/>
              <w:spacing w:after="0"/>
              <w:rPr>
                <w:sz w:val="20"/>
                <w:szCs w:val="20"/>
                <w:color w:val="auto"/>
              </w:rPr>
            </w:pPr>
            <w:r>
              <w:rPr>
                <w:rFonts w:ascii="Arial" w:cs="Arial" w:eastAsia="Arial" w:hAnsi="Arial"/>
                <w:sz w:val="18"/>
                <w:szCs w:val="18"/>
                <w:color w:val="auto"/>
              </w:rPr>
              <w:t>Member</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Steven R. Rowley</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Chair</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20" w:type="dxa"/>
            <w:vAlign w:val="bottom"/>
            <w:gridSpan w:val="2"/>
          </w:tcPr>
          <w:p>
            <w:pPr>
              <w:spacing w:after="0"/>
              <w:rPr>
                <w:sz w:val="20"/>
                <w:szCs w:val="20"/>
                <w:color w:val="auto"/>
              </w:rPr>
            </w:pPr>
            <w:r>
              <w:rPr>
                <w:rFonts w:ascii="Arial" w:cs="Arial" w:eastAsia="Arial" w:hAnsi="Arial"/>
                <w:sz w:val="18"/>
                <w:szCs w:val="18"/>
                <w:color w:val="auto"/>
              </w:rPr>
              <w:t>Number of Meetings in Fiscal 2015</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4"/>
                <w:szCs w:val="24"/>
                <w:color w:val="auto"/>
              </w:rPr>
            </w:pPr>
          </w:p>
        </w:tc>
        <w:tc>
          <w:tcPr>
            <w:tcW w:w="1480" w:type="dxa"/>
            <w:vAlign w:val="bottom"/>
            <w:gridSpan w:val="2"/>
          </w:tcPr>
          <w:p>
            <w:pPr>
              <w:ind w:left="600"/>
              <w:spacing w:after="0"/>
              <w:rPr>
                <w:sz w:val="20"/>
                <w:szCs w:val="20"/>
                <w:color w:val="auto"/>
              </w:rPr>
            </w:pPr>
            <w:r>
              <w:rPr>
                <w:rFonts w:ascii="Arial" w:cs="Arial" w:eastAsia="Arial" w:hAnsi="Arial"/>
                <w:sz w:val="18"/>
                <w:szCs w:val="18"/>
                <w:color w:val="auto"/>
              </w:rPr>
              <w:t>8</w:t>
            </w:r>
          </w:p>
        </w:tc>
        <w:tc>
          <w:tcPr>
            <w:tcW w:w="1640" w:type="dxa"/>
            <w:vAlign w:val="bottom"/>
            <w:gridSpan w:val="2"/>
          </w:tcPr>
          <w:p>
            <w:pPr>
              <w:ind w:left="900"/>
              <w:spacing w:after="0"/>
              <w:rPr>
                <w:sz w:val="20"/>
                <w:szCs w:val="20"/>
                <w:color w:val="auto"/>
              </w:rPr>
            </w:pPr>
            <w:r>
              <w:rPr>
                <w:rFonts w:ascii="Arial" w:cs="Arial" w:eastAsia="Arial" w:hAnsi="Arial"/>
                <w:sz w:val="18"/>
                <w:szCs w:val="18"/>
                <w:color w:val="auto"/>
              </w:rPr>
              <w:t>6</w:t>
            </w:r>
          </w:p>
        </w:tc>
        <w:tc>
          <w:tcPr>
            <w:tcW w:w="10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and independence and appointment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and will be provided free of charge upon written request to our Secretary at our principal executive office.</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Mr. Ellen is an “audit committee financial expert” within the meaning of the rules of the SEC.</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Audit Committee are to:</w:t>
      </w:r>
    </w:p>
    <w:p>
      <w:pPr>
        <w:spacing w:after="0" w:line="131" w:lineRule="exact"/>
        <w:rPr>
          <w:sz w:val="20"/>
          <w:szCs w:val="20"/>
          <w:color w:val="auto"/>
        </w:rPr>
      </w:pPr>
    </w:p>
    <w:p>
      <w:pPr>
        <w:ind w:left="900" w:right="6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75" w:lineRule="exact"/>
        <w:rPr>
          <w:rFonts w:ascii="Arial" w:cs="Arial" w:eastAsia="Arial" w:hAnsi="Arial"/>
          <w:sz w:val="18"/>
          <w:szCs w:val="18"/>
          <w:color w:val="auto"/>
        </w:rPr>
      </w:pPr>
    </w:p>
    <w:p>
      <w:pPr>
        <w:ind w:left="900" w:right="220" w:hanging="446"/>
        <w:spacing w:after="0" w:line="28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our annual audited financial statements, quarterly financial statements and other significant financial disclosures with management and our independent auditors;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 and assess the performance of the Audit Committee and the adequacy of its charter;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 and</w:t>
      </w:r>
    </w:p>
    <w:p>
      <w:pPr>
        <w:spacing w:after="0" w:line="130" w:lineRule="exact"/>
        <w:rPr>
          <w:rFonts w:ascii="Arial" w:cs="Arial" w:eastAsia="Arial" w:hAnsi="Arial"/>
          <w:sz w:val="18"/>
          <w:szCs w:val="18"/>
          <w:color w:val="auto"/>
        </w:rPr>
      </w:pPr>
    </w:p>
    <w:p>
      <w:pPr>
        <w:ind w:left="900" w:right="106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the report that is required to be included in our annual proxy statement regarding review of financial statements and auditor independence.</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Audit Committee’s report on our financial statements for the fiscal year ended March 31, 2015 is presented below under the heading “Audit Committee Report.”</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Our Board’s Compensation Committee is composed of independent directors who meet the corporate governance standards of the NYSE including the enhanced NYSE independence requirements for directors serving on compensation committees, qualify as “non-employee directors” within the meaning of Rule 16b-3(b)(3) of the Exchange Act and as “outside directors” within the meaning of the Internal Revenue Code. Under its amended and restated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The Compensation Committee is authorized to hire outside advisers after taking into account all factors relevant to the adviser’s independence from management. For additional information regarding outside advisers engaged by the Compensation Committee, please see “Compensation Discussion and Analysis” beginning on page 20 of this proxy statement.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Compensation Committee are to:</w:t>
      </w:r>
    </w:p>
    <w:p>
      <w:pPr>
        <w:spacing w:after="0" w:line="131" w:lineRule="exact"/>
        <w:rPr>
          <w:sz w:val="20"/>
          <w:szCs w:val="20"/>
          <w:color w:val="auto"/>
        </w:rPr>
      </w:pPr>
    </w:p>
    <w:p>
      <w:pPr>
        <w:jc w:val="both"/>
        <w:ind w:left="900" w:right="20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86"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 the Company’s compensation plans for which it is named as plan administrator, including our Incentive Plan;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 on compensation policies and practices with respect to our executive officers as required by SEC rules; and</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assess the performance of the Compensation Committee and the adequacy of its charter annually and recommend any proposed changes to the Board.</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under terms set by the Compensation Committee. This authority for fiscal 2016, which expires on May 31, 2016, is limited to an aggregate of 60,000 option shares, no one individual may receive more than 15,000 option shares, and Section 16 reporting persons may not receive awards pursuant to this authority. Stock options granted under this delegation of authority vest 20% per year commencing on the first anniversary of the grant date. During fiscal 2015, 35,000 stock options were granted to employees under this authority out of a maximum of 60,000.</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Our Compensation Committee’s report for the fiscal year ended March 31, 2015 is presented below under the heading “Compensation Committee Report” beginning on page 19 of this proxy statement.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Governance Committee</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 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7"/>
          <w:szCs w:val="17"/>
          <w:i w:val="1"/>
          <w:iCs w:val="1"/>
          <w:color w:val="auto"/>
        </w:rPr>
        <w:t>www.eaglematerials.com</w:t>
      </w:r>
      <w:r>
        <w:rPr>
          <w:rFonts w:ascii="Arial" w:cs="Arial" w:eastAsia="Arial" w:hAnsi="Arial"/>
          <w:sz w:val="17"/>
          <w:szCs w:val="17"/>
          <w:color w:val="auto"/>
        </w:rPr>
        <w:t xml:space="preserve"> and will be provided free of charge upon written request to our Secretary at our principal executive office.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functions and responsibilities of our Governance Committee are to:</w:t>
      </w:r>
    </w:p>
    <w:p>
      <w:pPr>
        <w:spacing w:after="0" w:line="13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periodically review and recommend a set of corporate governance guidelines for the Company to the Board;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periodically review corporate governance matters generally and recommend action to the Board where appropriate;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assess the adequacy of its charter annually and recommend any proposed changes to our Board for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monitor the quality and sufficiency of information furnished by management to our Board;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actively seek, recruit, screen, and interview individuals qualified to become members of the Board, and consider management’s recommendations for director candidates;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evaluate the qualifications and performance of incumbent directors and determine whether to recommend them for re-election to the Board;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periodically re-evaluate criteria for Board membership;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to the Board the director nominees for each annual stockholders’ meeting;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to the Board nominees for each committee of the Board.</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Governance Committee initiates and oversees an annual evaluation of the effectiveness of the Board and each committee, as well as the composition, organization (including committee structure, membership and leadership) and practices of the Board. This evaluation is confidential as to each member of the Board and its committees. Part of the Governance Committee’s self-evaluation process involves an assessment of the effectiveness of the Company’s corporate governance policies, which includes the Company’s policies surrounding diversity.</w:t>
      </w:r>
    </w:p>
    <w:p>
      <w:pPr>
        <w:spacing w:after="0" w:line="17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In connection with the selection of nominees for director, the Governance Committee gives due consideration to diversity in perspectives, backgrounds, business experiences, professional expertise, gender and ethnic background among the Board members.</w:t>
      </w:r>
    </w:p>
    <w:p>
      <w:pPr>
        <w:spacing w:after="0" w:line="17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5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Bylaws provide that, to be considered at the 2016 annual meeting, stockholder nominations for the Board of Directors must be submitted in writing and received by our Secretary at the executive offices of the Company during the period beginning on February 6, 2016 and ending May 6, 2016,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No nominees for election to the Board at our 2015 annual meeting of stockholders were submitted by stockholders or groups of stockholders owning more than 5% of our Common Stock.</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Executive Committee</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2015 that requires disclosure as a Compensation Committee interlock.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following list sets forth the names, ages as of the date of this proxy statement and principal occupations of each person who was an executive officer of the Company during the fiscal year ended March 31, 2015 and who is not also a member of our Board. Except as noted below, all of these persons have been elected to serve until the next annual meeting of our Board or until their earlier resignation or removal.</w:t>
      </w:r>
    </w:p>
    <w:p>
      <w:pPr>
        <w:spacing w:after="0" w:line="184"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520" w:type="dxa"/>
            <w:vAlign w:val="bottom"/>
          </w:tcPr>
          <w:p>
            <w:pPr>
              <w:spacing w:after="0"/>
              <w:rPr>
                <w:sz w:val="16"/>
                <w:szCs w:val="16"/>
                <w:color w:val="auto"/>
              </w:rPr>
            </w:pPr>
          </w:p>
        </w:tc>
        <w:tc>
          <w:tcPr>
            <w:tcW w:w="64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w w:val="90"/>
              </w:rPr>
              <w:t>Age</w:t>
            </w:r>
          </w:p>
        </w:tc>
        <w:tc>
          <w:tcPr>
            <w:tcW w:w="4080" w:type="dxa"/>
            <w:vAlign w:val="bottom"/>
          </w:tcPr>
          <w:p>
            <w:pPr>
              <w:spacing w:after="0"/>
              <w:rPr>
                <w:sz w:val="16"/>
                <w:szCs w:val="16"/>
                <w:color w:val="auto"/>
              </w:rPr>
            </w:pPr>
          </w:p>
        </w:tc>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90"/>
        </w:trPr>
        <w:tc>
          <w:tcPr>
            <w:tcW w:w="166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6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39</w:t>
            </w:r>
          </w:p>
        </w:tc>
        <w:tc>
          <w:tcPr>
            <w:tcW w:w="40" w:type="dxa"/>
            <w:vAlign w:val="bottom"/>
          </w:tcPr>
          <w:p>
            <w:pPr>
              <w:spacing w:after="0"/>
              <w:rPr>
                <w:sz w:val="24"/>
                <w:szCs w:val="24"/>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3"/>
              </w:rPr>
              <w:t>Executive Vice President – Finance and Administration and Chief Financial Officer (has held current office since</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3"/>
              </w:rPr>
              <w:t>August 2009; Vice President – Investor Relations and Corporate Development from March 2005 through August</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2009; Audit Manager with Ernst &amp; Young LLP from April 2002 through September 2004).</w:t>
            </w:r>
          </w:p>
        </w:tc>
      </w:tr>
      <w:tr>
        <w:trPr>
          <w:trHeight w:val="310"/>
        </w:trPr>
        <w:tc>
          <w:tcPr>
            <w:tcW w:w="166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6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65</w:t>
            </w:r>
          </w:p>
        </w:tc>
        <w:tc>
          <w:tcPr>
            <w:tcW w:w="40" w:type="dxa"/>
            <w:vAlign w:val="bottom"/>
          </w:tcPr>
          <w:p>
            <w:pPr>
              <w:spacing w:after="0"/>
              <w:rPr>
                <w:sz w:val="24"/>
                <w:szCs w:val="24"/>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Executive Vice President – Cement/Aggregates and Concrete</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6"/>
              </w:rPr>
              <w:t>(has held current office since January 2003; President of Texas Lehigh Cement Company from 1985 through</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December 2002).</w:t>
            </w:r>
          </w:p>
        </w:tc>
      </w:tr>
      <w:tr>
        <w:trPr>
          <w:trHeight w:val="323"/>
        </w:trPr>
        <w:tc>
          <w:tcPr>
            <w:tcW w:w="1660" w:type="dxa"/>
            <w:vAlign w:val="bottom"/>
            <w:gridSpan w:val="3"/>
          </w:tcPr>
          <w:p>
            <w:pPr>
              <w:spacing w:after="0"/>
              <w:rPr>
                <w:sz w:val="20"/>
                <w:szCs w:val="20"/>
                <w:color w:val="auto"/>
              </w:rPr>
            </w:pPr>
            <w:r>
              <w:rPr>
                <w:rFonts w:ascii="Arial" w:cs="Arial" w:eastAsia="Arial" w:hAnsi="Arial"/>
                <w:sz w:val="18"/>
                <w:szCs w:val="18"/>
                <w:color w:val="auto"/>
              </w:rPr>
              <w:t>James H. Graass</w:t>
            </w:r>
          </w:p>
        </w:tc>
        <w:tc>
          <w:tcPr>
            <w:tcW w:w="6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57</w:t>
            </w:r>
          </w:p>
        </w:tc>
        <w:tc>
          <w:tcPr>
            <w:tcW w:w="40" w:type="dxa"/>
            <w:vAlign w:val="bottom"/>
          </w:tcPr>
          <w:p>
            <w:pPr>
              <w:spacing w:after="0"/>
              <w:rPr>
                <w:sz w:val="24"/>
                <w:szCs w:val="24"/>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3"/>
              </w:rPr>
              <w:t>(Executive Vice President and General Counsel since November 2000; Mr. Graass was named Secretary of the</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Company in July 2001).</w:t>
            </w:r>
          </w:p>
        </w:tc>
      </w:tr>
      <w:tr>
        <w:trPr>
          <w:trHeight w:val="323"/>
        </w:trPr>
        <w:tc>
          <w:tcPr>
            <w:tcW w:w="1660" w:type="dxa"/>
            <w:vAlign w:val="bottom"/>
            <w:gridSpan w:val="3"/>
          </w:tcPr>
          <w:p>
            <w:pPr>
              <w:spacing w:after="0"/>
              <w:rPr>
                <w:sz w:val="20"/>
                <w:szCs w:val="20"/>
                <w:color w:val="auto"/>
              </w:rPr>
            </w:pPr>
            <w:r>
              <w:rPr>
                <w:rFonts w:ascii="Arial" w:cs="Arial" w:eastAsia="Arial" w:hAnsi="Arial"/>
                <w:sz w:val="18"/>
                <w:szCs w:val="18"/>
                <w:color w:val="auto"/>
              </w:rPr>
              <w:t>Michael Haack</w:t>
            </w:r>
          </w:p>
        </w:tc>
        <w:tc>
          <w:tcPr>
            <w:tcW w:w="6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42</w:t>
            </w:r>
          </w:p>
        </w:tc>
        <w:tc>
          <w:tcPr>
            <w:tcW w:w="40" w:type="dxa"/>
            <w:vAlign w:val="bottom"/>
          </w:tcPr>
          <w:p>
            <w:pPr>
              <w:spacing w:after="0"/>
              <w:rPr>
                <w:sz w:val="24"/>
                <w:szCs w:val="24"/>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Executive Vice President – Chief Operating Officer</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2"/>
              </w:rPr>
              <w:t>(has held current office since December 2014; Mr. Haack was employed at Halliburton Energy Services for the 17</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4"/>
              </w:rPr>
              <w:t>years prior to joining the Company, most recently as Global Operations Manager at Halliburton’s Sperry Drilling</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division).</w:t>
            </w:r>
          </w:p>
        </w:tc>
      </w:tr>
      <w:tr>
        <w:trPr>
          <w:trHeight w:val="323"/>
        </w:trPr>
        <w:tc>
          <w:tcPr>
            <w:tcW w:w="1660" w:type="dxa"/>
            <w:vAlign w:val="bottom"/>
            <w:gridSpan w:val="3"/>
          </w:tcPr>
          <w:p>
            <w:pPr>
              <w:spacing w:after="0"/>
              <w:rPr>
                <w:sz w:val="20"/>
                <w:szCs w:val="20"/>
                <w:color w:val="auto"/>
              </w:rPr>
            </w:pPr>
            <w:r>
              <w:rPr>
                <w:rFonts w:ascii="Arial" w:cs="Arial" w:eastAsia="Arial" w:hAnsi="Arial"/>
                <w:sz w:val="18"/>
                <w:szCs w:val="18"/>
                <w:color w:val="auto"/>
              </w:rPr>
              <w:t>David B. Powers</w:t>
            </w:r>
          </w:p>
        </w:tc>
        <w:tc>
          <w:tcPr>
            <w:tcW w:w="6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65</w:t>
            </w:r>
          </w:p>
        </w:tc>
        <w:tc>
          <w:tcPr>
            <w:tcW w:w="40" w:type="dxa"/>
            <w:vAlign w:val="bottom"/>
          </w:tcPr>
          <w:p>
            <w:pPr>
              <w:spacing w:after="0"/>
              <w:rPr>
                <w:sz w:val="24"/>
                <w:szCs w:val="24"/>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Executive Vice President – Gypsum and President of American Gypsum Company</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7"/>
              </w:rPr>
              <w:t>(has held current office since January 2005; Executive Vice President – Marketing, Sales and Distribution of</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2"/>
              </w:rPr>
              <w:t>American Gypsum Company from June 2002 through December 2004; Vice President, Customer Service of USG</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3"/>
              </w:rPr>
              <w:t>Corporation from 2000 through 2002; Vice President, Specialty Products and Architectural Systems Business of</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USG Corporation from 1998 through 2000).</w:t>
            </w:r>
          </w:p>
        </w:tc>
      </w:tr>
      <w:tr>
        <w:trPr>
          <w:trHeight w:val="323"/>
        </w:trPr>
        <w:tc>
          <w:tcPr>
            <w:tcW w:w="1660" w:type="dxa"/>
            <w:vAlign w:val="bottom"/>
            <w:gridSpan w:val="3"/>
          </w:tcPr>
          <w:p>
            <w:pPr>
              <w:spacing w:after="0"/>
              <w:rPr>
                <w:sz w:val="20"/>
                <w:szCs w:val="20"/>
                <w:color w:val="auto"/>
              </w:rPr>
            </w:pPr>
            <w:r>
              <w:rPr>
                <w:rFonts w:ascii="Arial" w:cs="Arial" w:eastAsia="Arial" w:hAnsi="Arial"/>
                <w:sz w:val="18"/>
                <w:szCs w:val="18"/>
                <w:color w:val="auto"/>
              </w:rPr>
              <w:t>Robert S. Stewart</w:t>
            </w:r>
          </w:p>
        </w:tc>
        <w:tc>
          <w:tcPr>
            <w:tcW w:w="6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24"/>
                <w:szCs w:val="24"/>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Executive Vice President – Strategy, Corporate Development and Communications</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1"/>
              </w:rPr>
              <w:t>(has held current office since August 2009; Senior Vice President of Centex Corporation from 2000 through August</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rPr>
              <w:t>2009).</w:t>
            </w:r>
          </w:p>
        </w:tc>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23"/>
        </w:trPr>
        <w:tc>
          <w:tcPr>
            <w:tcW w:w="1660" w:type="dxa"/>
            <w:vAlign w:val="bottom"/>
            <w:gridSpan w:val="3"/>
          </w:tcPr>
          <w:p>
            <w:pPr>
              <w:spacing w:after="0"/>
              <w:rPr>
                <w:sz w:val="20"/>
                <w:szCs w:val="20"/>
                <w:color w:val="auto"/>
              </w:rPr>
            </w:pPr>
            <w:r>
              <w:rPr>
                <w:rFonts w:ascii="Arial" w:cs="Arial" w:eastAsia="Arial" w:hAnsi="Arial"/>
                <w:sz w:val="18"/>
                <w:szCs w:val="18"/>
                <w:color w:val="auto"/>
              </w:rPr>
              <w:t>William R. Devlin</w:t>
            </w:r>
          </w:p>
        </w:tc>
        <w:tc>
          <w:tcPr>
            <w:tcW w:w="60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49</w:t>
            </w:r>
          </w:p>
        </w:tc>
        <w:tc>
          <w:tcPr>
            <w:tcW w:w="40" w:type="dxa"/>
            <w:vAlign w:val="bottom"/>
          </w:tcPr>
          <w:p>
            <w:pPr>
              <w:spacing w:after="0"/>
              <w:rPr>
                <w:sz w:val="24"/>
                <w:szCs w:val="24"/>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Senior Vice President, Controller and Chief Accounting Officer</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w w:val="91"/>
              </w:rPr>
              <w:t>(has held current office since August 2009; Vice President and Controller from October 2005 through August 2009;</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Director of Internal Audit from September 2004 through September 2005; Senior Manager with</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0" w:type="dxa"/>
            <w:vAlign w:val="bottom"/>
            <w:gridSpan w:val="3"/>
          </w:tcPr>
          <w:p>
            <w:pPr>
              <w:ind w:left="60"/>
              <w:spacing w:after="0"/>
              <w:rPr>
                <w:sz w:val="20"/>
                <w:szCs w:val="20"/>
                <w:color w:val="auto"/>
              </w:rPr>
            </w:pPr>
            <w:r>
              <w:rPr>
                <w:rFonts w:ascii="Arial" w:cs="Arial" w:eastAsia="Arial" w:hAnsi="Arial"/>
                <w:sz w:val="18"/>
                <w:szCs w:val="18"/>
                <w:color w:val="auto"/>
              </w:rPr>
              <w:t>PricewaterhouseCoopers LLP from July 1999 through August 2004).</w:t>
            </w:r>
          </w:p>
        </w:tc>
      </w:tr>
      <w:tr>
        <w:trPr>
          <w:trHeight w:val="378"/>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tcPr>
          <w:p>
            <w:pPr>
              <w:ind w:left="296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r>
    </w:tbl>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Ed H. Bowman, </w:t>
      </w:r>
      <w:r>
        <w:rPr>
          <w:rFonts w:ascii="Arial" w:cs="Arial" w:eastAsia="Arial" w:hAnsi="Arial"/>
          <w:sz w:val="18"/>
          <w:szCs w:val="18"/>
          <w:i w:val="1"/>
          <w:iCs w:val="1"/>
          <w:color w:val="auto"/>
        </w:rPr>
        <w:t>Chairman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William Barnett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R. Nicolais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405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74053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Our Strong Performance</w:t>
      </w:r>
    </w:p>
    <w:p>
      <w:pPr>
        <w:spacing w:after="0" w:line="121" w:lineRule="exact"/>
        <w:rPr>
          <w:sz w:val="20"/>
          <w:szCs w:val="20"/>
          <w:color w:val="auto"/>
        </w:rPr>
      </w:pPr>
    </w:p>
    <w:p>
      <w:pPr>
        <w:ind w:left="200" w:firstLine="443"/>
        <w:spacing w:after="0" w:line="297" w:lineRule="auto"/>
        <w:rPr>
          <w:sz w:val="20"/>
          <w:szCs w:val="20"/>
          <w:color w:val="auto"/>
        </w:rPr>
      </w:pPr>
      <w:r>
        <w:rPr>
          <w:rFonts w:ascii="Arial" w:cs="Arial" w:eastAsia="Arial" w:hAnsi="Arial"/>
          <w:sz w:val="16"/>
          <w:szCs w:val="16"/>
          <w:color w:val="auto"/>
        </w:rPr>
        <w:t>Because Eagle Materials operates in highly cyclical industries, our performance relative to our industry peers is a critical consideration when evaluating management performance. Peer comparisons help to distinguish the effects of management performance from the more general effects of business cycle trends, thereby providing important information that has bearing on management rewards. For purposes of the discussion that follows, our “direct peers” are four domestic public company competitors, our “industry peers” are the direct peers plus international industry participants, and our “compensation peers” are the direct peers plus supplemental peers, in each case as described more fully in the “Market Comparisons” section below.</w:t>
      </w:r>
    </w:p>
    <w:p>
      <w:pPr>
        <w:spacing w:after="0" w:line="158" w:lineRule="exact"/>
        <w:rPr>
          <w:sz w:val="20"/>
          <w:szCs w:val="20"/>
          <w:color w:val="auto"/>
        </w:rPr>
      </w:pPr>
    </w:p>
    <w:p>
      <w:pPr>
        <w:ind w:left="200" w:right="60" w:firstLine="443"/>
        <w:spacing w:after="0" w:line="284" w:lineRule="auto"/>
        <w:rPr>
          <w:sz w:val="20"/>
          <w:szCs w:val="20"/>
          <w:color w:val="auto"/>
        </w:rPr>
      </w:pPr>
      <w:r>
        <w:rPr>
          <w:rFonts w:ascii="Arial" w:cs="Arial" w:eastAsia="Arial" w:hAnsi="Arial"/>
          <w:sz w:val="16"/>
          <w:szCs w:val="16"/>
          <w:color w:val="auto"/>
        </w:rPr>
        <w:t xml:space="preserve">The Compensation Committee believes that certain operational/financial metrics, including those that are relevant to a company’s position as a low-cost producer, are important to maintaining a long-term competitive advantage in commodity businesses like those in which Eagle participates and are key factors in assessing the Company’s performance against its industry peers. In line with our belief, in setting compensation for our fiscal year ended March 31, 2015, our Compensation Committee reviewed (at the beginning of such fiscal year) the Company’s performance against its industry peers using several different metrics, including net income growth (five-, three- and one-year), revenue growth (five-, three- and one-year), return on equity (five- and three-year), return on assets (five- and three-year), earnings per share, return on total capital (ten-, five- and three-year) and total shareholder return (twenty-, ten-, five-, three- and one-year). </w:t>
      </w:r>
      <w:r>
        <w:rPr>
          <w:rFonts w:ascii="Arial" w:cs="Arial" w:eastAsia="Arial" w:hAnsi="Arial"/>
          <w:sz w:val="16"/>
          <w:szCs w:val="16"/>
          <w:b w:val="1"/>
          <w:bCs w:val="1"/>
          <w:i w:val="1"/>
          <w:iCs w:val="1"/>
          <w:color w:val="auto"/>
        </w:rPr>
        <w:t>The Company outperformed all of the industry peer group in 12 of the 19 categories and</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was above the 75</w:t>
      </w:r>
      <w:r>
        <w:rPr>
          <w:rFonts w:ascii="Arial" w:cs="Arial" w:eastAsia="Arial" w:hAnsi="Arial"/>
          <w:sz w:val="15"/>
          <w:szCs w:val="15"/>
          <w:b w:val="1"/>
          <w:bCs w:val="1"/>
          <w:i w:val="1"/>
          <w:iCs w:val="1"/>
          <w:color w:val="auto"/>
        </w:rPr>
        <w:t>th</w:t>
      </w:r>
      <w:r>
        <w:rPr>
          <w:rFonts w:ascii="Arial" w:cs="Arial" w:eastAsia="Arial" w:hAnsi="Arial"/>
          <w:sz w:val="18"/>
          <w:szCs w:val="18"/>
          <w:b w:val="1"/>
          <w:bCs w:val="1"/>
          <w:i w:val="1"/>
          <w:iCs w:val="1"/>
          <w:color w:val="auto"/>
        </w:rPr>
        <w:t xml:space="preserve"> percentile in all remaining categories.</w:t>
      </w:r>
    </w:p>
    <w:p>
      <w:pPr>
        <w:spacing w:after="0" w:line="212" w:lineRule="exact"/>
        <w:rPr>
          <w:sz w:val="20"/>
          <w:szCs w:val="20"/>
          <w:color w:val="auto"/>
        </w:rPr>
      </w:pPr>
    </w:p>
    <w:p>
      <w:pPr>
        <w:ind w:left="200" w:right="240" w:firstLine="443"/>
        <w:spacing w:after="0" w:line="308" w:lineRule="auto"/>
        <w:rPr>
          <w:sz w:val="20"/>
          <w:szCs w:val="20"/>
          <w:color w:val="auto"/>
        </w:rPr>
      </w:pPr>
      <w:r>
        <w:rPr>
          <w:rFonts w:ascii="Arial" w:cs="Arial" w:eastAsia="Arial" w:hAnsi="Arial"/>
          <w:sz w:val="17"/>
          <w:szCs w:val="17"/>
          <w:color w:val="auto"/>
        </w:rPr>
        <w:t>During our fiscal year ended March 31, 2015, the Company continued its strong performance relative to its industry peers. The following graph demonstrates Eagle’s superior performance as measured by total shareholder return relative to its industry peers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Longnecker &amp; Associates. All measures are for the periods ended as of March 31, 2015.</w:t>
      </w:r>
    </w:p>
    <w:p>
      <w:pPr>
        <w:spacing w:after="0" w:line="225"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Industry Peers: Martin Marietta Materials Inc., USG Corp., Vulcan Materials Company, Titan Cement Co. S.A., CRH, Buzzi Unicem S.p.A., Holcim Ltd., HeidelbergCement AG, Lafarge S.A., Cementos Bio-Bio S.A., Cementos Portland Valderrivas, Cemex S.A.B. de C.V., Italcementi S.p.A., Cementos Argos S.A., Headwaters Incorporated</w:t>
      </w:r>
    </w:p>
    <w:p>
      <w:pPr>
        <w:spacing w:after="0" w:line="181" w:lineRule="exact"/>
        <w:rPr>
          <w:sz w:val="20"/>
          <w:szCs w:val="20"/>
          <w:color w:val="auto"/>
        </w:rPr>
      </w:pPr>
    </w:p>
    <w:p>
      <w:pPr>
        <w:ind w:left="200" w:right="440" w:firstLine="443"/>
        <w:spacing w:after="0" w:line="308" w:lineRule="auto"/>
        <w:rPr>
          <w:sz w:val="20"/>
          <w:szCs w:val="20"/>
          <w:color w:val="auto"/>
        </w:rPr>
      </w:pPr>
      <w:r>
        <w:rPr>
          <w:rFonts w:ascii="Arial" w:cs="Arial" w:eastAsia="Arial" w:hAnsi="Arial"/>
          <w:sz w:val="17"/>
          <w:szCs w:val="17"/>
          <w:color w:val="auto"/>
        </w:rPr>
        <w:t>The Company’s prudent use of debt and its low-cost position in its markets left Eagle well-positioned to capitalize during fiscal 2015 on new opportunities, including its November 2014 acquisition of CRS Proppants, a supplier of frac sand to the energy industry.</w:t>
      </w: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Our Compensation Practices</w:t>
      </w:r>
    </w:p>
    <w:p>
      <w:pPr>
        <w:spacing w:after="0" w:line="121" w:lineRule="exact"/>
        <w:rPr>
          <w:sz w:val="20"/>
          <w:szCs w:val="20"/>
          <w:color w:val="auto"/>
        </w:rPr>
      </w:pPr>
    </w:p>
    <w:p>
      <w:pPr>
        <w:ind w:left="200" w:firstLine="443"/>
        <w:spacing w:after="0" w:line="342" w:lineRule="auto"/>
        <w:rPr>
          <w:sz w:val="20"/>
          <w:szCs w:val="20"/>
          <w:color w:val="auto"/>
        </w:rPr>
      </w:pPr>
      <w:r>
        <w:rPr>
          <w:rFonts w:ascii="Arial" w:cs="Arial" w:eastAsia="Arial" w:hAnsi="Arial"/>
          <w:sz w:val="16"/>
          <w:szCs w:val="16"/>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29" w:lineRule="exact"/>
        <w:rPr>
          <w:sz w:val="20"/>
          <w:szCs w:val="20"/>
          <w:color w:val="auto"/>
        </w:rPr>
      </w:pPr>
    </w:p>
    <w:p>
      <w:pPr>
        <w:ind w:left="1060" w:hanging="43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employment agreements with our executives.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tax gross-up agreements with our executives.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defined benefit plans are provided to our executives.</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incentive plan prohibits the re-pricing of options.</w:t>
      </w:r>
    </w:p>
    <w:p>
      <w:pPr>
        <w:spacing w:after="0" w:line="130" w:lineRule="exact"/>
        <w:rPr>
          <w:rFonts w:ascii="Arial" w:cs="Arial" w:eastAsia="Arial" w:hAnsi="Arial"/>
          <w:sz w:val="18"/>
          <w:szCs w:val="18"/>
          <w:color w:val="auto"/>
        </w:rPr>
      </w:pPr>
    </w:p>
    <w:p>
      <w:pPr>
        <w:ind w:left="1060" w:right="200" w:hanging="431"/>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substantial portion of our annual long-term compensation awards are performance-based (and in many years, such as fiscal 2015, all of such awards are performance-based).</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executives are provided very limited perquisites.</w:t>
      </w:r>
    </w:p>
    <w:p>
      <w:pPr>
        <w:spacing w:after="0" w:line="130" w:lineRule="exact"/>
        <w:rPr>
          <w:rFonts w:ascii="Arial" w:cs="Arial" w:eastAsia="Arial" w:hAnsi="Arial"/>
          <w:sz w:val="18"/>
          <w:szCs w:val="18"/>
          <w:color w:val="auto"/>
        </w:rPr>
      </w:pPr>
    </w:p>
    <w:p>
      <w:pPr>
        <w:ind w:left="1060" w:right="20" w:hanging="431"/>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benefits provided to our executives under the defined contribution Profit Sharing and Retirement Plan are determined on the same basis as the benefits provided all salaried employees.</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stock ownership guidelines require management to align their long-term interests with those of our stockholders.</w:t>
      </w:r>
    </w:p>
    <w:p>
      <w:pPr>
        <w:spacing w:after="0" w:line="130" w:lineRule="exact"/>
        <w:rPr>
          <w:rFonts w:ascii="Arial" w:cs="Arial" w:eastAsia="Arial" w:hAnsi="Arial"/>
          <w:sz w:val="18"/>
          <w:szCs w:val="18"/>
          <w:color w:val="auto"/>
        </w:rPr>
      </w:pPr>
    </w:p>
    <w:p>
      <w:pPr>
        <w:ind w:left="1060" w:right="320" w:hanging="431"/>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our insider trading policy, employees and executives are prohibited from speculating in our securities or engaging in transactions designed to hedge their ownership interests.</w:t>
      </w:r>
    </w:p>
    <w:p>
      <w:pPr>
        <w:spacing w:after="0" w:line="170" w:lineRule="exact"/>
        <w:rPr>
          <w:sz w:val="20"/>
          <w:szCs w:val="20"/>
          <w:color w:val="auto"/>
        </w:rPr>
      </w:pPr>
    </w:p>
    <w:p>
      <w:pPr>
        <w:ind w:left="200" w:right="240" w:firstLine="443"/>
        <w:spacing w:after="0" w:line="277" w:lineRule="auto"/>
        <w:rPr>
          <w:sz w:val="20"/>
          <w:szCs w:val="20"/>
          <w:color w:val="auto"/>
        </w:rPr>
      </w:pPr>
      <w:r>
        <w:rPr>
          <w:rFonts w:ascii="Arial" w:cs="Arial" w:eastAsia="Arial" w:hAnsi="Arial"/>
          <w:sz w:val="18"/>
          <w:szCs w:val="18"/>
          <w:color w:val="auto"/>
        </w:rPr>
        <w:t>At Eagle Materials, we do not view our employees as “merely an expense” of the Company. Instead, we strive to invest in our people and their futures as a means of delivering more long-term value to our stockholders and customers.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Fiscal 2015 Compensation Highlights</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The following highlights of our executive compensation program in fiscal 2015 exemplify our long-standing commitment to sound compensation practices, including pay-for-performance.</w:t>
      </w:r>
    </w:p>
    <w:p>
      <w:pPr>
        <w:spacing w:after="0" w:line="76" w:lineRule="exact"/>
        <w:rPr>
          <w:sz w:val="20"/>
          <w:szCs w:val="20"/>
          <w:color w:val="auto"/>
        </w:rPr>
      </w:pPr>
    </w:p>
    <w:p>
      <w:pPr>
        <w:ind w:left="1060" w:right="400" w:hanging="431"/>
        <w:spacing w:after="0" w:line="264"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various components of the compensation payable to our legacy Named Executive Officers, or “Legacy NEOs” (this term excludes Michael Haack, who joined the Company as Executive Vice President and Chief Operating Officer in December 2014—Mr. Haack’s compensation package is addressed separately below) during fiscal 2015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660" w:hanging="431"/>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base salaries for fiscal 2015 for our Legacy NEOs are on average between the median and the 75</w:t>
      </w:r>
      <w:r>
        <w:rPr>
          <w:rFonts w:ascii="Arial" w:cs="Arial" w:eastAsia="Arial" w:hAnsi="Arial"/>
          <w:sz w:val="15"/>
          <w:szCs w:val="15"/>
          <w:color w:val="auto"/>
        </w:rPr>
        <w:t>th</w:t>
      </w:r>
      <w:r>
        <w:rPr>
          <w:rFonts w:ascii="Arial" w:cs="Arial" w:eastAsia="Arial" w:hAnsi="Arial"/>
          <w:sz w:val="18"/>
          <w:szCs w:val="18"/>
          <w:color w:val="auto"/>
        </w:rPr>
        <w:t xml:space="preserve"> percentile base salary of our compensation peer group.</w:t>
      </w:r>
    </w:p>
    <w:p>
      <w:pPr>
        <w:spacing w:after="0" w:line="75" w:lineRule="exact"/>
        <w:rPr>
          <w:rFonts w:ascii="Arial" w:cs="Arial" w:eastAsia="Arial" w:hAnsi="Arial"/>
          <w:sz w:val="18"/>
          <w:szCs w:val="18"/>
          <w:color w:val="auto"/>
        </w:rPr>
      </w:pPr>
    </w:p>
    <w:p>
      <w:pPr>
        <w:ind w:left="1060" w:hanging="4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76% of the total compensation of our Legacy NEOs, on average, for fiscal 2015 was performance-based.</w:t>
      </w:r>
    </w:p>
    <w:p>
      <w:pPr>
        <w:spacing w:after="0" w:line="130" w:lineRule="exact"/>
        <w:rPr>
          <w:rFonts w:ascii="Arial" w:cs="Arial" w:eastAsia="Arial" w:hAnsi="Arial"/>
          <w:sz w:val="18"/>
          <w:szCs w:val="18"/>
          <w:color w:val="auto"/>
        </w:rPr>
      </w:pPr>
    </w:p>
    <w:p>
      <w:pPr>
        <w:ind w:left="1060" w:right="80" w:hanging="431"/>
        <w:spacing w:after="0" w:line="312" w:lineRule="auto"/>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100% of our cash annual incentive bonus for our Legacy NEOs for fiscal 2015 was performance-based in that the bonus pool amount is tied to, and varies with, our operating earnings. Also, cash annual incentive bonuses were structured in all cases so that they could be adjusted downward by the Compensation Committee at the end of the fiscal year based on an individual Legacy NEO’s performance.</w:t>
      </w:r>
    </w:p>
    <w:p>
      <w:pPr>
        <w:spacing w:after="0" w:line="52" w:lineRule="exact"/>
        <w:rPr>
          <w:rFonts w:ascii="Arial" w:cs="Arial" w:eastAsia="Arial" w:hAnsi="Arial"/>
          <w:sz w:val="16"/>
          <w:szCs w:val="16"/>
          <w:color w:val="auto"/>
        </w:rPr>
      </w:pPr>
    </w:p>
    <w:p>
      <w:pPr>
        <w:ind w:left="1060" w:hanging="431"/>
        <w:spacing w:after="0" w:line="255"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of the value of our annual long-term awards made to Legacy NEOs during fiscal 2015 was in the form of performance-based restricted stock and stock options. These grants were to be earned if the Company attained a target level average return on equity for the ten years ended March 31, 2015. In the event the performance target was satisfied, each Legacy NEO’s grant was structured so that it could be adjusted downward by the Compensation Committee at the end of the fiscal year based on an individual Legacy NEO’s performance. In May 2015, the Compensation Committee determined that the performance target had been satisfied, and the Committee did not exercise negative discretion with respect to any NEO’s grant.</w:t>
      </w:r>
    </w:p>
    <w:p>
      <w:pPr>
        <w:spacing w:after="0" w:line="98" w:lineRule="exact"/>
        <w:rPr>
          <w:rFonts w:ascii="Arial" w:cs="Arial" w:eastAsia="Arial" w:hAnsi="Arial"/>
          <w:sz w:val="18"/>
          <w:szCs w:val="18"/>
          <w:color w:val="auto"/>
        </w:rPr>
      </w:pPr>
    </w:p>
    <w:p>
      <w:pPr>
        <w:ind w:left="1620" w:right="40" w:hanging="545"/>
        <w:spacing w:after="0" w:line="308"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One fifth of the earned restricted shares vested upon the certification by the Compensation Committee, and the remaining shares will vest ratably on March 31 of 2016, 2017, 2018 and 2019 (assuming continued service by the relevant officer).</w:t>
      </w:r>
    </w:p>
    <w:p>
      <w:pPr>
        <w:spacing w:after="0" w:line="51" w:lineRule="exact"/>
        <w:rPr>
          <w:rFonts w:ascii="Arial" w:cs="Arial" w:eastAsia="Arial" w:hAnsi="Arial"/>
          <w:sz w:val="17"/>
          <w:szCs w:val="17"/>
          <w:color w:val="auto"/>
        </w:rPr>
      </w:pPr>
    </w:p>
    <w:p>
      <w:pPr>
        <w:ind w:left="1620" w:right="140" w:hanging="545"/>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One third of the earned stock options vested upon the certification by the Compensation Committee, and the remaining options will vest ratably on March 31 of 2016 and 2017 (assuming continued service by the relevant officer).</w:t>
      </w:r>
    </w:p>
    <w:p>
      <w:pPr>
        <w:spacing w:after="0" w:line="75" w:lineRule="exact"/>
        <w:rPr>
          <w:rFonts w:ascii="Arial" w:cs="Arial" w:eastAsia="Arial" w:hAnsi="Arial"/>
          <w:sz w:val="18"/>
          <w:szCs w:val="18"/>
          <w:color w:val="auto"/>
        </w:rPr>
      </w:pPr>
    </w:p>
    <w:p>
      <w:pPr>
        <w:ind w:left="1060" w:right="380" w:hanging="431"/>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noted above, Mr. Haack joined the Company as Executive Vice President and Chief Operating Officer in December 2014. Some key features of his initial compensation package:</w:t>
      </w:r>
    </w:p>
    <w:p>
      <w:pPr>
        <w:spacing w:after="0" w:line="75" w:lineRule="exact"/>
        <w:rPr>
          <w:rFonts w:ascii="Arial" w:cs="Arial" w:eastAsia="Arial" w:hAnsi="Arial"/>
          <w:sz w:val="18"/>
          <w:szCs w:val="18"/>
          <w:color w:val="auto"/>
        </w:rPr>
      </w:pPr>
    </w:p>
    <w:p>
      <w:pPr>
        <w:ind w:left="1620" w:hanging="545"/>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Base salary of $500,000 per year.</w:t>
      </w:r>
    </w:p>
    <w:p>
      <w:pPr>
        <w:spacing w:after="0" w:line="130" w:lineRule="exact"/>
        <w:rPr>
          <w:rFonts w:ascii="Arial" w:cs="Arial" w:eastAsia="Arial" w:hAnsi="Arial"/>
          <w:sz w:val="18"/>
          <w:szCs w:val="18"/>
          <w:color w:val="auto"/>
        </w:rPr>
      </w:pPr>
    </w:p>
    <w:p>
      <w:pPr>
        <w:ind w:left="1620" w:hanging="545"/>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Target annual bonus of 100% of base salary.</w:t>
      </w:r>
    </w:p>
    <w:p>
      <w:pPr>
        <w:spacing w:after="0" w:line="130" w:lineRule="exact"/>
        <w:rPr>
          <w:rFonts w:ascii="Arial" w:cs="Arial" w:eastAsia="Arial" w:hAnsi="Arial"/>
          <w:sz w:val="18"/>
          <w:szCs w:val="18"/>
          <w:color w:val="auto"/>
        </w:rPr>
      </w:pPr>
    </w:p>
    <w:p>
      <w:pPr>
        <w:ind w:left="1620" w:hanging="545"/>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Sign-on bonus of $150,000.</w:t>
      </w:r>
    </w:p>
    <w:p>
      <w:pPr>
        <w:spacing w:after="0" w:line="130" w:lineRule="exact"/>
        <w:rPr>
          <w:rFonts w:ascii="Arial" w:cs="Arial" w:eastAsia="Arial" w:hAnsi="Arial"/>
          <w:sz w:val="18"/>
          <w:szCs w:val="18"/>
          <w:color w:val="auto"/>
        </w:rPr>
      </w:pPr>
    </w:p>
    <w:p>
      <w:pPr>
        <w:ind w:left="1620" w:hanging="545"/>
        <w:spacing w:after="0"/>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Equity grant of (i) 10,000 shares of restricted stock time vesting over 5 years, and (ii) 50,000 stock options time vesting over 5 years.</w:t>
      </w:r>
    </w:p>
    <w:p>
      <w:pPr>
        <w:spacing w:after="0" w:line="153" w:lineRule="exact"/>
        <w:rPr>
          <w:rFonts w:ascii="Arial" w:cs="Arial" w:eastAsia="Arial" w:hAnsi="Arial"/>
          <w:sz w:val="16"/>
          <w:szCs w:val="16"/>
          <w:color w:val="auto"/>
        </w:rPr>
      </w:pPr>
    </w:p>
    <w:p>
      <w:pPr>
        <w:ind w:left="1620" w:hanging="545"/>
        <w:spacing w:after="0"/>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right to receive certain severance payments if he is involuntarily terminated within the first two years of his employment.</w:t>
      </w:r>
    </w:p>
    <w:p>
      <w:pPr>
        <w:spacing w:after="0" w:line="142" w:lineRule="exact"/>
        <w:rPr>
          <w:rFonts w:ascii="Arial" w:cs="Arial" w:eastAsia="Arial" w:hAnsi="Arial"/>
          <w:sz w:val="17"/>
          <w:szCs w:val="17"/>
          <w:color w:val="auto"/>
        </w:rPr>
      </w:pPr>
    </w:p>
    <w:p>
      <w:pPr>
        <w:ind w:left="1060" w:hanging="43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Some key features of the fiscal 2015 compensation for Steven Rowley, our CEO:</w:t>
      </w:r>
    </w:p>
    <w:p>
      <w:pPr>
        <w:spacing w:after="0" w:line="130" w:lineRule="exact"/>
        <w:rPr>
          <w:rFonts w:ascii="Arial" w:cs="Arial" w:eastAsia="Arial" w:hAnsi="Arial"/>
          <w:sz w:val="18"/>
          <w:szCs w:val="18"/>
          <w:color w:val="auto"/>
        </w:rPr>
      </w:pPr>
    </w:p>
    <w:p>
      <w:pPr>
        <w:ind w:left="1620" w:hanging="545"/>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Mr. Rowley’s base salary in fiscal 2015 was increased 3%.</w:t>
      </w:r>
    </w:p>
    <w:p>
      <w:pPr>
        <w:spacing w:after="0" w:line="130" w:lineRule="exact"/>
        <w:rPr>
          <w:rFonts w:ascii="Arial" w:cs="Arial" w:eastAsia="Arial" w:hAnsi="Arial"/>
          <w:sz w:val="18"/>
          <w:szCs w:val="18"/>
          <w:color w:val="auto"/>
        </w:rPr>
      </w:pPr>
    </w:p>
    <w:p>
      <w:pPr>
        <w:jc w:val="both"/>
        <w:ind w:left="1620" w:right="80" w:hanging="545"/>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Mr. Rowley’s total compensation disclosed in the Summary Compensation Table on page 36 increased 7.5% from fiscal 2014. Over 90% of such increase was attributable to Mr. Rowley’s annual incentive bonus, which increased in proportion with Eagle’s earnings.</w:t>
      </w:r>
    </w:p>
    <w:p>
      <w:pPr>
        <w:spacing w:after="0" w:line="29" w:lineRule="exact"/>
        <w:rPr>
          <w:rFonts w:ascii="Arial" w:cs="Arial" w:eastAsia="Arial" w:hAnsi="Arial"/>
          <w:sz w:val="16"/>
          <w:szCs w:val="16"/>
          <w:color w:val="auto"/>
        </w:rPr>
      </w:pPr>
    </w:p>
    <w:p>
      <w:pPr>
        <w:ind w:left="1620" w:hanging="545"/>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Over 60% of Mr. Rowley’s cash compensation for fiscal 2015 was performance-based.</w:t>
      </w:r>
    </w:p>
    <w:p>
      <w:pPr>
        <w:spacing w:after="0" w:line="130" w:lineRule="exact"/>
        <w:rPr>
          <w:rFonts w:ascii="Arial" w:cs="Arial" w:eastAsia="Arial" w:hAnsi="Arial"/>
          <w:sz w:val="18"/>
          <w:szCs w:val="18"/>
          <w:color w:val="auto"/>
        </w:rPr>
      </w:pPr>
    </w:p>
    <w:p>
      <w:pPr>
        <w:ind w:left="1620" w:hanging="545"/>
        <w:spacing w:after="0"/>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Approximately 82% of Mr. Rowley’s total compensation for fiscal 2015 was performance-based.</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Vote on Executive Compensation</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At the 2014 Annual Meeting of Stockholders, the Company’s stockholders voted to approve a non-binding advisory resolution approving the compensation paid to our Named Executive Officers as disclosed in the proxy statement for the 2014 Annual Meeting of Stockholders. The vote was 98.3% in favor, 1.4% against (with 0.3% abstaining). In light of the significant stockholder support of the executive compensation program, no substantive changes were made to the executive compensation program for fiscal 2015 as a result of the stockholder vote.</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Compensation Committee is firmly committed to providing its executives with compensation opportunities that are tied to Company performance and stockholder value creation. We encourage you to review the complete description of the Company’s executive compensation program prior to casting your vote on this year’s say-on-pay advisory vote proposal (Proposal No. 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This Compensation Discussion and Analysis is intended to provide investors with a more complete understanding of our compensation policies and decisions during fiscal 2015 for the following persons who were “Named Executive Officers” during such fiscal year:</w:t>
      </w:r>
    </w:p>
    <w:p>
      <w:pPr>
        <w:sectPr>
          <w:pgSz w:w="11900" w:h="16838" w:orient="portrait"/>
          <w:cols w:equalWidth="0" w:num="1">
            <w:col w:w="11380"/>
          </w:cols>
          <w:pgMar w:left="240" w:top="459" w:right="279" w:bottom="1440" w:gutter="0" w:footer="0" w:header="0"/>
        </w:sectPr>
      </w:pPr>
    </w:p>
    <w:p>
      <w:pPr>
        <w:spacing w:after="0" w:line="1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Steven R. Rowley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40" w:lineRule="exact"/>
        <w:rPr>
          <w:sz w:val="20"/>
          <w:szCs w:val="20"/>
          <w:color w:val="auto"/>
        </w:rPr>
      </w:pPr>
    </w:p>
    <w:p>
      <w:pPr>
        <w:sectPr>
          <w:pgSz w:w="11900" w:h="16838" w:orient="portrait"/>
          <w:cols w:equalWidth="0" w:num="2">
            <w:col w:w="2940" w:space="720"/>
            <w:col w:w="772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Finance and Administration and Chief Financial Officer</w:t>
      </w:r>
    </w:p>
    <w:p>
      <w:pPr>
        <w:spacing w:after="0" w:line="140" w:lineRule="exact"/>
        <w:rPr>
          <w:sz w:val="20"/>
          <w:szCs w:val="20"/>
          <w:color w:val="auto"/>
        </w:rPr>
      </w:pPr>
    </w:p>
    <w:p>
      <w:pPr>
        <w:sectPr>
          <w:pgSz w:w="11900" w:h="16838" w:orient="portrait"/>
          <w:cols w:equalWidth="0" w:num="2">
            <w:col w:w="2940" w:space="720"/>
            <w:col w:w="772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Michael Haack</w:t>
      </w:r>
    </w:p>
    <w:p>
      <w:pPr>
        <w:spacing w:after="0" w:line="20" w:lineRule="exact"/>
        <w:rPr>
          <w:sz w:val="20"/>
          <w:szCs w:val="20"/>
          <w:color w:val="auto"/>
        </w:rPr>
      </w:pPr>
      <w:r>
        <w:rPr>
          <w:sz w:val="20"/>
          <w:szCs w:val="20"/>
          <w:color w:val="auto"/>
        </w:rPr>
        <w:br w:type="column"/>
      </w:r>
    </w:p>
    <w:p>
      <w:pPr>
        <w:jc w:val="center"/>
        <w:ind w:right="1940"/>
        <w:spacing w:after="0"/>
        <w:rPr>
          <w:sz w:val="20"/>
          <w:szCs w:val="20"/>
          <w:color w:val="auto"/>
        </w:rPr>
      </w:pPr>
      <w:r>
        <w:rPr>
          <w:rFonts w:ascii="Arial" w:cs="Arial" w:eastAsia="Arial" w:hAnsi="Arial"/>
          <w:sz w:val="16"/>
          <w:szCs w:val="16"/>
          <w:color w:val="auto"/>
        </w:rPr>
        <w:t>Executive Vice President and Chief Operating Officer (since December 1, 2014)</w:t>
      </w:r>
    </w:p>
    <w:p>
      <w:pPr>
        <w:spacing w:after="0" w:line="140" w:lineRule="exact"/>
        <w:rPr>
          <w:sz w:val="20"/>
          <w:szCs w:val="20"/>
          <w:color w:val="auto"/>
        </w:rPr>
      </w:pPr>
    </w:p>
    <w:p>
      <w:pPr>
        <w:sectPr>
          <w:pgSz w:w="11900" w:h="16838" w:orient="portrait"/>
          <w:cols w:equalWidth="0" w:num="2">
            <w:col w:w="2940" w:space="720"/>
            <w:col w:w="772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Gerald J. Essl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Cement/Aggregates and Concrete</w:t>
      </w:r>
    </w:p>
    <w:p>
      <w:pPr>
        <w:spacing w:after="0" w:line="140" w:lineRule="exact"/>
        <w:rPr>
          <w:sz w:val="20"/>
          <w:szCs w:val="20"/>
          <w:color w:val="auto"/>
        </w:rPr>
      </w:pPr>
    </w:p>
    <w:p>
      <w:pPr>
        <w:sectPr>
          <w:pgSz w:w="11900" w:h="16838" w:orient="portrait"/>
          <w:cols w:equalWidth="0" w:num="2">
            <w:col w:w="2940" w:space="720"/>
            <w:col w:w="772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David B. Powers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Gypsum</w:t>
      </w:r>
    </w:p>
    <w:p>
      <w:pPr>
        <w:spacing w:after="0" w:line="200" w:lineRule="exact"/>
        <w:rPr>
          <w:sz w:val="20"/>
          <w:szCs w:val="20"/>
          <w:color w:val="auto"/>
        </w:rPr>
      </w:pPr>
    </w:p>
    <w:p>
      <w:pPr>
        <w:sectPr>
          <w:pgSz w:w="11900" w:h="16838" w:orient="portrait"/>
          <w:cols w:equalWidth="0" w:num="2">
            <w:col w:w="2940" w:space="720"/>
            <w:col w:w="7720"/>
          </w:cols>
          <w:pgMar w:left="240" w:top="459" w:right="27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 the interests of our executives with those of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 the Company’s performance as well as the executive’s individual performance,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Motivate management to achieve the Company’s operational and strategic goals,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Reward performance by both our executives and the Company relative to our peers’ performance in light of business conditions,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designed to attract, retain and motivate highly qualified and talented executives over time.</w:t>
      </w:r>
    </w:p>
    <w:p>
      <w:pPr>
        <w:spacing w:after="0" w:line="225"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5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153" w:lineRule="exact"/>
        <w:rPr>
          <w:rFonts w:ascii="Arial" w:cs="Arial" w:eastAsia="Arial" w:hAnsi="Arial"/>
          <w:sz w:val="16"/>
          <w:szCs w:val="16"/>
          <w:color w:val="auto"/>
        </w:rPr>
      </w:pPr>
    </w:p>
    <w:p>
      <w:pPr>
        <w:ind w:left="1920" w:hanging="440"/>
        <w:spacing w:after="0" w:line="277"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Structuring long-term compensation as predominantly equity awards, so that executives have an appropriate incentive to contribute to the creation of long-term stockholder value, and</w:t>
      </w:r>
    </w:p>
    <w:p>
      <w:pPr>
        <w:spacing w:after="0" w:line="75"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Basing our annual incentive bonus on both our earnings and individual performance,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Tying the vesting of a substantial majority of our equity-based awards to the achievement of financial and/or operating goals.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To achieve our compensation objectives for fiscal 2015, our executive compensation program used a combination of short-term and long-term elements: (1) annual salary, (2) annual incentive bonus, and (3) long-term incentive compensation in the form of stock options and restricted stock. Each element of long-term and short-term compensation is discussed more fully below under the heading “Elements of Executive Compensation.”</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u w:val="single" w:color="auto"/>
          <w:color w:val="auto"/>
        </w:rPr>
        <w:t>No Employment Agreements; No Change-in-Control Agreements</w:t>
      </w:r>
      <w:r>
        <w:rPr>
          <w:rFonts w:ascii="Arial" w:cs="Arial" w:eastAsia="Arial" w:hAnsi="Arial"/>
          <w:sz w:val="17"/>
          <w:szCs w:val="17"/>
          <w:color w:val="auto"/>
        </w:rPr>
        <w:t>. We do not currently have employment agreements or change-in-control agreements with any Named Executive Officer; however, under the terms of our award agreements, unvested equity awards become fully vested and exercisable in the event of a change in control. See “Change in Control Benefits” below. Also, we have agreed to pay Mr. Haack certain severance payments if he is terminated within the first two years of his employment. See “New Named Executive Officer Compensation and Benefits”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w:t>
      </w:r>
    </w:p>
    <w:p>
      <w:pPr>
        <w:spacing w:after="0" w:line="11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Committee and Management in Executive Compensation</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 our CEO’s performance in light of such goals and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The Compensation Committee consists solely of directors who are independent under the NYSE listing standards (including the enhanced independence requirements for compensation committee members) and Section 162(m) of the 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6"/>
          <w:szCs w:val="16"/>
          <w:i w:val="1"/>
          <w:iCs w:val="1"/>
          <w:color w:val="auto"/>
        </w:rPr>
        <w:t>www.eaglematerials.com</w:t>
      </w:r>
      <w:r>
        <w:rPr>
          <w:rFonts w:ascii="Arial" w:cs="Arial" w:eastAsia="Arial" w:hAnsi="Arial"/>
          <w:sz w:val="16"/>
          <w:szCs w:val="16"/>
          <w:color w:val="auto"/>
        </w:rPr>
        <w:t>.</w:t>
      </w:r>
    </w:p>
    <w:p>
      <w:pPr>
        <w:sectPr>
          <w:pgSz w:w="11900" w:h="16838" w:orient="portrait"/>
          <w:cols w:equalWidth="0" w:num="1">
            <w:col w:w="11360"/>
          </w:cols>
          <w:pgMar w:left="240" w:top="459" w:right="299" w:bottom="1440" w:gutter="0" w:footer="0" w:header="0"/>
        </w:sectPr>
      </w:pPr>
    </w:p>
    <w:bookmarkStart w:id="29" w:name="page30"/>
    <w:bookmarkEnd w:id="29"/>
    <w:p>
      <w:pPr>
        <w:ind w:firstLine="456"/>
        <w:spacing w:after="0" w:line="277"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76" w:lineRule="exact"/>
        <w:rPr>
          <w:sz w:val="20"/>
          <w:szCs w:val="20"/>
          <w:color w:val="auto"/>
        </w:rPr>
      </w:pPr>
    </w:p>
    <w:p>
      <w:pPr>
        <w:ind w:left="900" w:right="160" w:hanging="446"/>
        <w:spacing w:after="0" w:line="28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early as practicable after the beginning of each fiscal year, the Compensation Committee determines (1) the salary of each Named Executive Officer for such fiscal year, (2) the overall size of the annual incentive bonus pools based on operating earnings in which the Named Executive Officers will have the opportunity to participate during such year and the percentage of the pool assigned to each Named Executive Officer,</w:t>
      </w:r>
    </w:p>
    <w:p>
      <w:pPr>
        <w:ind w:left="900" w:right="20"/>
        <w:spacing w:after="0" w:line="288" w:lineRule="auto"/>
        <w:rPr>
          <w:rFonts w:ascii="Arial" w:cs="Arial" w:eastAsia="Arial" w:hAnsi="Arial"/>
          <w:sz w:val="16"/>
          <w:szCs w:val="16"/>
          <w:color w:val="auto"/>
        </w:rPr>
      </w:pPr>
      <w:r>
        <w:rPr>
          <w:rFonts w:ascii="Arial" w:cs="Arial" w:eastAsia="Arial" w:hAnsi="Arial"/>
          <w:sz w:val="16"/>
          <w:szCs w:val="16"/>
          <w:color w:val="auto"/>
        </w:rPr>
        <w:t>(3) whether the Compensation Committee will make any long-term incentive compensation awards in such fiscal year, (4) if the Compensation Committee decides to make long-term compensation awards for such fiscal year, the nature of and terms applicable to such awards, including the form any such awards will take (e.g., options, restricted stock, restricted stock units and/or cash), the individual long-term compensation potential for awards to be made to each Named Executive Officer, the performance- or time-vesting criteria (or both) that will apply to any such awards, and the exercisability or payment schedules that will apply to any such awards if the performance criteria are satisfied, and (5) the Eagle Materials Special Situation Program for such fiscal year and the overall funding levels for such program based on operating earnings. For fiscal 2015, the Compensation Committee made these determinations at four separate meetings held in April, May and June 2014.</w:t>
      </w:r>
    </w:p>
    <w:p>
      <w:pPr>
        <w:spacing w:after="0" w:line="74" w:lineRule="exact"/>
        <w:rPr>
          <w:rFonts w:ascii="Arial" w:cs="Arial" w:eastAsia="Arial" w:hAnsi="Arial"/>
          <w:sz w:val="16"/>
          <w:szCs w:val="16"/>
          <w:color w:val="auto"/>
        </w:rPr>
      </w:pPr>
    </w:p>
    <w:p>
      <w:pPr>
        <w:ind w:left="900" w:right="60" w:hanging="446"/>
        <w:spacing w:after="0" w:line="27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After the end of the fiscal year, the Compensation Committee (1) reviews and approves the annual incentive bonus pools, (2) determines the extent to which the performance criteria for the prior fiscal year applicable to any long-term incentive awards were satisfied, (3) determines the amount of the downward adjustment, if any, to be made to the annual incentive bonus payment to each Named Executive Officer based on individual performance, and (4) if applicable, makes awards under the Eagle Materials Special Situation Program. The Compensation Committee made these determinations for fiscal 2015 at two separate meetings held in May 2015.</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CEO, Mr. Rowley, participates to a certain extent in the administration of our compensation program for Named Executive Officers, other than himself. At the end of each fiscal year, Mr. Rowley provides input to the Compensation Committee on the performance of each of the other Named Executive Officers and recommends compensation adjustments (salary adjustments for the current fiscal year, any downward adjustments to annual incentive bonus levels for the recently completed fiscal year, and annual incentive bonus levels for the current fiscal year) and, if applicable, long-term incentive award levels for such Named Executive Officers. Mr. Rowley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Mr. Rowley’s input, along with other information presented by its compensation consultants or otherwise available to it, in making its final compensation decisions with respect to the Named Executive Officers.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of a Compensation Consultant</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early 2014, the Compensation Committee again retained Longnecker &amp; Associates (“L&amp;A”), an independent compensation consulting firm based in Houston, Texas, to review levels and incentive components of our executives’ compensation in an effort to align the compensation of our officers competitively with the market. The primary role of L&amp;A was to provide the Compensation Committee with market data and information regarding compensation trends in our industry and to make recommendations regarding base salaries, the design of our incentive programs and executive compensation levels. Our management did not direct or oversee the retention or activities of L&amp;A with respect to our executive compensation program. L&amp;A also provided assistance in reviewing this Compensation Discussion &amp; Analysis. The Compensation Committee has assessed the independence of L&amp;A pursuant to SEC and NYSE rules and concluded that no conflict of interest exists that would prevent L&amp;A from independently advising the Compensation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Comparisons</w:t>
      </w:r>
    </w:p>
    <w:p>
      <w:pPr>
        <w:spacing w:after="0" w:line="11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data used by L&amp;A in its survey of the compensation peer group, which we refer to as our compensation study, was weighted so that 50% was from published surveys from Towers Watson, ERI and Mercer, and 50% was from disclosure in compensation peer group proxy statements.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Peers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beginning of fiscal 2015 (spring of 2014) L&amp;A identified compensation peer candidates based on (1) prior peer groups used by the Company,</w:t>
      </w:r>
    </w:p>
    <w:p>
      <w:pPr>
        <w:spacing w:after="0" w:line="46" w:lineRule="exact"/>
        <w:rPr>
          <w:sz w:val="20"/>
          <w:szCs w:val="20"/>
          <w:color w:val="auto"/>
        </w:rPr>
      </w:pPr>
    </w:p>
    <w:p>
      <w:pPr>
        <w:ind w:right="180" w:firstLine="8"/>
        <w:spacing w:after="0" w:line="271"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companies of similar size within industries related to the Company’s industry, and (3) other similar companies in the construction materials and related industries. L&amp;A then analyzed each company based on revenue, assets, net income, market capitalization, enterprise value, and EBITDA. Based on this analysis, L&amp;A recommended no change in the peer group utilized by the Compensation Committee in fiscal 2014. Based on L&amp;A’s recommendation, the Compensation Committee utilized the following 12-company peer group in analyzing fiscal 2015 compensation (“compensation peer group”), which is the same compensation peer group utilized by the Committee for fiscal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Company Name</w:t>
            </w:r>
          </w:p>
        </w:tc>
        <w:tc>
          <w:tcPr>
            <w:tcW w:w="150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Ticker</w:t>
            </w:r>
          </w:p>
        </w:tc>
        <w:tc>
          <w:tcPr>
            <w:tcW w:w="3020" w:type="dxa"/>
            <w:vAlign w:val="bottom"/>
          </w:tcPr>
          <w:p>
            <w:pPr>
              <w:spacing w:after="0"/>
              <w:rPr>
                <w:sz w:val="16"/>
                <w:szCs w:val="16"/>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Business Description</w:t>
            </w:r>
          </w:p>
        </w:tc>
        <w:tc>
          <w:tcPr>
            <w:tcW w:w="2660" w:type="dxa"/>
            <w:vAlign w:val="bottom"/>
          </w:tcPr>
          <w:p>
            <w:pPr>
              <w:spacing w:after="0"/>
              <w:rPr>
                <w:sz w:val="16"/>
                <w:szCs w:val="16"/>
                <w:color w:val="auto"/>
              </w:rPr>
            </w:pPr>
          </w:p>
        </w:tc>
      </w:tr>
      <w:tr>
        <w:trPr>
          <w:trHeight w:val="224"/>
        </w:trPr>
        <w:tc>
          <w:tcPr>
            <w:tcW w:w="2300" w:type="dxa"/>
            <w:vAlign w:val="bottom"/>
            <w:gridSpan w:val="2"/>
          </w:tcPr>
          <w:p>
            <w:pPr>
              <w:spacing w:after="0"/>
              <w:rPr>
                <w:sz w:val="20"/>
                <w:szCs w:val="20"/>
                <w:color w:val="auto"/>
              </w:rPr>
            </w:pPr>
            <w:r>
              <w:rPr>
                <w:rFonts w:ascii="Arial" w:cs="Arial" w:eastAsia="Arial" w:hAnsi="Arial"/>
                <w:sz w:val="18"/>
                <w:szCs w:val="18"/>
                <w:color w:val="auto"/>
                <w:w w:val="87"/>
              </w:rPr>
              <w:t>Armstrong Worldwide Industries,</w:t>
            </w:r>
          </w:p>
        </w:tc>
        <w:tc>
          <w:tcPr>
            <w:tcW w:w="1500" w:type="dxa"/>
            <w:vAlign w:val="bottom"/>
          </w:tcPr>
          <w:p>
            <w:pPr>
              <w:ind w:left="180"/>
              <w:spacing w:after="0"/>
              <w:rPr>
                <w:sz w:val="20"/>
                <w:szCs w:val="20"/>
                <w:color w:val="auto"/>
              </w:rPr>
            </w:pPr>
            <w:r>
              <w:rPr>
                <w:rFonts w:ascii="Arial" w:cs="Arial" w:eastAsia="Arial" w:hAnsi="Arial"/>
                <w:sz w:val="18"/>
                <w:szCs w:val="18"/>
                <w:color w:val="auto"/>
              </w:rPr>
              <w:t>Inc.</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AWI</w:t>
            </w:r>
          </w:p>
        </w:tc>
        <w:tc>
          <w:tcPr>
            <w:tcW w:w="6960" w:type="dxa"/>
            <w:vAlign w:val="bottom"/>
            <w:gridSpan w:val="3"/>
          </w:tcPr>
          <w:p>
            <w:pPr>
              <w:ind w:left="120"/>
              <w:spacing w:after="0"/>
              <w:rPr>
                <w:sz w:val="20"/>
                <w:szCs w:val="20"/>
                <w:color w:val="auto"/>
              </w:rPr>
            </w:pPr>
            <w:r>
              <w:rPr>
                <w:rFonts w:ascii="Arial" w:cs="Arial" w:eastAsia="Arial" w:hAnsi="Arial"/>
                <w:sz w:val="18"/>
                <w:szCs w:val="18"/>
                <w:color w:val="auto"/>
              </w:rPr>
              <w:t>Designs, manufactures and sells flooring products and ceiling systems.</w:t>
            </w:r>
          </w:p>
        </w:tc>
      </w:tr>
      <w:tr>
        <w:trPr>
          <w:trHeight w:val="296"/>
        </w:trPr>
        <w:tc>
          <w:tcPr>
            <w:tcW w:w="3800" w:type="dxa"/>
            <w:vAlign w:val="bottom"/>
            <w:gridSpan w:val="3"/>
          </w:tcPr>
          <w:p>
            <w:pPr>
              <w:spacing w:after="0"/>
              <w:rPr>
                <w:sz w:val="20"/>
                <w:szCs w:val="20"/>
                <w:color w:val="auto"/>
              </w:rPr>
            </w:pPr>
            <w:r>
              <w:rPr>
                <w:rFonts w:ascii="Arial" w:cs="Arial" w:eastAsia="Arial" w:hAnsi="Arial"/>
                <w:sz w:val="18"/>
                <w:szCs w:val="18"/>
                <w:color w:val="auto"/>
              </w:rPr>
              <w:t>EnPro Industries, Inc.</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NPO</w:t>
            </w:r>
          </w:p>
        </w:tc>
        <w:tc>
          <w:tcPr>
            <w:tcW w:w="6960" w:type="dxa"/>
            <w:vAlign w:val="bottom"/>
            <w:gridSpan w:val="3"/>
          </w:tcPr>
          <w:p>
            <w:pPr>
              <w:ind w:left="120"/>
              <w:spacing w:after="0"/>
              <w:rPr>
                <w:sz w:val="20"/>
                <w:szCs w:val="20"/>
                <w:color w:val="auto"/>
              </w:rPr>
            </w:pPr>
            <w:r>
              <w:rPr>
                <w:rFonts w:ascii="Arial" w:cs="Arial" w:eastAsia="Arial" w:hAnsi="Arial"/>
                <w:sz w:val="18"/>
                <w:szCs w:val="18"/>
                <w:color w:val="auto"/>
              </w:rPr>
              <w:t>Designs, develops, manufactures and markets engineered industrial products.</w:t>
            </w:r>
          </w:p>
        </w:tc>
      </w:tr>
      <w:tr>
        <w:trPr>
          <w:trHeight w:val="324"/>
        </w:trPr>
        <w:tc>
          <w:tcPr>
            <w:tcW w:w="3800" w:type="dxa"/>
            <w:vAlign w:val="bottom"/>
            <w:gridSpan w:val="3"/>
          </w:tcPr>
          <w:p>
            <w:pPr>
              <w:spacing w:after="0"/>
              <w:rPr>
                <w:sz w:val="20"/>
                <w:szCs w:val="20"/>
                <w:color w:val="auto"/>
              </w:rPr>
            </w:pPr>
            <w:r>
              <w:rPr>
                <w:rFonts w:ascii="Arial" w:cs="Arial" w:eastAsia="Arial" w:hAnsi="Arial"/>
                <w:sz w:val="18"/>
                <w:szCs w:val="18"/>
                <w:color w:val="auto"/>
              </w:rPr>
              <w:t>Globe Specialty Metals, Inc.</w:t>
            </w:r>
          </w:p>
        </w:tc>
        <w:tc>
          <w:tcPr>
            <w:tcW w:w="420" w:type="dxa"/>
            <w:vAlign w:val="bottom"/>
          </w:tcPr>
          <w:p>
            <w:pPr>
              <w:jc w:val="center"/>
              <w:spacing w:after="0"/>
              <w:rPr>
                <w:sz w:val="20"/>
                <w:szCs w:val="20"/>
                <w:color w:val="auto"/>
              </w:rPr>
            </w:pPr>
            <w:r>
              <w:rPr>
                <w:rFonts w:ascii="Arial" w:cs="Arial" w:eastAsia="Arial" w:hAnsi="Arial"/>
                <w:sz w:val="18"/>
                <w:szCs w:val="18"/>
                <w:color w:val="auto"/>
                <w:w w:val="92"/>
              </w:rPr>
              <w:t>GSM</w:t>
            </w:r>
          </w:p>
        </w:tc>
        <w:tc>
          <w:tcPr>
            <w:tcW w:w="6960" w:type="dxa"/>
            <w:vAlign w:val="bottom"/>
            <w:gridSpan w:val="3"/>
          </w:tcPr>
          <w:p>
            <w:pPr>
              <w:ind w:left="120"/>
              <w:spacing w:after="0"/>
              <w:rPr>
                <w:sz w:val="20"/>
                <w:szCs w:val="20"/>
                <w:color w:val="auto"/>
              </w:rPr>
            </w:pPr>
            <w:r>
              <w:rPr>
                <w:rFonts w:ascii="Arial" w:cs="Arial" w:eastAsia="Arial" w:hAnsi="Arial"/>
                <w:sz w:val="18"/>
                <w:szCs w:val="18"/>
                <w:color w:val="auto"/>
              </w:rPr>
              <w:t>Produces and sells silicon metal and silicon-based alloys.</w:t>
            </w:r>
          </w:p>
        </w:tc>
      </w:tr>
      <w:tr>
        <w:trPr>
          <w:trHeight w:val="324"/>
        </w:trPr>
        <w:tc>
          <w:tcPr>
            <w:tcW w:w="3800" w:type="dxa"/>
            <w:vAlign w:val="bottom"/>
            <w:gridSpan w:val="3"/>
          </w:tcPr>
          <w:p>
            <w:pPr>
              <w:spacing w:after="0"/>
              <w:rPr>
                <w:sz w:val="20"/>
                <w:szCs w:val="20"/>
                <w:color w:val="auto"/>
              </w:rPr>
            </w:pPr>
            <w:r>
              <w:rPr>
                <w:rFonts w:ascii="Arial" w:cs="Arial" w:eastAsia="Arial" w:hAnsi="Arial"/>
                <w:sz w:val="18"/>
                <w:szCs w:val="18"/>
                <w:color w:val="auto"/>
              </w:rPr>
              <w:t>Intrepid Potash, Inc.</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IPI</w:t>
            </w:r>
          </w:p>
        </w:tc>
        <w:tc>
          <w:tcPr>
            <w:tcW w:w="6960" w:type="dxa"/>
            <w:vAlign w:val="bottom"/>
            <w:gridSpan w:val="3"/>
          </w:tcPr>
          <w:p>
            <w:pPr>
              <w:ind w:left="120"/>
              <w:spacing w:after="0"/>
              <w:rPr>
                <w:sz w:val="20"/>
                <w:szCs w:val="20"/>
                <w:color w:val="auto"/>
              </w:rPr>
            </w:pPr>
            <w:r>
              <w:rPr>
                <w:rFonts w:ascii="Arial" w:cs="Arial" w:eastAsia="Arial" w:hAnsi="Arial"/>
                <w:sz w:val="18"/>
                <w:szCs w:val="18"/>
                <w:color w:val="auto"/>
                <w:w w:val="89"/>
              </w:rPr>
              <w:t>Produces and markets chemicals, including potassium chloride and sulfate of potash magnesia.</w:t>
            </w:r>
          </w:p>
        </w:tc>
      </w:tr>
      <w:tr>
        <w:trPr>
          <w:trHeight w:val="310"/>
        </w:trPr>
        <w:tc>
          <w:tcPr>
            <w:tcW w:w="3800" w:type="dxa"/>
            <w:vAlign w:val="bottom"/>
            <w:gridSpan w:val="3"/>
          </w:tcPr>
          <w:p>
            <w:pPr>
              <w:spacing w:after="0"/>
              <w:rPr>
                <w:sz w:val="20"/>
                <w:szCs w:val="20"/>
                <w:color w:val="auto"/>
              </w:rPr>
            </w:pPr>
            <w:r>
              <w:rPr>
                <w:rFonts w:ascii="Arial" w:cs="Arial" w:eastAsia="Arial" w:hAnsi="Arial"/>
                <w:sz w:val="18"/>
                <w:szCs w:val="18"/>
                <w:color w:val="auto"/>
              </w:rPr>
              <w:t>James Hardie Industries plc</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JHX</w:t>
            </w:r>
          </w:p>
        </w:tc>
        <w:tc>
          <w:tcPr>
            <w:tcW w:w="6960" w:type="dxa"/>
            <w:vAlign w:val="bottom"/>
            <w:gridSpan w:val="3"/>
          </w:tcPr>
          <w:p>
            <w:pPr>
              <w:ind w:left="120"/>
              <w:spacing w:after="0"/>
              <w:rPr>
                <w:sz w:val="20"/>
                <w:szCs w:val="20"/>
                <w:color w:val="auto"/>
              </w:rPr>
            </w:pPr>
            <w:r>
              <w:rPr>
                <w:rFonts w:ascii="Arial" w:cs="Arial" w:eastAsia="Arial" w:hAnsi="Arial"/>
                <w:sz w:val="18"/>
                <w:szCs w:val="18"/>
                <w:color w:val="auto"/>
                <w:w w:val="94"/>
              </w:rPr>
              <w:t>Manufactures and sells fiber cement products for interior and exterior building construction</w:t>
            </w:r>
          </w:p>
        </w:tc>
      </w:tr>
      <w:tr>
        <w:trPr>
          <w:trHeight w:val="230"/>
        </w:trPr>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960" w:type="dxa"/>
            <w:vAlign w:val="bottom"/>
            <w:gridSpan w:val="3"/>
          </w:tcPr>
          <w:p>
            <w:pPr>
              <w:ind w:left="120"/>
              <w:spacing w:after="0"/>
              <w:rPr>
                <w:sz w:val="20"/>
                <w:szCs w:val="20"/>
                <w:color w:val="auto"/>
              </w:rPr>
            </w:pPr>
            <w:r>
              <w:rPr>
                <w:rFonts w:ascii="Arial" w:cs="Arial" w:eastAsia="Arial" w:hAnsi="Arial"/>
                <w:sz w:val="18"/>
                <w:szCs w:val="18"/>
                <w:color w:val="auto"/>
              </w:rPr>
              <w:t>applications.</w:t>
            </w:r>
          </w:p>
        </w:tc>
      </w:tr>
      <w:tr>
        <w:trPr>
          <w:trHeight w:val="310"/>
        </w:trPr>
        <w:tc>
          <w:tcPr>
            <w:tcW w:w="3800" w:type="dxa"/>
            <w:vAlign w:val="bottom"/>
            <w:gridSpan w:val="3"/>
          </w:tcPr>
          <w:p>
            <w:pPr>
              <w:spacing w:after="0"/>
              <w:rPr>
                <w:sz w:val="20"/>
                <w:szCs w:val="20"/>
                <w:color w:val="auto"/>
              </w:rPr>
            </w:pPr>
            <w:r>
              <w:rPr>
                <w:rFonts w:ascii="Arial" w:cs="Arial" w:eastAsia="Arial" w:hAnsi="Arial"/>
                <w:sz w:val="18"/>
                <w:szCs w:val="18"/>
                <w:color w:val="auto"/>
              </w:rPr>
              <w:t>Louisiana-Pacific Corp.</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LPX</w:t>
            </w:r>
          </w:p>
        </w:tc>
        <w:tc>
          <w:tcPr>
            <w:tcW w:w="6960" w:type="dxa"/>
            <w:vAlign w:val="bottom"/>
            <w:gridSpan w:val="3"/>
          </w:tcPr>
          <w:p>
            <w:pPr>
              <w:ind w:left="120"/>
              <w:spacing w:after="0"/>
              <w:rPr>
                <w:sz w:val="20"/>
                <w:szCs w:val="20"/>
                <w:color w:val="auto"/>
              </w:rPr>
            </w:pPr>
            <w:r>
              <w:rPr>
                <w:rFonts w:ascii="Arial" w:cs="Arial" w:eastAsia="Arial" w:hAnsi="Arial"/>
                <w:sz w:val="18"/>
                <w:szCs w:val="18"/>
                <w:color w:val="auto"/>
              </w:rPr>
              <w:t>Manufactures and distributes building products for new home construction, repair and</w:t>
            </w:r>
          </w:p>
        </w:tc>
      </w:tr>
      <w:tr>
        <w:trPr>
          <w:trHeight w:val="230"/>
        </w:trPr>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960" w:type="dxa"/>
            <w:vAlign w:val="bottom"/>
            <w:gridSpan w:val="3"/>
          </w:tcPr>
          <w:p>
            <w:pPr>
              <w:ind w:left="120"/>
              <w:spacing w:after="0"/>
              <w:rPr>
                <w:sz w:val="20"/>
                <w:szCs w:val="20"/>
                <w:color w:val="auto"/>
              </w:rPr>
            </w:pPr>
            <w:r>
              <w:rPr>
                <w:rFonts w:ascii="Arial" w:cs="Arial" w:eastAsia="Arial" w:hAnsi="Arial"/>
                <w:sz w:val="18"/>
                <w:szCs w:val="18"/>
                <w:color w:val="auto"/>
              </w:rPr>
              <w:t>remodeling, manufactured housing, and light industrial and commercial construction.</w:t>
            </w:r>
          </w:p>
        </w:tc>
      </w:tr>
      <w:tr>
        <w:trPr>
          <w:trHeight w:val="365"/>
        </w:trPr>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20" w:type="dxa"/>
            <w:vAlign w:val="bottom"/>
          </w:tcPr>
          <w:p>
            <w:pPr>
              <w:ind w:left="1400"/>
              <w:spacing w:after="0"/>
              <w:rPr>
                <w:sz w:val="20"/>
                <w:szCs w:val="20"/>
                <w:color w:val="auto"/>
              </w:rPr>
            </w:pPr>
            <w:r>
              <w:rPr>
                <w:rFonts w:ascii="Arial" w:cs="Arial" w:eastAsia="Arial" w:hAnsi="Arial"/>
                <w:sz w:val="18"/>
                <w:szCs w:val="18"/>
                <w:color w:val="auto"/>
              </w:rPr>
              <w:t>25</w:t>
            </w:r>
          </w:p>
        </w:tc>
        <w:tc>
          <w:tcPr>
            <w:tcW w:w="12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80" w:type="dxa"/>
            <w:vAlign w:val="bottom"/>
          </w:tcPr>
          <w:p>
            <w:pPr>
              <w:spacing w:after="0"/>
              <w:rPr>
                <w:sz w:val="17"/>
                <w:szCs w:val="17"/>
                <w:color w:val="auto"/>
              </w:rPr>
            </w:pPr>
          </w:p>
        </w:tc>
      </w:tr>
      <w:tr>
        <w:trPr>
          <w:trHeight w:val="534"/>
        </w:trPr>
        <w:tc>
          <w:tcPr>
            <w:tcW w:w="3040" w:type="dxa"/>
            <w:vAlign w:val="bottom"/>
            <w:gridSpan w:val="3"/>
          </w:tcPr>
          <w:p>
            <w:pPr>
              <w:spacing w:after="0"/>
              <w:rPr>
                <w:sz w:val="20"/>
                <w:szCs w:val="20"/>
                <w:color w:val="auto"/>
              </w:rPr>
            </w:pPr>
            <w:r>
              <w:rPr>
                <w:rFonts w:ascii="Arial" w:cs="Arial" w:eastAsia="Arial" w:hAnsi="Arial"/>
                <w:sz w:val="18"/>
                <w:szCs w:val="18"/>
                <w:color w:val="auto"/>
              </w:rPr>
              <w:t>Martin Marietta Materials Inc.*</w:t>
            </w:r>
          </w:p>
        </w:tc>
        <w:tc>
          <w:tcPr>
            <w:tcW w:w="1240" w:type="dxa"/>
            <w:vAlign w:val="bottom"/>
          </w:tcPr>
          <w:p>
            <w:pPr>
              <w:jc w:val="center"/>
              <w:ind w:left="610"/>
              <w:spacing w:after="0"/>
              <w:rPr>
                <w:sz w:val="20"/>
                <w:szCs w:val="20"/>
                <w:color w:val="auto"/>
              </w:rPr>
            </w:pPr>
            <w:r>
              <w:rPr>
                <w:rFonts w:ascii="Arial" w:cs="Arial" w:eastAsia="Arial" w:hAnsi="Arial"/>
                <w:sz w:val="18"/>
                <w:szCs w:val="18"/>
                <w:color w:val="auto"/>
              </w:rPr>
              <w:t>MLM</w:t>
            </w:r>
          </w:p>
        </w:tc>
        <w:tc>
          <w:tcPr>
            <w:tcW w:w="7080" w:type="dxa"/>
            <w:vAlign w:val="bottom"/>
          </w:tcPr>
          <w:p>
            <w:pPr>
              <w:ind w:left="60"/>
              <w:spacing w:after="0"/>
              <w:rPr>
                <w:sz w:val="20"/>
                <w:szCs w:val="20"/>
                <w:color w:val="auto"/>
              </w:rPr>
            </w:pPr>
            <w:r>
              <w:rPr>
                <w:rFonts w:ascii="Arial" w:cs="Arial" w:eastAsia="Arial" w:hAnsi="Arial"/>
                <w:sz w:val="18"/>
                <w:szCs w:val="18"/>
                <w:color w:val="auto"/>
              </w:rPr>
              <w:t>Produces and sells aggregates for the construction industry.</w:t>
            </w:r>
          </w:p>
        </w:tc>
      </w:tr>
      <w:tr>
        <w:trPr>
          <w:trHeight w:val="324"/>
        </w:trPr>
        <w:tc>
          <w:tcPr>
            <w:tcW w:w="3040" w:type="dxa"/>
            <w:vAlign w:val="bottom"/>
            <w:gridSpan w:val="3"/>
          </w:tcPr>
          <w:p>
            <w:pPr>
              <w:spacing w:after="0"/>
              <w:rPr>
                <w:sz w:val="20"/>
                <w:szCs w:val="20"/>
                <w:color w:val="auto"/>
              </w:rPr>
            </w:pPr>
            <w:r>
              <w:rPr>
                <w:rFonts w:ascii="Arial" w:cs="Arial" w:eastAsia="Arial" w:hAnsi="Arial"/>
                <w:sz w:val="18"/>
                <w:szCs w:val="18"/>
                <w:color w:val="auto"/>
              </w:rPr>
              <w:t>Packaging Corp. of America</w:t>
            </w:r>
          </w:p>
        </w:tc>
        <w:tc>
          <w:tcPr>
            <w:tcW w:w="1240" w:type="dxa"/>
            <w:vAlign w:val="bottom"/>
          </w:tcPr>
          <w:p>
            <w:pPr>
              <w:jc w:val="center"/>
              <w:ind w:left="630"/>
              <w:spacing w:after="0"/>
              <w:rPr>
                <w:sz w:val="20"/>
                <w:szCs w:val="20"/>
                <w:color w:val="auto"/>
              </w:rPr>
            </w:pPr>
            <w:r>
              <w:rPr>
                <w:rFonts w:ascii="Arial" w:cs="Arial" w:eastAsia="Arial" w:hAnsi="Arial"/>
                <w:sz w:val="18"/>
                <w:szCs w:val="18"/>
                <w:color w:val="auto"/>
                <w:w w:val="94"/>
              </w:rPr>
              <w:t>PKG</w:t>
            </w:r>
          </w:p>
        </w:tc>
        <w:tc>
          <w:tcPr>
            <w:tcW w:w="7080" w:type="dxa"/>
            <w:vAlign w:val="bottom"/>
          </w:tcPr>
          <w:p>
            <w:pPr>
              <w:ind w:left="60"/>
              <w:spacing w:after="0"/>
              <w:rPr>
                <w:sz w:val="20"/>
                <w:szCs w:val="20"/>
                <w:color w:val="auto"/>
              </w:rPr>
            </w:pPr>
            <w:r>
              <w:rPr>
                <w:rFonts w:ascii="Arial" w:cs="Arial" w:eastAsia="Arial" w:hAnsi="Arial"/>
                <w:sz w:val="18"/>
                <w:szCs w:val="18"/>
                <w:color w:val="auto"/>
              </w:rPr>
              <w:t>Produces and sells containerboard and corrugated products.</w:t>
            </w:r>
          </w:p>
        </w:tc>
      </w:tr>
      <w:tr>
        <w:trPr>
          <w:trHeight w:val="310"/>
        </w:trPr>
        <w:tc>
          <w:tcPr>
            <w:tcW w:w="3040" w:type="dxa"/>
            <w:vAlign w:val="bottom"/>
            <w:gridSpan w:val="3"/>
          </w:tcPr>
          <w:p>
            <w:pPr>
              <w:spacing w:after="0"/>
              <w:rPr>
                <w:sz w:val="20"/>
                <w:szCs w:val="20"/>
                <w:color w:val="auto"/>
              </w:rPr>
            </w:pPr>
            <w:r>
              <w:rPr>
                <w:rFonts w:ascii="Arial" w:cs="Arial" w:eastAsia="Arial" w:hAnsi="Arial"/>
                <w:sz w:val="18"/>
                <w:szCs w:val="18"/>
                <w:color w:val="auto"/>
              </w:rPr>
              <w:t>Quaker Chemical Corporation</w:t>
            </w:r>
          </w:p>
        </w:tc>
        <w:tc>
          <w:tcPr>
            <w:tcW w:w="1240" w:type="dxa"/>
            <w:vAlign w:val="bottom"/>
          </w:tcPr>
          <w:p>
            <w:pPr>
              <w:jc w:val="center"/>
              <w:ind w:left="610"/>
              <w:spacing w:after="0"/>
              <w:rPr>
                <w:sz w:val="20"/>
                <w:szCs w:val="20"/>
                <w:color w:val="auto"/>
              </w:rPr>
            </w:pPr>
            <w:r>
              <w:rPr>
                <w:rFonts w:ascii="Arial" w:cs="Arial" w:eastAsia="Arial" w:hAnsi="Arial"/>
                <w:sz w:val="18"/>
                <w:szCs w:val="18"/>
                <w:color w:val="auto"/>
                <w:w w:val="99"/>
              </w:rPr>
              <w:t>KWR</w:t>
            </w:r>
          </w:p>
        </w:tc>
        <w:tc>
          <w:tcPr>
            <w:tcW w:w="7080" w:type="dxa"/>
            <w:vAlign w:val="bottom"/>
          </w:tcPr>
          <w:p>
            <w:pPr>
              <w:ind w:left="60"/>
              <w:spacing w:after="0"/>
              <w:rPr>
                <w:sz w:val="20"/>
                <w:szCs w:val="20"/>
                <w:color w:val="auto"/>
              </w:rPr>
            </w:pPr>
            <w:r>
              <w:rPr>
                <w:rFonts w:ascii="Arial" w:cs="Arial" w:eastAsia="Arial" w:hAnsi="Arial"/>
                <w:sz w:val="18"/>
                <w:szCs w:val="18"/>
                <w:color w:val="auto"/>
                <w:w w:val="97"/>
              </w:rPr>
              <w:t>Develops, produces and markets various formulated chemical specialty products for heavy</w:t>
            </w:r>
          </w:p>
        </w:tc>
      </w:tr>
      <w:tr>
        <w:trPr>
          <w:trHeight w:val="230"/>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80" w:type="dxa"/>
            <w:vAlign w:val="bottom"/>
          </w:tcPr>
          <w:p>
            <w:pPr>
              <w:ind w:left="60"/>
              <w:spacing w:after="0"/>
              <w:rPr>
                <w:sz w:val="20"/>
                <w:szCs w:val="20"/>
                <w:color w:val="auto"/>
              </w:rPr>
            </w:pPr>
            <w:r>
              <w:rPr>
                <w:rFonts w:ascii="Arial" w:cs="Arial" w:eastAsia="Arial" w:hAnsi="Arial"/>
                <w:sz w:val="18"/>
                <w:szCs w:val="18"/>
                <w:color w:val="auto"/>
              </w:rPr>
              <w:t>industrial and manufacturing applications worldwide.</w:t>
            </w:r>
          </w:p>
        </w:tc>
      </w:tr>
      <w:tr>
        <w:trPr>
          <w:trHeight w:val="310"/>
        </w:trPr>
        <w:tc>
          <w:tcPr>
            <w:tcW w:w="3040" w:type="dxa"/>
            <w:vAlign w:val="bottom"/>
            <w:gridSpan w:val="3"/>
          </w:tcPr>
          <w:p>
            <w:pPr>
              <w:spacing w:after="0"/>
              <w:rPr>
                <w:sz w:val="20"/>
                <w:szCs w:val="20"/>
                <w:color w:val="auto"/>
              </w:rPr>
            </w:pPr>
            <w:r>
              <w:rPr>
                <w:rFonts w:ascii="Arial" w:cs="Arial" w:eastAsia="Arial" w:hAnsi="Arial"/>
                <w:sz w:val="18"/>
                <w:szCs w:val="18"/>
                <w:color w:val="auto"/>
              </w:rPr>
              <w:t>Texas Industries Inc.*</w:t>
            </w:r>
          </w:p>
        </w:tc>
        <w:tc>
          <w:tcPr>
            <w:tcW w:w="1240" w:type="dxa"/>
            <w:vAlign w:val="bottom"/>
          </w:tcPr>
          <w:p>
            <w:pPr>
              <w:jc w:val="center"/>
              <w:ind w:left="610"/>
              <w:spacing w:after="0"/>
              <w:rPr>
                <w:sz w:val="20"/>
                <w:szCs w:val="20"/>
                <w:color w:val="auto"/>
              </w:rPr>
            </w:pPr>
            <w:r>
              <w:rPr>
                <w:rFonts w:ascii="Arial" w:cs="Arial" w:eastAsia="Arial" w:hAnsi="Arial"/>
                <w:sz w:val="18"/>
                <w:szCs w:val="18"/>
                <w:color w:val="auto"/>
              </w:rPr>
              <w:t>TXI</w:t>
            </w:r>
          </w:p>
        </w:tc>
        <w:tc>
          <w:tcPr>
            <w:tcW w:w="7080" w:type="dxa"/>
            <w:vAlign w:val="bottom"/>
          </w:tcPr>
          <w:p>
            <w:pPr>
              <w:ind w:left="60"/>
              <w:spacing w:after="0"/>
              <w:rPr>
                <w:sz w:val="20"/>
                <w:szCs w:val="20"/>
                <w:color w:val="auto"/>
              </w:rPr>
            </w:pPr>
            <w:r>
              <w:rPr>
                <w:rFonts w:ascii="Arial" w:cs="Arial" w:eastAsia="Arial" w:hAnsi="Arial"/>
                <w:sz w:val="18"/>
                <w:szCs w:val="18"/>
                <w:color w:val="auto"/>
                <w:w w:val="89"/>
              </w:rPr>
              <w:t>Manufactures and sells heavy construction materials, including cement, aggregates and consumer</w:t>
            </w:r>
          </w:p>
        </w:tc>
      </w:tr>
      <w:tr>
        <w:trPr>
          <w:trHeight w:val="230"/>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80" w:type="dxa"/>
            <w:vAlign w:val="bottom"/>
          </w:tcPr>
          <w:p>
            <w:pPr>
              <w:ind w:left="60"/>
              <w:spacing w:after="0"/>
              <w:rPr>
                <w:sz w:val="20"/>
                <w:szCs w:val="20"/>
                <w:color w:val="auto"/>
              </w:rPr>
            </w:pPr>
            <w:r>
              <w:rPr>
                <w:rFonts w:ascii="Arial" w:cs="Arial" w:eastAsia="Arial" w:hAnsi="Arial"/>
                <w:sz w:val="18"/>
                <w:szCs w:val="18"/>
                <w:color w:val="auto"/>
              </w:rPr>
              <w:t>product building materials.</w:t>
            </w:r>
          </w:p>
        </w:tc>
      </w:tr>
      <w:tr>
        <w:trPr>
          <w:trHeight w:val="324"/>
        </w:trPr>
        <w:tc>
          <w:tcPr>
            <w:tcW w:w="3040" w:type="dxa"/>
            <w:vAlign w:val="bottom"/>
            <w:gridSpan w:val="3"/>
          </w:tcPr>
          <w:p>
            <w:pPr>
              <w:spacing w:after="0"/>
              <w:rPr>
                <w:sz w:val="20"/>
                <w:szCs w:val="20"/>
                <w:color w:val="auto"/>
              </w:rPr>
            </w:pPr>
            <w:r>
              <w:rPr>
                <w:rFonts w:ascii="Arial" w:cs="Arial" w:eastAsia="Arial" w:hAnsi="Arial"/>
                <w:sz w:val="18"/>
                <w:szCs w:val="18"/>
                <w:color w:val="auto"/>
              </w:rPr>
              <w:t>USG Corporation*</w:t>
            </w:r>
          </w:p>
        </w:tc>
        <w:tc>
          <w:tcPr>
            <w:tcW w:w="1240" w:type="dxa"/>
            <w:vAlign w:val="bottom"/>
          </w:tcPr>
          <w:p>
            <w:pPr>
              <w:jc w:val="center"/>
              <w:ind w:left="630"/>
              <w:spacing w:after="0"/>
              <w:rPr>
                <w:sz w:val="20"/>
                <w:szCs w:val="20"/>
                <w:color w:val="auto"/>
              </w:rPr>
            </w:pPr>
            <w:r>
              <w:rPr>
                <w:rFonts w:ascii="Arial" w:cs="Arial" w:eastAsia="Arial" w:hAnsi="Arial"/>
                <w:sz w:val="18"/>
                <w:szCs w:val="18"/>
                <w:color w:val="auto"/>
                <w:w w:val="92"/>
              </w:rPr>
              <w:t>USG</w:t>
            </w:r>
          </w:p>
        </w:tc>
        <w:tc>
          <w:tcPr>
            <w:tcW w:w="7080" w:type="dxa"/>
            <w:vAlign w:val="bottom"/>
          </w:tcPr>
          <w:p>
            <w:pPr>
              <w:ind w:left="60"/>
              <w:spacing w:after="0"/>
              <w:rPr>
                <w:sz w:val="20"/>
                <w:szCs w:val="20"/>
                <w:color w:val="auto"/>
              </w:rPr>
            </w:pPr>
            <w:r>
              <w:rPr>
                <w:rFonts w:ascii="Arial" w:cs="Arial" w:eastAsia="Arial" w:hAnsi="Arial"/>
                <w:sz w:val="18"/>
                <w:szCs w:val="18"/>
                <w:color w:val="auto"/>
                <w:w w:val="92"/>
              </w:rPr>
              <w:t>Manufactures and distributes gypsum wallboard and a wide range of related building materials.</w:t>
            </w:r>
          </w:p>
        </w:tc>
      </w:tr>
      <w:tr>
        <w:trPr>
          <w:trHeight w:val="324"/>
        </w:trPr>
        <w:tc>
          <w:tcPr>
            <w:tcW w:w="3040" w:type="dxa"/>
            <w:vAlign w:val="bottom"/>
            <w:gridSpan w:val="3"/>
          </w:tcPr>
          <w:p>
            <w:pPr>
              <w:spacing w:after="0"/>
              <w:rPr>
                <w:sz w:val="20"/>
                <w:szCs w:val="20"/>
                <w:color w:val="auto"/>
              </w:rPr>
            </w:pPr>
            <w:r>
              <w:rPr>
                <w:rFonts w:ascii="Arial" w:cs="Arial" w:eastAsia="Arial" w:hAnsi="Arial"/>
                <w:sz w:val="18"/>
                <w:szCs w:val="18"/>
                <w:color w:val="auto"/>
              </w:rPr>
              <w:t>Vulcan Materials Company*</w:t>
            </w:r>
          </w:p>
        </w:tc>
        <w:tc>
          <w:tcPr>
            <w:tcW w:w="1240" w:type="dxa"/>
            <w:vAlign w:val="bottom"/>
          </w:tcPr>
          <w:p>
            <w:pPr>
              <w:jc w:val="center"/>
              <w:ind w:left="610"/>
              <w:spacing w:after="0"/>
              <w:rPr>
                <w:sz w:val="20"/>
                <w:szCs w:val="20"/>
                <w:color w:val="auto"/>
              </w:rPr>
            </w:pPr>
            <w:r>
              <w:rPr>
                <w:rFonts w:ascii="Arial" w:cs="Arial" w:eastAsia="Arial" w:hAnsi="Arial"/>
                <w:sz w:val="18"/>
                <w:szCs w:val="18"/>
                <w:color w:val="auto"/>
              </w:rPr>
              <w:t>VMC</w:t>
            </w:r>
          </w:p>
        </w:tc>
        <w:tc>
          <w:tcPr>
            <w:tcW w:w="7080" w:type="dxa"/>
            <w:vAlign w:val="bottom"/>
          </w:tcPr>
          <w:p>
            <w:pPr>
              <w:ind w:left="60"/>
              <w:spacing w:after="0"/>
              <w:rPr>
                <w:sz w:val="20"/>
                <w:szCs w:val="20"/>
                <w:color w:val="auto"/>
              </w:rPr>
            </w:pPr>
            <w:r>
              <w:rPr>
                <w:rFonts w:ascii="Arial" w:cs="Arial" w:eastAsia="Arial" w:hAnsi="Arial"/>
                <w:sz w:val="18"/>
                <w:szCs w:val="18"/>
                <w:color w:val="auto"/>
              </w:rPr>
              <w:t>Produces and sells construction aggregates: primarily crushed stone, sand and gravel.</w:t>
            </w:r>
          </w:p>
        </w:tc>
      </w:tr>
      <w:tr>
        <w:trPr>
          <w:trHeight w:val="135"/>
        </w:trPr>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080" w:type="dxa"/>
            <w:vAlign w:val="bottom"/>
          </w:tcPr>
          <w:p>
            <w:pPr>
              <w:spacing w:after="0"/>
              <w:rPr>
                <w:sz w:val="11"/>
                <w:szCs w:val="11"/>
                <w:color w:val="auto"/>
              </w:rPr>
            </w:pPr>
          </w:p>
        </w:tc>
      </w:tr>
      <w:tr>
        <w:trPr>
          <w:trHeight w:val="250"/>
        </w:trPr>
        <w:tc>
          <w:tcPr>
            <w:tcW w:w="3040" w:type="dxa"/>
            <w:vAlign w:val="bottom"/>
            <w:gridSpan w:val="3"/>
          </w:tcPr>
          <w:p>
            <w:pPr>
              <w:spacing w:after="0"/>
              <w:rPr>
                <w:sz w:val="20"/>
                <w:szCs w:val="20"/>
                <w:color w:val="auto"/>
              </w:rPr>
            </w:pPr>
            <w:r>
              <w:rPr>
                <w:rFonts w:ascii="Arial" w:cs="Arial" w:eastAsia="Arial" w:hAnsi="Arial"/>
                <w:sz w:val="18"/>
                <w:szCs w:val="18"/>
                <w:color w:val="auto"/>
              </w:rPr>
              <w:t>*  Direct peer.</w:t>
            </w:r>
          </w:p>
        </w:tc>
        <w:tc>
          <w:tcPr>
            <w:tcW w:w="1240" w:type="dxa"/>
            <w:vAlign w:val="bottom"/>
          </w:tcPr>
          <w:p>
            <w:pPr>
              <w:spacing w:after="0"/>
              <w:rPr>
                <w:sz w:val="21"/>
                <w:szCs w:val="21"/>
                <w:color w:val="auto"/>
              </w:rPr>
            </w:pPr>
          </w:p>
        </w:tc>
        <w:tc>
          <w:tcPr>
            <w:tcW w:w="7080" w:type="dxa"/>
            <w:vAlign w:val="bottom"/>
          </w:tcPr>
          <w:p>
            <w:pPr>
              <w:spacing w:after="0"/>
              <w:rPr>
                <w:sz w:val="21"/>
                <w:szCs w:val="21"/>
                <w:color w:val="auto"/>
              </w:rPr>
            </w:pPr>
          </w:p>
        </w:tc>
      </w:tr>
    </w:tbl>
    <w:p>
      <w:pPr>
        <w:spacing w:after="0" w:line="202"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This peer group includes four domestic public company competitors, which we refer to as our “direct peers.” None of the direct peer companies operates in all of our segments, however. The other companies listed above are referred to as our “supplemental peers” and include companies in related industries. We refer to our direct peers and our supplemental peers together as our “compensation peers.”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L&amp;A delivered its compensation peer analysis report to the Compensation Committee in March 2014, utilizing trailing 12 months financials for revenue, assets and net income as of March 19, 2014, and market capitalization and enterprise value as of March 19, 2014. The Company’s ranking in each of the categories utilized by L&amp;A was as follows: revenue (27</w:t>
      </w:r>
      <w:r>
        <w:rPr>
          <w:rFonts w:ascii="Arial" w:cs="Arial" w:eastAsia="Arial" w:hAnsi="Arial"/>
          <w:sz w:val="15"/>
          <w:szCs w:val="15"/>
          <w:color w:val="auto"/>
        </w:rPr>
        <w:t>th</w:t>
      </w:r>
      <w:r>
        <w:rPr>
          <w:rFonts w:ascii="Arial" w:cs="Arial" w:eastAsia="Arial" w:hAnsi="Arial"/>
          <w:sz w:val="18"/>
          <w:szCs w:val="18"/>
          <w:color w:val="auto"/>
        </w:rPr>
        <w:t xml:space="preserve"> percentile); assets (32</w:t>
      </w:r>
      <w:r>
        <w:rPr>
          <w:rFonts w:ascii="Arial" w:cs="Arial" w:eastAsia="Arial" w:hAnsi="Arial"/>
          <w:sz w:val="15"/>
          <w:szCs w:val="15"/>
          <w:color w:val="auto"/>
        </w:rPr>
        <w:t>nd</w:t>
      </w:r>
      <w:r>
        <w:rPr>
          <w:rFonts w:ascii="Arial" w:cs="Arial" w:eastAsia="Arial" w:hAnsi="Arial"/>
          <w:sz w:val="18"/>
          <w:szCs w:val="18"/>
          <w:color w:val="auto"/>
        </w:rPr>
        <w:t xml:space="preserve"> percentile); net income (69</w:t>
      </w:r>
      <w:r>
        <w:rPr>
          <w:rFonts w:ascii="Arial" w:cs="Arial" w:eastAsia="Arial" w:hAnsi="Arial"/>
          <w:sz w:val="15"/>
          <w:szCs w:val="15"/>
          <w:color w:val="auto"/>
        </w:rPr>
        <w:t>th</w:t>
      </w:r>
      <w:r>
        <w:rPr>
          <w:rFonts w:ascii="Arial" w:cs="Arial" w:eastAsia="Arial" w:hAnsi="Arial"/>
          <w:sz w:val="18"/>
          <w:szCs w:val="18"/>
          <w:color w:val="auto"/>
        </w:rPr>
        <w:t xml:space="preserve"> percentile); market capitalization (62</w:t>
      </w:r>
      <w:r>
        <w:rPr>
          <w:rFonts w:ascii="Arial" w:cs="Arial" w:eastAsia="Arial" w:hAnsi="Arial"/>
          <w:sz w:val="15"/>
          <w:szCs w:val="15"/>
          <w:color w:val="auto"/>
        </w:rPr>
        <w:t>nd</w:t>
      </w:r>
      <w:r>
        <w:rPr>
          <w:rFonts w:ascii="Arial" w:cs="Arial" w:eastAsia="Arial" w:hAnsi="Arial"/>
          <w:sz w:val="18"/>
          <w:szCs w:val="18"/>
          <w:color w:val="auto"/>
        </w:rPr>
        <w:t xml:space="preserve"> percentile); enterprise value (58</w:t>
      </w:r>
      <w:r>
        <w:rPr>
          <w:rFonts w:ascii="Arial" w:cs="Arial" w:eastAsia="Arial" w:hAnsi="Arial"/>
          <w:sz w:val="15"/>
          <w:szCs w:val="15"/>
          <w:color w:val="auto"/>
        </w:rPr>
        <w:t>th</w:t>
      </w:r>
      <w:r>
        <w:rPr>
          <w:rFonts w:ascii="Arial" w:cs="Arial" w:eastAsia="Arial" w:hAnsi="Arial"/>
          <w:sz w:val="18"/>
          <w:szCs w:val="18"/>
          <w:color w:val="auto"/>
        </w:rPr>
        <w:t xml:space="preserve"> percentile); and EBITDA (41</w:t>
      </w:r>
      <w:r>
        <w:rPr>
          <w:rFonts w:ascii="Arial" w:cs="Arial" w:eastAsia="Arial" w:hAnsi="Arial"/>
          <w:sz w:val="15"/>
          <w:szCs w:val="15"/>
          <w:color w:val="auto"/>
        </w:rPr>
        <w:t>st</w:t>
      </w:r>
      <w:r>
        <w:rPr>
          <w:rFonts w:ascii="Arial" w:cs="Arial" w:eastAsia="Arial" w:hAnsi="Arial"/>
          <w:sz w:val="18"/>
          <w:szCs w:val="18"/>
          <w:color w:val="auto"/>
        </w:rPr>
        <w:t xml:space="preserve"> percentile). Overall, the Company ranked at the 48</w:t>
      </w:r>
      <w:r>
        <w:rPr>
          <w:rFonts w:ascii="Arial" w:cs="Arial" w:eastAsia="Arial" w:hAnsi="Arial"/>
          <w:sz w:val="15"/>
          <w:szCs w:val="15"/>
          <w:color w:val="auto"/>
        </w:rPr>
        <w:t>th</w:t>
      </w:r>
      <w:r>
        <w:rPr>
          <w:rFonts w:ascii="Arial" w:cs="Arial" w:eastAsia="Arial" w:hAnsi="Arial"/>
          <w:sz w:val="18"/>
          <w:szCs w:val="18"/>
          <w:color w:val="auto"/>
        </w:rPr>
        <w:t xml:space="preserve"> percentile on average across the six financial measures.</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are dissimilar to ours. Additionally, if the institutional shareholder advisor constructs a peer group based solely on revenues, the resulting peer group can create a poor fit for two reasons. First, because of accounting rules we are unable to include our 50/50 Texas Lehigh joint venture’s revenues in our revenue line item—we instead account for that entity in a separate line item valuing the equity interest in an unconsolidated joint venture. Our revenue is, in effect, understated. Second, in our industry, with large up-front capital projects, we believe that cash flow and earnings are more important than revenues when evaluating peers. For these reasons and in light of the peer analysis described above, we believe that the compensation peer group identified by our Compensation Committee for fiscal 2015 provides a more appropriate and meaningful basis for assessing our executive compensation.</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Peers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Because Eagle Materials operates in highly cyclical industries, the Compensation Committee believes that reviewing our performance relative to our industry peers is a critical consideration when evaluating management performance. Such peer comparisons help to distinguish the effects of management performance from the more general effects of business cycle trends, thereby providing important information bearing on management rewards. This peer group, which we refer to as our “industry peers,” was constructed by L&amp;A with input from management and is comprised of the direct peers noted above, plus the following international industry participants: Titan Cement Co. S.A., CRH plc, Buzzi Unicem S.p.A., Holcim Ltd., HeidelbergCement AG, Lafarge S.A., Cementos Bio-Bio S.A., Cementos Portland Valderrivas S.A., Cemex S.A.B. de C.V., Italcementi S.p.A., Cementos Argos S.A., and Headwaters Incorporated. In May 2014, L&amp;A presented the Compensation Committee with the Company’s performance results against this industry peer group as part of its compensation decision-making. The Compensation Committee reviewed the Company’s performance in the following 19 categories, in each case against the entire industry peer group (all measures were trailing 12 months as of May 15, 2014, except for total stockholder return, which was based on the periods ending on March 31, 2014, our fiscal year-end):</w:t>
      </w:r>
    </w:p>
    <w:p>
      <w:pPr>
        <w:spacing w:after="0" w:line="83"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growth (five-, three- and one-year)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growth (five-, three- and one-year)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Return on equity (five- and three-year)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Return on assets (five- and three-year)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46"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Return on total capital (ten-, five- and three-year)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stockholder return (twenty-, ten-, five-, three- and one-year)</w:t>
      </w:r>
    </w:p>
    <w:p>
      <w:pPr>
        <w:spacing w:after="0" w:line="22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The Company outperformed all of the industry peer group in 12 of the 19 categories and was above the 75</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percentile in all remaining categories. </w:t>
      </w:r>
      <w:r>
        <w:rPr>
          <w:rFonts w:ascii="Arial" w:cs="Arial" w:eastAsia="Arial" w:hAnsi="Arial"/>
          <w:sz w:val="16"/>
          <w:szCs w:val="16"/>
          <w:color w:val="auto"/>
        </w:rPr>
        <w:t>The Compensation Committee used the survey of the compensation peer group prepared by L&amp;A, which we refer to as our compensation study, and the performance comparisons to the industry peers prepared by L&amp;A, which we refer to as our industry performance study, as reference points in establishing the main components of Named Executive Officer compensation: salaries, annual incentive bonus opportunity and long-term compensation awards.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Named Executive Officer Compensation and Benefits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Effective December 1, 2014, the Company appointed Michael Haack as the Company’s Executive Vice President and Chief Operating Officer, a newly created position in response to the Company’s significant growth and continued strategic expansion in construction and energy-related markets. Mr. Haack was formerly Global Operations Manager at Halliburton Company’s Sperry Drilling division. Mr. Haack’s compensation package includes:</w:t>
      </w:r>
    </w:p>
    <w:p>
      <w:pPr>
        <w:spacing w:after="0" w:line="71" w:lineRule="exact"/>
        <w:rPr>
          <w:sz w:val="20"/>
          <w:szCs w:val="20"/>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initial base salary of $500,000 per year.</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bonus potential targeted at 100% of annual base salary (with a potential range of 0 to 200% of annual base salary) based on the achievement of individual performance goals and the Company’s financial results.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cash signing bonus of $150,000.</w:t>
      </w:r>
    </w:p>
    <w:p>
      <w:pPr>
        <w:spacing w:after="0" w:line="130"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long-term grant of (i) 10,000 shares of restricted stock, which will vest ratably over 5 years; and (ii) 50,000 stock options, which will vest ratably over 5 years.</w:t>
      </w:r>
    </w:p>
    <w:p>
      <w:pPr>
        <w:spacing w:after="0" w:line="75"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will pay for Mr. Haack’s expenses to relocate to Dallas from Houston, as well as his temporary living expenses in Dallas during a reasonable transition period.</w:t>
      </w:r>
    </w:p>
    <w:p>
      <w:pPr>
        <w:spacing w:after="0" w:line="75" w:lineRule="exact"/>
        <w:rPr>
          <w:rFonts w:ascii="Arial" w:cs="Arial" w:eastAsia="Arial" w:hAnsi="Arial"/>
          <w:sz w:val="18"/>
          <w:szCs w:val="18"/>
          <w:color w:val="auto"/>
        </w:rPr>
      </w:pPr>
    </w:p>
    <w:p>
      <w:pPr>
        <w:ind w:left="1460" w:right="80" w:hanging="547"/>
        <w:spacing w:after="0" w:line="286" w:lineRule="auto"/>
        <w:tabs>
          <w:tab w:leader="none" w:pos="1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addition to the other benefits described below (salary continuation plan, etc.), Mr. Haack will also be entitled to receive a payment of $1,000,000 if his employment is involuntarily terminated by the Company before the first anniversary of his start date, or $500,000 if his employment is involuntarily terminated by the Company between the first and second anniversary dates.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November 2014, in connection with the hiring of Mr. Haack, the Compensation Committee approved Mr. Haack’s total compensation package outlined above. The Committee’s objective was to provide a total competitive compensation package sufficient to attract and retain him while at the same time integrating him into, and maintaining consistency with, the Company’s existing compensation structure. L&amp;A provided the Compensation Committee with market information from the compensation peer group for Mr. Haack’s position. This information was used to inform, not dictate, the Compensation Committee’s decision regarding Mr. Haack’s compensation. Ultimately, the pay levels and equity awards reflected in Mr. Haack’s package were, in the Compensation Committee’s judgment and based upon available information, a competitive pay package for Mr. Haack’s position and experience and were not targeted or benchmarked at any particular level.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to the health benefit plans and programs generally available to all employees, our executive compensation program includes the following elements:</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Salary continuation plan</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Salaries of the Named Executive Officers are reviewed annually as well as at the time of a promotion or significant change in responsibilities. As described above, the Compensation Committee engaged L&amp;A to conduct the compensation study at the beginning of fiscal 2015. The Named Executive Officer base salaries for fiscal 2014 (which was the data reviewed in the L&amp;A compensation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study) were on average aligned with the median of the salary levels for the equivalent positions at the companies reviewed in the compensation peer group in the compensation study. The fiscal 2015 base salaries for the Named Executive Officers were set as follows: Mr. Rowley - $912,000; Mr. Kesler - $363,000; Mr. Essl - $386,000; and Mr. Powers - $386,000. Considerations that may influence the salary level for a Named Executive Officer include individual performance, the Named Executive Officer’s skills or experience, our operating performance and the nature and responsibilities of the position. Following the base salary adjustments, the salaries of the Named Executive Officers were, on average, between the median and the 75</w:t>
      </w:r>
      <w:r>
        <w:rPr>
          <w:rFonts w:ascii="Arial" w:cs="Arial" w:eastAsia="Arial" w:hAnsi="Arial"/>
          <w:sz w:val="15"/>
          <w:szCs w:val="15"/>
          <w:color w:val="auto"/>
        </w:rPr>
        <w:t>th</w:t>
      </w:r>
      <w:r>
        <w:rPr>
          <w:rFonts w:ascii="Arial" w:cs="Arial" w:eastAsia="Arial" w:hAnsi="Arial"/>
          <w:sz w:val="18"/>
          <w:szCs w:val="18"/>
          <w:color w:val="auto"/>
        </w:rPr>
        <w:t xml:space="preserve"> percentile of the L&amp;A compensation study.</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Annual Incentive Bonus</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Compensation Committee is responsible for approving the annual incentive bonus for our CEO and the other Named Executive Officers. Annual incentive bonuses paid to our Named Executive Officers for fiscal 2015 were made under (1) the Eagle Materials Inc. Salaried Incentive Compensation Program for Fiscal Year 2015, which we refer to as the Eagle Annual Incentive Program, (2) annual incentive compensation programs for fiscal 2015 established for particular operating divisions of the Company, which we refer to as Divisional Annual Incentive Bonus Programs, and (3) the Eagle Materials Inc. Special Situation Program for Fiscal Year 2015, which we refer to as the SSP. In general, the Named Executive Officers whose responsibilities extend to the Company as a whole (Messrs. Rowley and Kesler) participate in the Eagle Annual Incentive Program, and the Named Executive Officers whose responsibilities relate primarily to a particular operating division (Messrs. Essl and Powers) participate in relevant Divisional Annual Incentive Bonus Programs. All of our Named Executive Officers are eligible to participate in the SSP. These incentive programs were structured to create financial incentives and rewards that are directly related to corporate performance and the participating Named Executive Officer’s individual performance during the fiscal year.</w:t>
      </w:r>
    </w:p>
    <w:p>
      <w:pPr>
        <w:spacing w:after="0" w:line="16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Compensation Committee believes these programs are consistent with our compensation philosophy in that they place a significant portion of the executive’s compensation “at risk.” Generally, under these programs, a significant portion of the executive’s total compensation is dependent upon the performance of the Company (or our operating divisions) as well as the individual’s performance. The Company’s annual incentive bonus programs also reflect the Committee’s philosophy of aligning the interests of our executives with those of the shareholders. These programs create this alignment by providing that an officer’s annual bonus potential varies directly with our operating earnings (in the case of the Eagle Annual Incentive Plan) or the operating earnings of a division (in the case of a Divisional Annual Incentive Bonus Program). Although individual performance and achievement of goals (as discussed in more detail below under “Annual Performance Evaluation”) affect the actual incentive bonus amount, our programs are structured in such a way that the executive officer’s incentive bonus potential can vary considerably as operating earnings change from year to year.</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Mr. Haack did not participate in the above programs in fiscal 2015, having joined the Company in December 2014. See “New Named Executive Officer Compensation and Benefits” above.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For fiscal 2015, Messrs. Rowley and Kesler were participants in the Eagle Annual Incentive Program. Under this program, during the first quarter of each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his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spacing w:after="0" w:line="17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first quarter of fiscal 2015, the Compensation Committee approved the designation of 1.35% of annual operating earnings for annual incentive bonuses for all executives participating in the Eagle Annual Incentive Program, including the Named Executive Officers. The Committee believes that operating earnings is an appropriate measurement for annual incentive bonuses because this measure is tied more closely to operations. The bonus pool is not subject to a separate cap or maximum, but is merely a function of multiplying the pre-determined percentage by our operating earnings for the applicable fiscal year. At the end of fiscal 2015, the Compensation Committee determined that the aggregate amount available for the Eagle Annual Incentive Program for fiscal 2015 was $3,573,041. This pool amount was not quantifiable until the end of fiscal 2015 and includes amounts available for payment to officers and employees other than the Named Executive Officers.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w:t>
      </w:r>
    </w:p>
    <w:p>
      <w:pPr>
        <w:spacing w:after="0" w:line="16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May 2014, the Compensation Committee set the annual incentive bonus potential for the participants in the Eagle Annual Incentive Program. In allocating the pool, the Compensation Committee did not rely on mathematical formulas or apply any specific quantitative performance measures. Rather, the Compensation Committee’s determination was based on the amount of annual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incentive bonus compensation payable to executives in other companies who fulfill similar roles as illustrated in the compensation study prepared by L&amp;A and the share of the pool historically allocated to officers in such roles by the Company, Mr. Rowley’s recommendation for each participant (other than himself), as well as the Compensation Committee’s assessment of the executive’s importance and contribution to the organization, the executive’s importance in driving the achievement of Company goals and profitability, and the executive’s level of responsibility. The Compensation Committee set the bonus potential for the Named Executive Officers as follows:</w:t>
      </w:r>
    </w:p>
    <w:p>
      <w:pPr>
        <w:spacing w:after="0" w:line="9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Rowley’s annual incentive bonus potential was set at 40% of the bonus pool.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Kesler’s annual incentive bonus potential was set at 16% of the bonus pool.</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Divisional Annual Incentive Bonus Programs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During fiscal 2015, each of Messrs. Essl and Powers participated in a Divisional Annual Incentive Bonus Program. Under these programs, a percentage of a division’s operating earnings is allocated to the bonus pool and each participating employee is assigned a share of the pool, representing the employee’s maximum bonus opportunity. At the end of the fiscal year, the size of the pool is determined and annual bonuses are paid to participating employees in the form of a lump sum cash payment in accordance with their shares of the pool, subject to the exercise of negative discretion by our CEO (or, in the case of bonuses paid to Named Executive Officers, the Compensation Committee) based on the employee’s individual performance during the fiscal year.</w:t>
      </w:r>
    </w:p>
    <w:p>
      <w:pPr>
        <w:spacing w:after="0" w:line="15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Because of his responsibilities for our Cement and Concrete and Aggregates operations, Mr. Essl participated in both the Eagle Materials Inc. Cement Companies Salaried Incentive Compensation Program for Fiscal Year 2015 and the Eagle Materials Inc. Concrete and Aggregates Companies Incentive Compensation Program for Fiscal Year 2015. Under these programs, the bonus pools equaled 2.25% of each of our concrete and aggregates subsidiaries’ operating earnings for fiscal 2015 and 2.25% of each of our cement subsidiaries’ operating earnings for fiscal 2015 (or, in the case of our 50% owned cement joint venture, 2.25% of our portion of that entity’s operating earnings for fiscal 2015), which in each case is also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7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For fiscal 2015, Mr. Powers participated in the Eagle Materials Inc. American Gypsum Company Salaried Incentive Compensation Program for Fiscal Year 2015. Under this program, the bonus pool equaled 2.25% of American Gypsum’s operating earnings for fiscal 2015, which is the same percentage the Compensation Committee has set for several years. In deciding to keep the percentage of operating earnings which would fund these bonus pools the same as the prior year, the Compensation Committee considered several factors, including our compensation philosophy that a significant portion of the executive’s compensation should be “at risk” and subject to the Company’s success (level of earnings).</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divisional bonus pools are not subject to a separate cap or maximum, but are merely a function of multiplying the pre-determined percentage by the applicable operating earnings for the applicable fiscal year. The aggregate amounts available for these programs for fiscal 2015 were as follows: $1,677,236 (Cement); $188,822 (Concrete and Aggregates); and $3,334,795 (American Gypsum); which in each case was not quantifiable until the end of fiscal 2015 and includes amounts available for payment to officers and employees other than the Named Executive Officers. For comparison purposes, the equivalent amounts in fiscal 2014 were $1,223,219 (Cement); $50,863 (Concrete and Aggregates); and $2,632,412 (American Gypsum); and in fiscal 2007 (record earnings year) the available pools were $1,347,374 (Cement); $385,390 (Concrete and Aggregates); and $4,581,079 (American Gypsum).</w:t>
      </w:r>
    </w:p>
    <w:p>
      <w:pPr>
        <w:spacing w:after="0" w:line="16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May 2014, the Compensation Committee set the annual incentive bonus potential for Messrs. Essl and Powers under these Divisional Annual Incentive Bonus Programs. In determining their respective allocation of the pools, the Compensation Committee did not rely on mathematical formulas or apply any specific quantitative performance measures. Rather, the Compensation Committee’s determination took into consideration Mr. Rowley’s recommendation, the amount of annual incentive bonus compensation payable to executives in other companies who fulfill similar roles as illustrated in the compensation study prepared by L&amp;A, the portion of the pools historically allocated to their respective positions and the Compensation Committee’s assessment of their importance and contribution to their respective divisions’ performance, their importance as an officer within their respective divisions in driving the achievement of divisional goals and profitability and their respective levels of responsibility. The Compensation Committee set Mr. Essl’s annual incentive bonus potential at 20% of his divisional bonus pools, plus an amount equal to 20% of 2.25% of our half of Texas Lehigh’s fiscal 2015 operating earnings, and the Compensation Committee set Mr. Powers’s incentive bonus potential at 20% of his divisional bonus pool.</w:t>
      </w:r>
    </w:p>
    <w:p>
      <w:pPr>
        <w:sectPr>
          <w:pgSz w:w="11900" w:h="16838" w:orient="portrait"/>
          <w:cols w:equalWidth="0" w:num="1">
            <w:col w:w="11420"/>
          </w:cols>
          <w:pgMar w:left="240" w:top="459"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i w:val="1"/>
          <w:iCs w:val="1"/>
          <w:u w:val="single" w:color="auto"/>
          <w:color w:val="auto"/>
        </w:rPr>
        <w:t>Fiscal 2015 Special Situation Program</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first quarter of fiscal 2015 (May 2014), the Compensation Committee approved the SSP, which is a special annual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without limitation instances where an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25"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individual’s compensation has been adversely affected by market conditions such as a cyclical downturn or in recognition of transactions and events not contemplated at the time the Compensation Committee set compensation for the applicable year; provided, that awards to executive officers require Compensation Committee approval. Awards under the SSP are not predetermined for any individuals at the beginning of the fiscal year. All full-time employees of Eagle Materials Inc. or any of our subsidiaries are eligible to receive awards under this program. At the beginning of fiscal 2015, the Compensation Committee determined that 0.35% of our operating earnings for the ensuing fiscal year would fund the SSP, along with the portions of Eagle and subsidiary incentive compensation plans and subsidiary long-term cash compensation plans not paid out. In setting the percentage of operating earnings which would fund the SSP, the Compensation Committee considered several factors, including the anticipated operating earnings for fiscal 2015.</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Approving the Annual Incentive Bonus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2015, the Compensation Committee approved the incentive bonus pools for fiscal 2015 for the Company and each Divisional Annual Incentive Bonus Program. In addition, at the end of fiscal 2015, Mr. Rowley provided performance evaluations of each Named Executive Officer (other than himself) to the Compensation Committee, which evaluations included an assessment (both subjective and objective) of the achievement of their individual goals and objectives, along with his recommendation for the annual incentive bonus for each such Named Executive Officer. With respect to Mr. Rowley himself, the Compensation Committee, with input from the entire Board, performed its own evaluation of his performance and the extent to which the goals and objectives established for him for fiscal 2015 had been achieved.</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Rowley</w:t>
      </w:r>
    </w:p>
    <w:p>
      <w:pPr>
        <w:spacing w:after="0" w:line="117"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Mr. Rowley’s goals and objectives for fiscal 2015 (none of which were quantitative) related to: operational execution; financial execution; maintaining effective communication with our Board; maintaining the Company’s ability to execute its operating strategy; executing the Company’s investor relations strategy; and continuing development and execution of the Company’s long-term business strategy. At the end of fiscal 2015, the Compensation Committee conducted its performance evaluation of Mr. Rowley after receiving input from the entire Board. Mr. Rowley also provided input on his achievement of his goals and objectives for fiscal 2015 under the Eagle Annual Incentive Program. Based on this evaluation, the Compensation Committee believes Mr. Rowley performed at a high level during fiscal 2015 and met or exceeded his goals and objectives. That evaluation resulted in Mr. Rowley receiving 100% of his bonus potential for fiscal 2015. The Compensation Committee approved an annual incentive bonus for Mr. Rowley under the Eagle Annual Incentive Program of $1,429,216, which is reflected in the “Non-Equity Incentive Plan Compensation” column of the Summary Compensation Table located on page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36 of this proxy statement. In making this determination, the Compensation Committee did not apply specific quantitative performance measures or assign a specific weight to any of the above goals. Rather, the Compensation Committee used its judgment to determine the appropriate award level after consideration of Mr. Rowley’s performance in the following areas (among others) over the past fiscal year:</w:t>
      </w:r>
    </w:p>
    <w:p>
      <w:pPr>
        <w:spacing w:after="0" w:line="9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Rowley’s leadership in pursuing strategic growth opportunities, including the acquisition of CRS Proppants;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Rowley’s success in driving management’s continuing focus on maintaining a healthy balance sheet and prudent use of debt;</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Rowley’s leadership in maintaining the Company’s focus on continual operating improvements which drove operating profits near record highs;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Rowley’s recruitment of a chief operating officer and ongoing development of the senior leadership team; and</w:t>
      </w:r>
    </w:p>
    <w:p>
      <w:pPr>
        <w:spacing w:after="0" w:line="130" w:lineRule="exact"/>
        <w:rPr>
          <w:rFonts w:ascii="Arial" w:cs="Arial" w:eastAsia="Arial" w:hAnsi="Arial"/>
          <w:sz w:val="18"/>
          <w:szCs w:val="18"/>
          <w:color w:val="auto"/>
        </w:rPr>
      </w:pPr>
    </w:p>
    <w:p>
      <w:pPr>
        <w:ind w:left="900" w:right="300" w:hanging="446"/>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Rowley’s leadership based on a detailed knowledge of all aspects of the business, and demonstration of a hands-on leadership style on the most important matters requiring his attention, balanced with appropriate delegation of responsibilities in Eagle’s decentralized organization.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Kesler</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At the end of fiscal 2015, Mr. Rowley reviewed Mr. Kesler’s performance, finding that Mr. Kesler had achieved his goals during the fiscal year. Based in part on this review, the Compensation Committee determined that Mr. Kesler had met his goals and awarded Mr. Kesler 100% of his incentive bonus potential, approving an annual incentive bonus for Mr. Kesler under the Eagle Annual Incentive Program of $561,687, which is reflected in the “Non-Equity Incentive Plan Compensation” column of the Summary Compensation Table located on page 36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Kesler’s performance and his achievement of the following factors related to his goals and objectives: Mr. Kesler’s timely and effective completion and communication of required financial planning and analysis; his assistance in continuing to develop the Company’s investor relations strategy and participation in industry-related investor conferences; his participation in evaluation of strategic growth opportunities for the Company; and his oversight of the Company’s IT department.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Haack</w:t>
      </w:r>
    </w:p>
    <w:p>
      <w:pPr>
        <w:spacing w:after="0" w:line="11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Mr. Haack joined the Company in December 2014. Mr. Rowley established goals and objectives for Mr. Haack for fiscal 2015. At the end of fiscal 2015, Mr. Rowley reviewed Mr. Haack’s performance, finding that Mr. Haack had performed exceptionally well and achieved his goals during the fiscal year. Based in part on this review and the Company’s financial results, the Compensation Committee determined that Mr. Haack had met his goals and awarded Mr. Haack a bonus of 150% of his annual base pay, prorated for the portion of the fiscal year in which he was employed by the Company, or $250,000, which is reflected in the “Bonus” column of the Summary Compensation Table located on page 36 of this proxy statement. In making this determination, the Compensation Committee used its judgment to determine the appropriate award level after taking into consideration Mr. Rowley’s input regarding</w:t>
      </w:r>
    </w:p>
    <w:p>
      <w:pPr>
        <w:spacing w:after="0" w:line="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Mr. Haack’s performance and his achievement of the following factors related to the following: Mr. Haack’s deep immersion in the various Eagle business units as part of his development program at Eagle has proceeded exceptionally well, and additionally, Mr. Haack’s negotiation of key customer contracts for our frac sand business has added value to the Company.</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Essl</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the end of fiscal 2015, Mr. Rowley reviewed Mr. Essl’s performance. Based in part on this review, the Compensation Committee awarded Mr. Essl 100% of his incentive bonus potential and approved an annual incentive bonus for Mr. Essl under the Eagle Materials Inc. Cement Companies Salaried Incentive Compensation Program for Fiscal Year 2015 and the Eagle Materials Inc. Concrete and Aggregate Companies Incentive Compensation Program for Fiscal Year 2015 of $575,843, which is reflected in the “Non-Equity Incentive Plan Compensation” column of the Summary Compensation Table located on page 36 of this proxy statement. In making this determination, the Compensation Committee did not rely on mathematical formulas or assign any specific weights to his goals and objectives. The Committee used its judgment to determine the appropriate award level after taking into consideration Mr. Rowley’s input regarding Mr. Essl’s performance and his achievement of the following factors related to his goals and objectives: Mr. Essl’s maintenance of a stringent capital project review process; driving the execution of the Company’s operational execution of short-term and long-term strategies; maintaining the emphasis on low-cost production at all cement, concrete and aggregates companies; and his effective involvement with various marketing and sales efforts.</w:t>
      </w:r>
    </w:p>
    <w:p>
      <w:pPr>
        <w:spacing w:after="0" w:line="16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In addition, in November 2014, the Compensation Committee approved a cash award under the SSP to Mr. Essl in the amount of $500,000. In making this discretionary award to Mr. Essl, the Compensation Committee did not apply any specific quantitative performance measures. The Compensation Committee’s determination took into consideration the recommendation of Mr. Rowley and Mr. Essl’s significant work over the past four years in creating and developing the Company’s frac sand business, including providing leadership and hands-on development of the business from inception to a commercially viable business with required operating facilities, logistics networks, customer contracts and revenues. The Committee noted that Mr. Essl accomplished all of this in addition to his ongoing responsibilities without additional compensation. The SSP cash award to Mr. Essl is reflected in the “Bonus” column of the Summary Compensation Table located on page 36 of this proxy statement.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Powers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At the end of fiscal 2015, Mr. Rowley reviewed Mr. Powers’s performance. Based in part on this review, the Compensation Committee awarded Mr. Powers 98% of his incentive bonus potential and approved an annual incentive bonus for Mr. Powers under the American Gypsum Salaried Incentive Compensation Program for Fiscal Year 2015 of $653,620, which is reflected in the “Non-Equity Incentive Plan Compensation” column of the Summary Compensation Table located on page 36 of this proxy statement. In making this determination with regard to the non-quantitative portion of the goals, the Compensation Committee did not rely on mathematical formulas or assign any specific weights to his goals and objectives. The Committee used its judgment to determine the appropriate award level after taking into consideration Mr. Rowley’s input regarding Mr. Powers’s performance and his achievement of the following factors related to his goals and objectives: his achievement of targets related to safety, mill net, operating profit, waste, and product sales; his execution of American Gypsum’s long-term strategy; his successful sales and marketing efforts with customers; and his participation in various environmental and energy efficiency groups.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Long-Term Incentive Compensation</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Consistent with the Compensation Committee’s philosophy of linking compensation to our performance, all of our long-term incentive compensation program for fiscal 2015 has been structured to link the vesting of equity awards to the achievement by the Company of specific performance levels. To enhance retention of key employees, once earned, the performance awards contain a further time-vesting component.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Burn Rate</w:t>
      </w:r>
    </w:p>
    <w:p>
      <w:pPr>
        <w:spacing w:after="0" w:line="117"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7"/>
          <w:szCs w:val="17"/>
          <w:color w:val="auto"/>
        </w:rPr>
        <w:t>Our three-year average burn rate (a measure of historical dilution) is well below our industry norms. The Company’s three-year average burn rate (which is based on the number of awards granted—or, in the case of performance awards, awards earned—in each fiscal year, divided by the weighted-average common shares outstanding for such fiscal year) is 1.19%. The 2015 cap for our industry published by ISS is 2.91%.</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117"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All of the Named Executive Officers participate in our long-term incentive compensation program. In fiscal 2015,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54"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In addition, the Compensation Committee, as provided in our Incentive Plan, has delegated to the Special Situation Stock Option Committee (whose sole member is our CEO) the authority to grant stock options to newly-hired employees and newly-promoted employees, under terms set by the Compensation Committee. This authority for fiscal 2016, which expires on May 31, 2016, is limited to an aggregate of 60,000 option shares; no one individual may receive more than 15,000 option shares in a given year; and Section 16 reporting persons may not receive awards pursuant to this authority. Stock options granted under this delegation of authority vest 20% per year commencing on the first anniversary of the grant date. During fiscal 2015, 35,000 stock options were granted to employees under this authority out of a maximum of 60,000.</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Fiscal 2015 Grants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June 2014, the Compensation Committee made annual long-term incentive equity grants under our Amended and Restated Incentive Plan, which we refer to as our “Incentive Plan.” As part of the compensation study delivered to the Compensation Committee in April 2014, L&amp;A had provided information regarding long-term compensation paid to the compensation peer group. In June 2014, L&amp;A provided the Compensation Committee with a comparison of proposed fiscal 2015 long-term incentive values against the compensation peer group values from the compensation study. On average, the Named Executive Officer long-term incentive compensation was between the median and the 75</w:t>
      </w:r>
      <w:r>
        <w:rPr>
          <w:rFonts w:ascii="Arial" w:cs="Arial" w:eastAsia="Arial" w:hAnsi="Arial"/>
          <w:sz w:val="13"/>
          <w:szCs w:val="13"/>
          <w:color w:val="auto"/>
        </w:rPr>
        <w:t>th</w:t>
      </w:r>
      <w:r>
        <w:rPr>
          <w:rFonts w:ascii="Arial" w:cs="Arial" w:eastAsia="Arial" w:hAnsi="Arial"/>
          <w:sz w:val="16"/>
          <w:szCs w:val="16"/>
          <w:color w:val="auto"/>
        </w:rPr>
        <w:t xml:space="preserve"> percentile of the compensation peer group. In determining the value of the equity to be granted, the Compensation Committee took into consideration the Company’s strong performance relative to its industry peers as demonstrated in the L&amp;A industry performance study (see “Market Comparisons—Performance Peers” above), the L&amp;A compensation study, the fact that all of the long-term incentive compensation was to have performance-based vesting and not time-based vesting, Mr. Rowley’s input (on all individuals other than himself), the Compensation Committee’s assessment of the executive’s importance and contribution to the organization, and the executive’s level of responsibility.</w:t>
      </w:r>
    </w:p>
    <w:p>
      <w:pPr>
        <w:spacing w:after="0" w:line="16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value granted was allocated with respect to each Named Executive Officer between performance-vesting restricted stock and performance-based stock options (each with Company financial metric as well as individual performance metrics), such allocation being based on the Compensation Committee’s consideration of the recipient’s proximity to retirement and the recipient’s stated preference. The Committee believes that the structure of the fiscal 2015 long-term compensation program is consistent with the Compensation Committee’s philosophy of linking compensation to our performance.</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Grant and Stock Option Grant</w:t>
      </w:r>
    </w:p>
    <w:p>
      <w:pPr>
        <w:spacing w:after="0" w:line="11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Effective June 3, 2014, the Compensation Committee approved restricted stock awards and stock option awards under the Incentive Plan to a group of its key employees, including its Named Executive Officers. The awards are comprised of shares of restricted stock and stock options, each of which vest based upon the achievement by the Company of an average return on equity for the ten years ended March 31, 2015 of at least 15%. If the Company performance vesting criterion is satisfied, then the Compensation Committee may exercise negative discretion with regard to the award based on the employee’s achievement of individual goals approved by the Compensation Committee. Following any such exercise of negative discretion, (i) the restricted stock awards become fully vested one-fifth promptly after the certification date and one-fifth on March 31 for each of the following four years (in each case assuming continued service through such dates); and (ii) the earned stock options will become exercisable one-third promptly after the certification date and one-third on March 31 for each of the following two years (in each case assuming continued service through such dates).</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terms and conditions of the restricted stock are substantially the same as the restricted stock grants made in fiscal 2014, except that the performance criterion is as described above. The terms and conditions of the stock options are substantially the same as the stock option grants made in fiscal 2014, except that the options are performance-based (as described above) rather than time-vesting. Any shares of restricted stock or stock options that were not earned at the end of fiscal 2015 were to be forfeited. As in the case of prior equity awards, the restricted stock and stock options will also vest upon a change in control of the Company. See “Change in Control Benefits” below.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The number of shares of restricted stock granted was determined by reference to the market price of our Common Stock on the date of grant. The number of option shares granted to our Named Executive Officers was determined by valuing the options on the date of grant using the Black-Scholes method. The following table shows the restricted stock and stock options granted to each of the Company’s Named Executive Officers on June 3, 2014:</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0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1020" w:type="dxa"/>
            <w:vAlign w:val="bottom"/>
          </w:tcPr>
          <w:p>
            <w:pPr>
              <w:jc w:val="right"/>
              <w:ind w:right="159"/>
              <w:spacing w:after="0"/>
              <w:rPr>
                <w:sz w:val="20"/>
                <w:szCs w:val="20"/>
                <w:color w:val="auto"/>
              </w:rPr>
            </w:pPr>
            <w:r>
              <w:rPr>
                <w:rFonts w:ascii="Arial" w:cs="Arial" w:eastAsia="Arial" w:hAnsi="Arial"/>
                <w:sz w:val="14"/>
                <w:szCs w:val="14"/>
                <w:b w:val="1"/>
                <w:bCs w:val="1"/>
                <w:color w:val="auto"/>
              </w:rPr>
              <w:t>Shares of</w:t>
            </w:r>
          </w:p>
        </w:tc>
        <w:tc>
          <w:tcPr>
            <w:tcW w:w="204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4"/>
              </w:rPr>
              <w:t>Number of Stock</w:t>
            </w: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Restricted Stock</w:t>
            </w:r>
          </w:p>
        </w:tc>
        <w:tc>
          <w:tcPr>
            <w:tcW w:w="88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1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216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88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11,711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J. Essl</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6,868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2015, the Compensation Committee certified that the Company’s 16.45% average return on equity for the ten years ended March 31, 2015 satisfied the Company performance goal. The Committee then had the opportunity to exercise negative discretion based on a grantee’s achievement of individual goals that had been previously established by the Committee. No such negative discretion was exercised by the Committee with respect to the Named Executive Officers, who earned 100% of the restricted stock and stock options awarded. One-fifth of the earned restricted shares vested promptly after such determination date, and the remaining four-fifths will vest ratably on March 31 of 2016, 2017, 2018 and 2019. One-third of the earned stock options were vested upon the vesting determination in May 2015, and one-third of the remaining earned amounts will vest on March 31 of 2016 and 2017 (in each case assuming continued service through such dates).</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Mr. Haack joined the Company in December 2014. His equity grants are described above under “New Named Executive Officer Compensation and Benefits.”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Profit Sharing and Retirement Plan</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Each of the Named Executive Officers is a participant in our Profit Sharing and Retirement Plan, which we refer to as our “PSRP.” The PSRP is a qualified defined contribution plan covering substantially all salaried employees of the Company and our subsidiaries. Participants in this plan may elect to make pre-tax contributions of up to 70% of their base salary subject to the limit under Internal Revenue Code Section 402(g) (currently $18,000), employee after-tax contributions of up to 10% of base salary and, if the participant is at least age 50, “catch-up contributions” up to the statutory limit under Internal Revenue Code Section 414(v) (currently $6,000). In addition, the PSRP provides for a discretionary employer profit sharing contribution that is a percentage of base salary for the year. Participants are fully vested to the extent of their pre-tax and after-tax contributions and become vested in the employer profit sharing contribution over a six-year period (i.e., 20% per year beginning with the second year of service). All of the Named Executive Officers (other than Mr. Haack, who joined the Company in December 2014) have been employed by the Company or our affiliates long enough to be fully vested. Participants are entitled to direct the investment of contributions made to the PSRP on their behalf in various investment funds, including up to 15% in an Eagle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 Employer profit sharing contributions made to the PSRP on behalf of our Named Executive Officers in fiscal 2015 are reflected in the Summary Compensation Table located on page 36 of this proxy statement. A list of the investment funds provided under the PSRP is provided in the footnotes to the Nonqualified Deferred Compensation Table located on page 42 of this proxy statement.</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SERP</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fiscal 1995, the Board approved our Supplemental Executive Retirement Program, which we will refer to as our “SERP,” for certain employees participating in the PSRP. Internal Revenue Code Section 401(a)(17) limits the amount of annual compensation (currently $265,000) that may be considered in determining our contribution to the PSRP for the account of an eligible participant. 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 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 extent applicable. As with the PSRP, all of the Named Executive Officers (other than Mr. Haack, who joined the Company in December 2014) have been employed by the Company or our affiliates long enough to be fully vested. Employer contributions to the SERP of our Named Executive Officers in fiscal 2015 are reflected in the Summary Compensation Table located on page 36 of this proxy statement. A list of the investment funds provided under the PSRP is provided in the footnotes to the Nonqualified Deferred Compensation Table located on page 42 of this proxy statement.</w:t>
      </w:r>
    </w:p>
    <w:p>
      <w:pPr>
        <w:sectPr>
          <w:pgSz w:w="11900" w:h="16838" w:orient="portrait"/>
          <w:cols w:equalWidth="0" w:num="1">
            <w:col w:w="11420"/>
          </w:cols>
          <w:pgMar w:left="240" w:top="459"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Salary Continuation Plan</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 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the life of each participating employee. Such policies are owned by the Company and proceeds from such policies would be initially paid to the Company. Premiums paid on policies covering our Named Executive Officers in fiscal 2015 are reflected in the Summary Compensation Table located on page 36 of this proxy statement. Amounts potentially payable to the beneficiaries of our Named Executive Officers pursuant to the SCP are described in “Potential Payments Upon Termination or Change in Control” beginning on page 43 of this proxy statement.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Awards under our Incentive Plan are generally subject to accelerated vesting, without regard to whether any applicable performance criteria have been or will be satisfied, upon the occurrence of a “change in control” as defined in the applicable award agreement. Under the award agreements or incentive program documents, a “change in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 50% of the stock following such transaction is owned by persons or entities who were stockholders of the Company prior to such transaction, (2) following such transaction, no person or entity owns 40% or more of the common stock of the corporation resulting from such transaction, and (3) at least a majority of the members of the resulting corporation’s board of directors were members of our Board. If a change in control occurs, any unvested outstanding stock options, restricted stock, restricted stock units or cash awards would generally become immediately fully vested, and, in the case of stock options, exercisable or, the case of restricted stock, RSUs or cash awards, payable, in each case without regard to whether any applicable performance criteria have been or will be satisfied. See “Potential Payments Upon Termination or Change in Control” beginning on page 43 of this proxy statement. We believe the provision of these change in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in control event and thereby realize the value created at the time of the transaction.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order to align the interests of the Named Executive Officers with our stockholders, and to promote a long-term focus for the officers, the Board of Directors has adopted executive stock ownership guidelines for the officers of the Company and our subsidiaries.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guidelines for the Named Executive Officers are expressed as a multiple of base salary as set forth below (with actual ownership reflected as of the record date for the annual meeting):</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Multiple of Salary</w:t>
            </w:r>
          </w:p>
        </w:tc>
        <w:tc>
          <w:tcPr>
            <w:tcW w:w="21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6"/>
              </w:rPr>
              <w:t>Number of Shares</w:t>
            </w:r>
          </w:p>
        </w:tc>
        <w:tc>
          <w:tcPr>
            <w:tcW w:w="13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Actual Ownership</w:t>
            </w:r>
            <w:r>
              <w:rPr>
                <w:rFonts w:ascii="Arial" w:cs="Arial" w:eastAsia="Arial" w:hAnsi="Arial"/>
                <w:sz w:val="12"/>
                <w:szCs w:val="12"/>
                <w:color w:val="auto"/>
                <w:w w:val="92"/>
              </w:rPr>
              <w:t>(2)</w:t>
            </w: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22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1"/>
              </w:rPr>
              <w:t>Ownership Guidelines</w:t>
            </w:r>
          </w:p>
        </w:tc>
        <w:tc>
          <w:tcPr>
            <w:tcW w:w="21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0"/>
              </w:rPr>
              <w:t>of Common Stock</w:t>
            </w:r>
            <w:r>
              <w:rPr>
                <w:rFonts w:ascii="Arial" w:cs="Arial" w:eastAsia="Arial" w:hAnsi="Arial"/>
                <w:sz w:val="12"/>
                <w:szCs w:val="12"/>
                <w:color w:val="auto"/>
                <w:w w:val="90"/>
              </w:rPr>
              <w:t>(1)</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80" w:type="dxa"/>
            <w:vAlign w:val="bottom"/>
            <w:tcBorders>
              <w:top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5X</w:t>
            </w:r>
          </w:p>
        </w:tc>
        <w:tc>
          <w:tcPr>
            <w:tcW w:w="21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83,400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166,961</w:t>
            </w:r>
          </w:p>
        </w:tc>
        <w:tc>
          <w:tcPr>
            <w:tcW w:w="0" w:type="dxa"/>
            <w:vAlign w:val="bottom"/>
          </w:tcPr>
          <w:p>
            <w:pPr>
              <w:spacing w:after="0"/>
              <w:rPr>
                <w:sz w:val="1"/>
                <w:szCs w:val="1"/>
                <w:color w:val="auto"/>
              </w:rPr>
            </w:pP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280" w:type="dxa"/>
            <w:vAlign w:val="bottom"/>
            <w:gridSpan w:val="2"/>
          </w:tcPr>
          <w:p>
            <w:pPr>
              <w:jc w:val="right"/>
              <w:ind w:right="900"/>
              <w:spacing w:after="0"/>
              <w:rPr>
                <w:sz w:val="20"/>
                <w:szCs w:val="20"/>
                <w:color w:val="auto"/>
              </w:rPr>
            </w:pPr>
            <w:r>
              <w:rPr>
                <w:rFonts w:ascii="Arial" w:cs="Arial" w:eastAsia="Arial" w:hAnsi="Arial"/>
                <w:sz w:val="18"/>
                <w:szCs w:val="18"/>
                <w:color w:val="auto"/>
              </w:rPr>
              <w:t>3X</w:t>
            </w:r>
          </w:p>
        </w:tc>
        <w:tc>
          <w:tcPr>
            <w:tcW w:w="2140" w:type="dxa"/>
            <w:vAlign w:val="bottom"/>
            <w:gridSpan w:val="2"/>
          </w:tcPr>
          <w:p>
            <w:pPr>
              <w:jc w:val="right"/>
              <w:ind w:right="900"/>
              <w:spacing w:after="0"/>
              <w:rPr>
                <w:sz w:val="20"/>
                <w:szCs w:val="20"/>
                <w:color w:val="auto"/>
              </w:rPr>
            </w:pPr>
            <w:r>
              <w:rPr>
                <w:rFonts w:ascii="Arial" w:cs="Arial" w:eastAsia="Arial" w:hAnsi="Arial"/>
                <w:sz w:val="18"/>
                <w:szCs w:val="18"/>
                <w:color w:val="auto"/>
              </w:rPr>
              <w:t>26,900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61,069</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3X</w:t>
            </w:r>
          </w:p>
        </w:tc>
        <w:tc>
          <w:tcPr>
            <w:tcW w:w="21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18,800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2280" w:type="dxa"/>
            <w:vAlign w:val="bottom"/>
            <w:gridSpan w:val="2"/>
          </w:tcPr>
          <w:p>
            <w:pPr>
              <w:jc w:val="right"/>
              <w:ind w:right="900"/>
              <w:spacing w:after="0"/>
              <w:rPr>
                <w:sz w:val="20"/>
                <w:szCs w:val="20"/>
                <w:color w:val="auto"/>
              </w:rPr>
            </w:pPr>
            <w:r>
              <w:rPr>
                <w:rFonts w:ascii="Arial" w:cs="Arial" w:eastAsia="Arial" w:hAnsi="Arial"/>
                <w:sz w:val="18"/>
                <w:szCs w:val="18"/>
                <w:color w:val="auto"/>
              </w:rPr>
              <w:t>3X</w:t>
            </w:r>
          </w:p>
        </w:tc>
        <w:tc>
          <w:tcPr>
            <w:tcW w:w="2140" w:type="dxa"/>
            <w:vAlign w:val="bottom"/>
            <w:gridSpan w:val="2"/>
          </w:tcPr>
          <w:p>
            <w:pPr>
              <w:jc w:val="right"/>
              <w:ind w:right="900"/>
              <w:spacing w:after="0"/>
              <w:rPr>
                <w:sz w:val="20"/>
                <w:szCs w:val="20"/>
                <w:color w:val="auto"/>
              </w:rPr>
            </w:pPr>
            <w:r>
              <w:rPr>
                <w:rFonts w:ascii="Arial" w:cs="Arial" w:eastAsia="Arial" w:hAnsi="Arial"/>
                <w:sz w:val="18"/>
                <w:szCs w:val="18"/>
                <w:color w:val="auto"/>
              </w:rPr>
              <w:t>22,200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47,702</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2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3X</w:t>
            </w:r>
          </w:p>
        </w:tc>
        <w:tc>
          <w:tcPr>
            <w:tcW w:w="21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22,200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0" w:hanging="452"/>
        <w:spacing w:after="0" w:line="254"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8"/>
          <w:szCs w:val="18"/>
          <w:color w:val="auto"/>
        </w:rPr>
        <w:t>Types of ownership counted toward the guidelines include the following:</w:t>
      </w:r>
    </w:p>
    <w:p>
      <w:pPr>
        <w:spacing w:after="0" w:line="116" w:lineRule="exact"/>
        <w:rPr>
          <w:rFonts w:ascii="Arial" w:cs="Arial" w:eastAsia="Arial" w:hAnsi="Arial"/>
          <w:sz w:val="15"/>
          <w:szCs w:val="15"/>
          <w:color w:val="auto"/>
        </w:rPr>
      </w:pPr>
    </w:p>
    <w:p>
      <w:pPr>
        <w:ind w:left="1480" w:hanging="446"/>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Stock holdings in our PSRP;</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Direct holdings;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Indirect holdings, such as shares owned by a family member residing in the same household;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Shares represented by restricted stock.</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or we anticipate that all such officers will achieve, their stock ownership goal within the five-year time frame.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Tax Deductibility of Compensation</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Incentive Plan has been approved by our stockholders and Compensation Committee and otherwise meets the requirements for performance-based compensation under Internal Revenue Code Section 162(m). The Eagle Annual Incentive Program is adopted under the structure of our Incentive Plan and is subject to the terms and conditions of that plan, including the requirements for performance-based compensation. The Compensation Committee generally seeks whenever possible to structure annual incentive and long-term incentive compensation awards, such as stock option and restricted stock grants under our Incentive Plan, in a manner that satisfies the Section 162(m) requirements, but reserves the right to award nondeductible compensation as it deems appropriate. Further, because of ambiguities and uncertainties as to the application and interpretation of Section 162(m) and the related regulations, no assurance can be given that compensation intended by the Compensation Committee to satisfy the requirements for deductibility under section 162(m) does in fact do so.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following table summarizes all fiscal 2013, 2014 and 2015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Change in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Pension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Value and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Nonquali-</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fied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All</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Deferred</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Compensa-</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2"/>
                <w:szCs w:val="12"/>
                <w:b w:val="1"/>
                <w:bCs w:val="1"/>
                <w:color w:val="auto"/>
              </w:rPr>
              <w:t>(1)</w:t>
            </w:r>
          </w:p>
        </w:tc>
        <w:tc>
          <w:tcPr>
            <w:tcW w:w="12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2"/>
                <w:szCs w:val="12"/>
                <w:b w:val="1"/>
                <w:bCs w:val="1"/>
                <w:color w:val="auto"/>
              </w:rPr>
              <w:t>(2)</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Compensa-</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tion</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w:t>
            </w:r>
          </w:p>
        </w:tc>
        <w:tc>
          <w:tcPr>
            <w:tcW w:w="12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(3)</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(4)</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tion</w:t>
            </w:r>
            <w:r>
              <w:rPr>
                <w:rFonts w:ascii="Arial" w:cs="Arial" w:eastAsia="Arial" w:hAnsi="Arial"/>
                <w:sz w:val="12"/>
                <w:szCs w:val="12"/>
                <w:b w:val="1"/>
                <w:bCs w:val="1"/>
                <w:color w:val="auto"/>
                <w:w w:val="94"/>
              </w:rPr>
              <w:t>(5)</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sation</w:t>
            </w:r>
            <w:r>
              <w:rPr>
                <w:rFonts w:ascii="Arial" w:cs="Arial" w:eastAsia="Arial" w:hAnsi="Arial"/>
                <w:sz w:val="12"/>
                <w:szCs w:val="12"/>
                <w:b w:val="1"/>
                <w:bCs w:val="1"/>
                <w:color w:val="auto"/>
                <w:w w:val="89"/>
              </w:rPr>
              <w:t>(6)</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9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60" w:type="dxa"/>
            <w:vAlign w:val="bottom"/>
            <w:tcBorders>
              <w:top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$912,000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$750,000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$2,250,000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$1,429,216</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$ 95,799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$5,437,015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rPr>
              <w:t>President and Chief Executive</w:t>
            </w:r>
          </w:p>
        </w:tc>
        <w:tc>
          <w:tcPr>
            <w:tcW w:w="8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2014</w:t>
            </w:r>
          </w:p>
        </w:tc>
        <w:tc>
          <w:tcPr>
            <w:tcW w:w="92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885,000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750,000</w:t>
            </w:r>
          </w:p>
        </w:tc>
        <w:tc>
          <w:tcPr>
            <w:tcW w:w="10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w w:val="99"/>
              </w:rPr>
              <w:t>2,250,000</w:t>
            </w:r>
          </w:p>
        </w:tc>
        <w:tc>
          <w:tcPr>
            <w:tcW w:w="10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w w:val="99"/>
              </w:rPr>
              <w:t>1,080,460</w:t>
            </w:r>
          </w:p>
        </w:tc>
        <w:tc>
          <w:tcPr>
            <w:tcW w:w="9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93,149</w:t>
            </w:r>
          </w:p>
        </w:tc>
        <w:tc>
          <w:tcPr>
            <w:tcW w:w="9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5,058,609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Officer</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$281,869</w:t>
            </w:r>
          </w:p>
        </w:tc>
        <w:tc>
          <w:tcPr>
            <w:tcW w:w="12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520,000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1,560,000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1,238,131</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125,656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4,585,656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76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2015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363,000</w:t>
            </w:r>
          </w:p>
        </w:tc>
        <w:tc>
          <w:tcPr>
            <w:tcW w:w="120" w:type="dxa"/>
            <w:vAlign w:val="bottom"/>
          </w:tcPr>
          <w:p>
            <w:pPr>
              <w:spacing w:after="0"/>
              <w:rPr>
                <w:sz w:val="24"/>
                <w:szCs w:val="24"/>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375,000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375,000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571,687</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41,438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1,726,125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i w:val="1"/>
                <w:iCs w:val="1"/>
                <w:color w:val="auto"/>
                <w:w w:val="90"/>
              </w:rPr>
              <w:t>Executive Vice President – Finance</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2014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330,000</w:t>
            </w:r>
          </w:p>
        </w:tc>
        <w:tc>
          <w:tcPr>
            <w:tcW w:w="12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187,500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562,500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432,184</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37,524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1,549,708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i w:val="1"/>
                <w:iCs w:val="1"/>
                <w:color w:val="auto"/>
              </w:rPr>
              <w:t>and Administration &amp; CFO</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2013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300,000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138,750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416,250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426,002</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43,844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1,374,846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Haack, </w:t>
            </w:r>
            <w:r>
              <w:rPr>
                <w:rFonts w:ascii="Arial" w:cs="Arial" w:eastAsia="Arial" w:hAnsi="Arial"/>
                <w:sz w:val="15"/>
                <w:szCs w:val="15"/>
                <w:b w:val="1"/>
                <w:bCs w:val="1"/>
                <w:color w:val="auto"/>
              </w:rPr>
              <w:t>(7)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166,667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799,000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1,548,700</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w w:val="91"/>
              </w:rPr>
              <w:t>Executive Vice President and Chief</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Officer</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76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2015</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386,000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4"/>
                <w:szCs w:val="24"/>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637,500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212,500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575,843</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39,409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2,351,252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Vice President –</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2014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637,500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212,500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425,246</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38,334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1,688,580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i w:val="1"/>
                <w:iCs w:val="1"/>
                <w:color w:val="auto"/>
                <w:w w:val="93"/>
              </w:rPr>
              <w:t>Cement/Aggregates and Concrete</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2013</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350,000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150,000</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450,000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408,402</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79,815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1,508,217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386,000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600,000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653,620</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1,879,330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w w:val="89"/>
              </w:rPr>
              <w:t>Executive Vice President – Gypsum</w:t>
            </w:r>
          </w:p>
        </w:tc>
        <w:tc>
          <w:tcPr>
            <w:tcW w:w="8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2014</w:t>
            </w:r>
          </w:p>
        </w:tc>
        <w:tc>
          <w:tcPr>
            <w:tcW w:w="92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600,000</w:t>
            </w:r>
          </w:p>
        </w:tc>
        <w:tc>
          <w:tcPr>
            <w:tcW w:w="106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200,000</w:t>
            </w:r>
          </w:p>
        </w:tc>
        <w:tc>
          <w:tcPr>
            <w:tcW w:w="10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484,364</w:t>
            </w:r>
          </w:p>
        </w:tc>
        <w:tc>
          <w:tcPr>
            <w:tcW w:w="9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38,613</w:t>
            </w:r>
          </w:p>
        </w:tc>
        <w:tc>
          <w:tcPr>
            <w:tcW w:w="9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1,697,977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150,000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463,921</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1,460,524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0" w:hanging="452"/>
        <w:spacing w:after="0" w:line="25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amounts deferred on a pre-tax or after-tax basis at the election of the executive under our PSRP, which is described in greater detail under “Profit Sharing and Retirement Plan” on page 33 of this proxy statement.</w:t>
      </w:r>
    </w:p>
    <w:p>
      <w:pPr>
        <w:spacing w:after="0" w:line="1" w:lineRule="exact"/>
        <w:rPr>
          <w:rFonts w:ascii="Arial" w:cs="Arial" w:eastAsia="Arial" w:hAnsi="Arial"/>
          <w:sz w:val="18"/>
          <w:szCs w:val="18"/>
          <w:color w:val="auto"/>
        </w:rPr>
      </w:pPr>
    </w:p>
    <w:p>
      <w:pPr>
        <w:ind w:left="460" w:right="360" w:hanging="452"/>
        <w:spacing w:after="0" w:line="265"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amounts in this column represent payments to the Named Executive Officer under the Company’s Special Situation Program for the applicable fiscal year, except that the amount for Mr. Haack includes a $150,000 cash signing bonus and $250,000 annual incentive bonus.</w:t>
      </w:r>
    </w:p>
    <w:p>
      <w:pPr>
        <w:ind w:left="460" w:right="20" w:hanging="452"/>
        <w:spacing w:after="0" w:line="28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amounts in this column reflect the value of restricted stock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 year ended March 31, 2015 included in the Fiscal 2015 Form 10-K; (b) footnote (J) to the Company’s audited financial statements for the fiscal year ended March 31, 2014 included in the Fiscal 2014 Form 10-K; and (c) footnote (J) to the Company’s audited financial statements for the fiscal year ended March 31, 2013 included in the Fiscal 2013</w:t>
      </w:r>
    </w:p>
    <w:p>
      <w:pPr>
        <w:spacing w:after="0" w:line="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Form 10-K.</w:t>
      </w:r>
    </w:p>
    <w:p>
      <w:pPr>
        <w:spacing w:after="0" w:line="9" w:lineRule="exact"/>
        <w:rPr>
          <w:rFonts w:ascii="Arial" w:cs="Arial" w:eastAsia="Arial" w:hAnsi="Arial"/>
          <w:sz w:val="16"/>
          <w:szCs w:val="16"/>
          <w:color w:val="auto"/>
        </w:rPr>
      </w:pPr>
    </w:p>
    <w:p>
      <w:pPr>
        <w:ind w:left="460" w:right="60" w:hanging="452"/>
        <w:spacing w:after="0" w:line="252"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 this column reflect the value of option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 year ended March 31, 2015 included in the Fiscal 2015 Form 10-K; (b) footnote (J) to the Company’s audited financial statements for the fiscal year ended March 31, 2014 included in the Fiscal 2014 Form 10-K; and (c) footnote (J) to the Company’s audited financial statements for the fiscal year ended March 31, 2013 included in the Fiscal 2013 Form 10-K.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9"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amounts in this column represent payments to the Named Executive Officer under the applicable annual incentive compensation program for the applicable fiscal year. For fiscal 2013, the amounts also include awards to the Named Executive Officer under the Eagle Materials Inc. Long-Term Cash Compensation Program for Fiscal 2013. The amounts in this column do not reflect any dividend equivalent units which are accrued by or paid to holders of our RSUs at any time we pay a cash dividend on our Common Stock (see footnote 6 below).</w:t>
      </w:r>
    </w:p>
    <w:p>
      <w:pPr>
        <w:spacing w:after="0" w:line="2" w:lineRule="exact"/>
        <w:rPr>
          <w:rFonts w:ascii="Arial" w:cs="Arial" w:eastAsia="Arial" w:hAnsi="Arial"/>
          <w:sz w:val="17"/>
          <w:szCs w:val="17"/>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amounts shown in this column represent: (1) Company profit sharing contributions to the account of the Named Executive Officer under our PSRP;</w:t>
      </w:r>
    </w:p>
    <w:p>
      <w:pPr>
        <w:spacing w:after="0" w:line="32" w:lineRule="exact"/>
        <w:rPr>
          <w:rFonts w:ascii="Arial" w:cs="Arial" w:eastAsia="Arial" w:hAnsi="Arial"/>
          <w:sz w:val="16"/>
          <w:szCs w:val="16"/>
          <w:color w:val="auto"/>
        </w:rPr>
      </w:pPr>
    </w:p>
    <w:p>
      <w:pPr>
        <w:ind w:left="460" w:right="120"/>
        <w:spacing w:after="0" w:line="281" w:lineRule="auto"/>
        <w:rPr>
          <w:rFonts w:ascii="Arial" w:cs="Arial" w:eastAsia="Arial" w:hAnsi="Arial"/>
          <w:sz w:val="16"/>
          <w:szCs w:val="16"/>
          <w:color w:val="auto"/>
        </w:rPr>
      </w:pPr>
      <w:r>
        <w:rPr>
          <w:rFonts w:ascii="Arial" w:cs="Arial" w:eastAsia="Arial" w:hAnsi="Arial"/>
          <w:sz w:val="16"/>
          <w:szCs w:val="16"/>
          <w:color w:val="auto"/>
        </w:rPr>
        <w:t>(2) Company contributions to the account of the Named Executive Officer under our SERP; (3) premium costs to the Company of life insurance policies obtained by the Company in connection with our SCP; (4) wellness awards; and (5) dividend equivalent RSUs. The PSRP is described in greater detail under “Profit Sharing and Retirement Plan” on page 33 of this proxy statement. During fiscal 2015, the Named Executive Officers each received $26,000 in employer profit sharing contributions with respect to the PSRP. The SERP is described in greater detail under “SERP” on page 33 of this proxy statement. During fiscal 2015, the Named Executive Officers received the following employer contributions with respect to the SERP: Mr. Rowley – $64,525; Mr. Kesler – $9,475; Mr. Essl – $12,325; and Mr. Powers – $12,325. The SCP is described in greater detail under “Salary Continuation Plan” on page 34 of this proxy statement. During fiscal 2015, the Company paid premium costs in the following amounts for life insurance policies obtained under the SCP with respect to the Named Executive Officers: Mr. Rowley – $5,274; Mr. Kesler – $5,274; Mr. Haack – $733; Mr. Essl – $1,084; and Mr. Powers – $1,385. For fiscal 2013, the amounts in this column also include the value of Common Stock paid during such fiscal year for dividend equivalent units. Dividend equivalent units are credited as additional RSUs to holders of our earned RSUs at any time we pay a cash dividend on our Common Stock. The value of the dividend equivalent units is not reflected in the “Stock Awards” column.</w:t>
      </w:r>
    </w:p>
    <w:p>
      <w:pPr>
        <w:spacing w:after="0" w:line="7"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Haack was hired as Executive Vice President and Chief Operating Officer effective December 1,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grants of plan-based awards made during fiscal 2015 to the Named Executive Officers.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3"/>
              </w:rPr>
              <w:t>Estimated Future Payouts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40" w:type="dxa"/>
            <w:vAlign w:val="bottom"/>
            <w:gridSpan w:val="6"/>
            <w:vMerge w:val="continue"/>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or Base</w:t>
            </w:r>
          </w:p>
        </w:tc>
        <w:tc>
          <w:tcPr>
            <w:tcW w:w="140" w:type="dxa"/>
            <w:vAlign w:val="bottom"/>
          </w:tcPr>
          <w:p>
            <w:pPr>
              <w:spacing w:after="0"/>
              <w:rPr>
                <w:sz w:val="5"/>
                <w:szCs w:val="5"/>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40" w:type="dxa"/>
            <w:vAlign w:val="bottom"/>
            <w:gridSpan w:val="6"/>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2620" w:type="dxa"/>
            <w:vAlign w:val="bottom"/>
            <w:gridSpan w:val="6"/>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Estimated Future Payouts Under</w:t>
            </w: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40" w:type="dxa"/>
            <w:vAlign w:val="bottom"/>
            <w:gridSpan w:val="6"/>
            <w:vMerge w:val="continue"/>
          </w:tcPr>
          <w:p>
            <w:pPr>
              <w:spacing w:after="0"/>
              <w:rPr>
                <w:sz w:val="5"/>
                <w:szCs w:val="5"/>
                <w:color w:val="auto"/>
              </w:rPr>
            </w:pPr>
          </w:p>
        </w:tc>
        <w:tc>
          <w:tcPr>
            <w:tcW w:w="2620" w:type="dxa"/>
            <w:vAlign w:val="bottom"/>
            <w:gridSpan w:val="6"/>
            <w:vMerge w:val="continue"/>
          </w:tcPr>
          <w:p>
            <w:pPr>
              <w:spacing w:after="0"/>
              <w:rPr>
                <w:sz w:val="5"/>
                <w:szCs w:val="5"/>
                <w:color w:val="auto"/>
              </w:rPr>
            </w:pPr>
          </w:p>
        </w:tc>
        <w:tc>
          <w:tcPr>
            <w:tcW w:w="6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140" w:type="dxa"/>
            <w:vAlign w:val="bottom"/>
          </w:tcPr>
          <w:p>
            <w:pPr>
              <w:spacing w:after="0"/>
              <w:rPr>
                <w:sz w:val="5"/>
                <w:szCs w:val="5"/>
                <w:color w:val="auto"/>
              </w:rPr>
            </w:pPr>
          </w:p>
        </w:tc>
        <w:tc>
          <w:tcPr>
            <w:tcW w:w="92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restart"/>
          </w:tcPr>
          <w:p>
            <w:pPr>
              <w:jc w:val="center"/>
              <w:ind w:right="183"/>
              <w:spacing w:after="0"/>
              <w:rPr>
                <w:sz w:val="20"/>
                <w:szCs w:val="20"/>
                <w:color w:val="auto"/>
              </w:rPr>
            </w:pPr>
            <w:r>
              <w:rPr>
                <w:rFonts w:ascii="Arial" w:cs="Arial" w:eastAsia="Arial" w:hAnsi="Arial"/>
                <w:sz w:val="14"/>
                <w:szCs w:val="14"/>
                <w:b w:val="1"/>
                <w:bCs w:val="1"/>
                <w:color w:val="auto"/>
                <w:w w:val="92"/>
              </w:rPr>
              <w:t>Plan Awards</w:t>
            </w: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4"/>
              </w:rPr>
              <w:t>Equity Incentive Plan Awards</w:t>
            </w:r>
          </w:p>
        </w:tc>
        <w:tc>
          <w:tcPr>
            <w:tcW w:w="380" w:type="dxa"/>
            <w:vAlign w:val="bottom"/>
            <w:vMerge w:val="restart"/>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gridSpan w:val="2"/>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40" w:type="dxa"/>
            <w:vAlign w:val="bottom"/>
            <w:tcBorders>
              <w:bottom w:val="single" w:sz="8" w:color="auto"/>
            </w:tcBorders>
            <w:gridSpan w:val="5"/>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7"/>
                <w:szCs w:val="7"/>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Grant</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1200" w:type="dxa"/>
            <w:vAlign w:val="bottom"/>
            <w:gridSpan w:val="2"/>
            <w:vMerge w:val="restart"/>
          </w:tcPr>
          <w:p>
            <w:pPr>
              <w:jc w:val="right"/>
              <w:ind w:right="523"/>
              <w:spacing w:after="0"/>
              <w:rPr>
                <w:sz w:val="20"/>
                <w:szCs w:val="20"/>
                <w:color w:val="auto"/>
              </w:rPr>
            </w:pPr>
            <w:r>
              <w:rPr>
                <w:rFonts w:ascii="Arial" w:cs="Arial" w:eastAsia="Arial" w:hAnsi="Arial"/>
                <w:sz w:val="14"/>
                <w:szCs w:val="14"/>
                <w:b w:val="1"/>
                <w:bCs w:val="1"/>
                <w:color w:val="auto"/>
              </w:rPr>
              <w:t>Target</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Maximum</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Maximum</w:t>
            </w:r>
          </w:p>
        </w:tc>
        <w:tc>
          <w:tcPr>
            <w:tcW w:w="6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71"/>
        </w:trPr>
        <w:tc>
          <w:tcPr>
            <w:tcW w:w="3160" w:type="dxa"/>
            <w:vAlign w:val="bottom"/>
            <w:gridSpan w:val="3"/>
            <w:vMerge w:val="continue"/>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Date</w:t>
            </w: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w:t>
            </w:r>
          </w:p>
        </w:tc>
        <w:tc>
          <w:tcPr>
            <w:tcW w:w="14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87"/>
              </w:rPr>
              <w:t>(2)</w:t>
            </w: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1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Steven R. Rowley</w:t>
            </w:r>
          </w:p>
        </w:tc>
        <w:tc>
          <w:tcPr>
            <w:tcW w:w="6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5/13/14</w:t>
            </w:r>
          </w:p>
        </w:tc>
        <w:tc>
          <w:tcPr>
            <w:tcW w:w="26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rPr>
              <w:t>—</w:t>
            </w:r>
          </w:p>
        </w:tc>
        <w:tc>
          <w:tcPr>
            <w:tcW w:w="28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8"/>
              </w:rPr>
              <w:t>$1,429,216</w:t>
            </w:r>
          </w:p>
        </w:tc>
        <w:tc>
          <w:tcPr>
            <w:tcW w:w="38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6"/>
                <w:szCs w:val="16"/>
                <w:color w:val="auto"/>
              </w:rPr>
            </w:pPr>
          </w:p>
        </w:tc>
        <w:tc>
          <w:tcPr>
            <w:tcW w:w="6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w:t>
            </w:r>
          </w:p>
        </w:tc>
        <w:tc>
          <w:tcPr>
            <w:tcW w:w="2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ind w:left="380"/>
              <w:spacing w:after="0" w:line="195" w:lineRule="exact"/>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6"/>
                <w:szCs w:val="16"/>
                <w:color w:val="auto"/>
              </w:rPr>
            </w:pPr>
          </w:p>
        </w:tc>
        <w:tc>
          <w:tcPr>
            <w:tcW w:w="540" w:type="dxa"/>
            <w:vAlign w:val="bottom"/>
            <w:shd w:val="clear" w:color="auto" w:fill="CCEEFF"/>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6/3/14</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70,266</w:t>
            </w:r>
            <w:r>
              <w:rPr>
                <w:rFonts w:ascii="Arial" w:cs="Arial" w:eastAsia="Arial" w:hAnsi="Arial"/>
                <w:sz w:val="15"/>
                <w:szCs w:val="15"/>
                <w:color w:val="auto"/>
              </w:rPr>
              <w:t>(3)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$ 87.37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6/3/14</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8,585</w:t>
            </w:r>
            <w:r>
              <w:rPr>
                <w:rFonts w:ascii="Arial" w:cs="Arial" w:eastAsia="Arial" w:hAnsi="Arial"/>
                <w:sz w:val="15"/>
                <w:szCs w:val="15"/>
                <w:color w:val="auto"/>
              </w:rPr>
              <w:t>(4)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16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5/13/14</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571,687</w:t>
            </w:r>
            <w:r>
              <w:rPr>
                <w:rFonts w:ascii="Arial" w:cs="Arial" w:eastAsia="Arial" w:hAnsi="Arial"/>
                <w:sz w:val="15"/>
                <w:szCs w:val="15"/>
                <w:color w:val="auto"/>
              </w:rPr>
              <w:t>(2)</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6/3/14</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11,711</w:t>
            </w:r>
            <w:r>
              <w:rPr>
                <w:rFonts w:ascii="Arial" w:cs="Arial" w:eastAsia="Arial" w:hAnsi="Arial"/>
                <w:sz w:val="15"/>
                <w:szCs w:val="15"/>
                <w:color w:val="auto"/>
              </w:rPr>
              <w:t>(3)</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87.37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6/3/14</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4,293</w:t>
            </w:r>
            <w:r>
              <w:rPr>
                <w:rFonts w:ascii="Arial" w:cs="Arial" w:eastAsia="Arial" w:hAnsi="Arial"/>
                <w:sz w:val="15"/>
                <w:szCs w:val="15"/>
                <w:color w:val="auto"/>
              </w:rPr>
              <w:t>(4)</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Haack</w:t>
            </w:r>
          </w:p>
        </w:tc>
        <w:tc>
          <w:tcPr>
            <w:tcW w:w="8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9"/>
              </w:rPr>
              <w:t>12/1/14</w:t>
            </w:r>
          </w:p>
        </w:tc>
        <w:tc>
          <w:tcPr>
            <w:tcW w:w="92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3"/>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(5)</w:t>
            </w:r>
          </w:p>
        </w:tc>
        <w:tc>
          <w:tcPr>
            <w:tcW w:w="66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79.90</w:t>
            </w: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1,548,700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12/1/14</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r>
              <w:rPr>
                <w:rFonts w:ascii="Arial" w:cs="Arial" w:eastAsia="Arial" w:hAnsi="Arial"/>
                <w:sz w:val="15"/>
                <w:szCs w:val="15"/>
                <w:color w:val="auto"/>
              </w:rPr>
              <w:t>(5)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16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5/13/14</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575,843</w:t>
            </w:r>
            <w:r>
              <w:rPr>
                <w:rFonts w:ascii="Arial" w:cs="Arial" w:eastAsia="Arial" w:hAnsi="Arial"/>
                <w:sz w:val="15"/>
                <w:szCs w:val="15"/>
                <w:color w:val="auto"/>
              </w:rPr>
              <w:t>(2)</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6/3/14</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6,637</w:t>
            </w:r>
            <w:r>
              <w:rPr>
                <w:rFonts w:ascii="Arial" w:cs="Arial" w:eastAsia="Arial" w:hAnsi="Arial"/>
                <w:sz w:val="15"/>
                <w:szCs w:val="15"/>
                <w:color w:val="auto"/>
              </w:rPr>
              <w:t>(3)</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87.37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6/3/14</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7,297</w:t>
            </w:r>
            <w:r>
              <w:rPr>
                <w:rFonts w:ascii="Arial" w:cs="Arial" w:eastAsia="Arial" w:hAnsi="Arial"/>
                <w:sz w:val="15"/>
                <w:szCs w:val="15"/>
                <w:color w:val="auto"/>
              </w:rPr>
              <w:t>(4)</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637,500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David B. Powers</w:t>
            </w:r>
          </w:p>
        </w:tc>
        <w:tc>
          <w:tcPr>
            <w:tcW w:w="8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9"/>
              </w:rPr>
              <w:t>5/13/14</w:t>
            </w:r>
          </w:p>
        </w:tc>
        <w:tc>
          <w:tcPr>
            <w:tcW w:w="92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3"/>
              <w:spacing w:after="0" w:line="201" w:lineRule="exact"/>
              <w:rPr>
                <w:sz w:val="20"/>
                <w:szCs w:val="20"/>
                <w:color w:val="auto"/>
              </w:rPr>
            </w:pPr>
            <w:r>
              <w:rPr>
                <w:rFonts w:ascii="Arial" w:cs="Arial" w:eastAsia="Arial" w:hAnsi="Arial"/>
                <w:sz w:val="18"/>
                <w:szCs w:val="18"/>
                <w:color w:val="auto"/>
              </w:rPr>
              <w:t>666,959</w:t>
            </w:r>
            <w:r>
              <w:rPr>
                <w:rFonts w:ascii="Arial" w:cs="Arial" w:eastAsia="Arial" w:hAnsi="Arial"/>
                <w:sz w:val="15"/>
                <w:szCs w:val="15"/>
                <w:color w:val="auto"/>
              </w:rPr>
              <w:t>(2)</w:t>
            </w:r>
          </w:p>
        </w:tc>
        <w:tc>
          <w:tcPr>
            <w:tcW w:w="92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6/3/14</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6,246</w:t>
            </w:r>
            <w:r>
              <w:rPr>
                <w:rFonts w:ascii="Arial" w:cs="Arial" w:eastAsia="Arial" w:hAnsi="Arial"/>
                <w:sz w:val="15"/>
                <w:szCs w:val="15"/>
                <w:color w:val="auto"/>
              </w:rPr>
              <w:t>(3)</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6/3/14</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6,868</w:t>
            </w:r>
            <w:r>
              <w:rPr>
                <w:rFonts w:ascii="Arial" w:cs="Arial" w:eastAsia="Arial" w:hAnsi="Arial"/>
                <w:sz w:val="15"/>
                <w:szCs w:val="15"/>
                <w:color w:val="auto"/>
              </w:rPr>
              <w:t>(4)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included in this column reflect the grant date fair value of the award computed in accordance with FASB ASC Topic 718. Assumptions used in the calculation of these amounts are included in footnote (J) to the Company’s audited financial statements for the fiscal year ended March 31, 2015 included in the Fiscal 2015 Form 10-K.</w:t>
      </w:r>
    </w:p>
    <w:p>
      <w:pPr>
        <w:ind w:left="460" w:right="20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amounts represent the maximum annual incentive payments potentially payable to the Named Executive Officers pursuant to the Eagle Annual Incentive Program or the Divisional Annual Incentive Bonus Programs, as applicable, for fiscal year 2015. There are no thresholds or maximums for these awards—they are merely a function of multiplying the pre-determined percentage by the operating earnings for the fiscal year. The actual pay-outs to the Named Executive Officers were as follows: Mr. Rowley – $1,429,216; Mr. Kesler – $571,687; Mr. Essl – $575,843; and Mr. Powers – $653,620. These incentive programs are described in greater detail under “Annual Incentive Bonus” beginning on page 28 of this proxy statement.</w:t>
      </w:r>
    </w:p>
    <w:p>
      <w:pPr>
        <w:spacing w:after="0" w:line="3"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represent grants of stock options to purchase shares of Common Stock made on June 3, 2014 under our Incentive Plan. The vesting of the stock options was subject to performance vesting criteria. One-third of the stock options vested on May 5, 2015; one-third will vest on March 31, 2016; and one-third will vest on March 31, 2017. These stock options are described in greater detail under “Long-Term Incentive Compensation— Fiscal 2015 Grants” beginning on page 32 of this proxy statement.</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amounts represent grants of restricted stock made on June 3, 2014 under our Incentive Plan. The vesting of the restricted stock was subject to performance vesting criteria. One-fifth of the earned restricted stock vested on May 7, 2015; one-fifth will vest on March 31, 2016; one-fifth will vest on March 31, 2017; one-fifth will vest on March 31, 2018; and one-fifth will vest on March 31, 2019. These restricted stock grants are described in greater detail under “Long-Term Incentive Compensation—Fiscal 2015 Grants” beginning on page 32 of this proxy statement.</w:t>
      </w:r>
    </w:p>
    <w:p>
      <w:pPr>
        <w:spacing w:after="0" w:line="2"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These amounts represent grants of stock options and restricted stock made to Mr. Haack on December 1, 2014 under our Incentive Plan. The awards are time vesting over five years.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2015 for each of the Named Executive Officers.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Stock Awards</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23"/>
              <w:spacing w:after="0"/>
              <w:rPr>
                <w:sz w:val="20"/>
                <w:szCs w:val="20"/>
                <w:color w:val="auto"/>
              </w:rPr>
            </w:pPr>
            <w:r>
              <w:rPr>
                <w:rFonts w:ascii="Arial" w:cs="Arial" w:eastAsia="Arial" w:hAnsi="Arial"/>
                <w:sz w:val="14"/>
                <w:szCs w:val="14"/>
                <w:b w:val="1"/>
                <w:bCs w:val="1"/>
                <w:color w:val="auto"/>
                <w:w w:val="98"/>
              </w:rPr>
              <w:t>Equity</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92"/>
              </w:rPr>
              <w:t>Incentive</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94"/>
              </w:rPr>
              <w:t>Plan</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83"/>
              <w:spacing w:after="0"/>
              <w:rPr>
                <w:sz w:val="20"/>
                <w:szCs w:val="20"/>
                <w:color w:val="auto"/>
              </w:rPr>
            </w:pPr>
            <w:r>
              <w:rPr>
                <w:rFonts w:ascii="Arial" w:cs="Arial" w:eastAsia="Arial" w:hAnsi="Arial"/>
                <w:sz w:val="14"/>
                <w:szCs w:val="14"/>
                <w:b w:val="1"/>
                <w:bCs w:val="1"/>
                <w:color w:val="auto"/>
                <w:w w:val="94"/>
              </w:rPr>
              <w:t>Number</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Incentive</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Market</w:t>
            </w:r>
          </w:p>
        </w:tc>
        <w:tc>
          <w:tcPr>
            <w:tcW w:w="104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vMerge w:val="restart"/>
          </w:tcPr>
          <w:p>
            <w:pPr>
              <w:jc w:val="center"/>
              <w:ind w:right="288"/>
              <w:spacing w:after="0"/>
              <w:rPr>
                <w:sz w:val="20"/>
                <w:szCs w:val="20"/>
                <w:color w:val="auto"/>
              </w:rPr>
            </w:pPr>
            <w:r>
              <w:rPr>
                <w:rFonts w:ascii="Arial" w:cs="Arial" w:eastAsia="Arial" w:hAnsi="Arial"/>
                <w:sz w:val="14"/>
                <w:szCs w:val="14"/>
                <w:b w:val="1"/>
                <w:bCs w:val="1"/>
                <w:color w:val="auto"/>
                <w:w w:val="97"/>
              </w:rPr>
              <w:t>Number of</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0"/>
              </w:rPr>
              <w:t>of Shares</w:t>
            </w:r>
          </w:p>
        </w:tc>
        <w:tc>
          <w:tcPr>
            <w:tcW w:w="980" w:type="dxa"/>
            <w:vAlign w:val="bottom"/>
            <w:gridSpan w:val="2"/>
            <w:vMerge w:val="continue"/>
          </w:tcPr>
          <w:p>
            <w:pPr>
              <w:spacing w:after="0"/>
              <w:rPr>
                <w:sz w:val="12"/>
                <w:szCs w:val="12"/>
                <w:color w:val="auto"/>
              </w:rPr>
            </w:pPr>
          </w:p>
        </w:tc>
        <w:tc>
          <w:tcPr>
            <w:tcW w:w="104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92"/>
              </w:rPr>
              <w:t>Unearned</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Number of</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4"/>
              </w:rPr>
              <w:t>or Units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w:t>
            </w:r>
          </w:p>
        </w:tc>
        <w:tc>
          <w:tcPr>
            <w:tcW w:w="104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0"/>
              </w:rPr>
              <w:t>Shares,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4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0"/>
              </w:rPr>
              <w:t>of Stock</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4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91"/>
              </w:rPr>
              <w:t>Units</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40" w:type="dxa"/>
            <w:vAlign w:val="bottom"/>
            <w:gridSpan w:val="2"/>
          </w:tcPr>
          <w:p>
            <w:pPr>
              <w:jc w:val="right"/>
              <w:ind w:right="388"/>
              <w:spacing w:after="0" w:line="149" w:lineRule="exact"/>
              <w:rPr>
                <w:sz w:val="20"/>
                <w:szCs w:val="20"/>
                <w:color w:val="auto"/>
              </w:rPr>
            </w:pPr>
            <w:r>
              <w:rPr>
                <w:rFonts w:ascii="Arial" w:cs="Arial" w:eastAsia="Arial" w:hAnsi="Arial"/>
                <w:sz w:val="14"/>
                <w:szCs w:val="14"/>
                <w:b w:val="1"/>
                <w:bCs w:val="1"/>
                <w:color w:val="auto"/>
              </w:rPr>
              <w:t>Underlying</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rPr>
              <w:t>That</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Units of</w:t>
            </w:r>
          </w:p>
        </w:tc>
        <w:tc>
          <w:tcPr>
            <w:tcW w:w="104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rPr>
              <w:t>or Other</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4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5"/>
              </w:rPr>
              <w:t>Have</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04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6"/>
              </w:rPr>
              <w:t>Rights That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124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Unearned</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vMerge w:val="continue"/>
          </w:tcPr>
          <w:p>
            <w:pPr>
              <w:spacing w:after="0"/>
              <w:rPr>
                <w:sz w:val="12"/>
                <w:szCs w:val="12"/>
                <w:color w:val="auto"/>
              </w:rPr>
            </w:pPr>
          </w:p>
        </w:tc>
        <w:tc>
          <w:tcPr>
            <w:tcW w:w="94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4"/>
              </w:rPr>
              <w:t>Not</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Have Not</w:t>
            </w:r>
          </w:p>
        </w:tc>
        <w:tc>
          <w:tcPr>
            <w:tcW w:w="1040" w:type="dxa"/>
            <w:vAlign w:val="bottom"/>
            <w:gridSpan w:val="2"/>
          </w:tcPr>
          <w:p>
            <w:pPr>
              <w:jc w:val="center"/>
              <w:ind w:right="223"/>
              <w:spacing w:after="0" w:line="149" w:lineRule="exact"/>
              <w:rPr>
                <w:sz w:val="20"/>
                <w:szCs w:val="20"/>
                <w:color w:val="auto"/>
              </w:rPr>
            </w:pPr>
            <w:r>
              <w:rPr>
                <w:rFonts w:ascii="Arial" w:cs="Arial" w:eastAsia="Arial" w:hAnsi="Arial"/>
                <w:sz w:val="14"/>
                <w:szCs w:val="14"/>
                <w:b w:val="1"/>
                <w:bCs w:val="1"/>
                <w:color w:val="auto"/>
                <w:w w:val="95"/>
              </w:rPr>
              <w:t>Have Not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4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Options</w:t>
            </w: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4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1"/>
              </w:rPr>
              <w:t>Vested</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1040" w:type="dxa"/>
            <w:vAlign w:val="bottom"/>
            <w:gridSpan w:val="2"/>
          </w:tcPr>
          <w:p>
            <w:pPr>
              <w:jc w:val="center"/>
              <w:ind w:right="203"/>
              <w:spacing w:after="0" w:line="149" w:lineRule="exact"/>
              <w:rPr>
                <w:sz w:val="20"/>
                <w:szCs w:val="20"/>
                <w:color w:val="auto"/>
              </w:rPr>
            </w:pPr>
            <w:r>
              <w:rPr>
                <w:rFonts w:ascii="Arial" w:cs="Arial" w:eastAsia="Arial" w:hAnsi="Arial"/>
                <w:sz w:val="14"/>
                <w:szCs w:val="14"/>
                <w:b w:val="1"/>
                <w:bCs w:val="1"/>
                <w:color w:val="auto"/>
                <w:w w:val="87"/>
              </w:rPr>
              <w:t>Vested</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2540" w:type="dxa"/>
            <w:vAlign w:val="bottom"/>
            <w:gridSpan w:val="3"/>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87"/>
              </w:rPr>
              <w:t>(2)</w:t>
            </w: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87"/>
              </w:rPr>
              <w:t>(3)</w:t>
            </w: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Steven R. Rowley</w:t>
            </w:r>
          </w:p>
        </w:tc>
        <w:tc>
          <w:tcPr>
            <w:tcW w:w="7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14,755</w:t>
            </w:r>
          </w:p>
        </w:tc>
        <w:tc>
          <w:tcPr>
            <w:tcW w:w="16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ind w:left="580"/>
              <w:spacing w:after="0" w:line="195" w:lineRule="exact"/>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vMerge w:val="continue"/>
            <w:shd w:val="clear" w:color="auto" w:fill="CCEEFF"/>
          </w:tcPr>
          <w:p>
            <w:pPr>
              <w:spacing w:after="0"/>
              <w:rPr>
                <w:sz w:val="16"/>
                <w:szCs w:val="16"/>
                <w:color w:val="auto"/>
              </w:rPr>
            </w:pPr>
          </w:p>
        </w:tc>
        <w:tc>
          <w:tcPr>
            <w:tcW w:w="6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9"/>
              </w:rPr>
              <w:t>$62.830</w:t>
            </w:r>
          </w:p>
        </w:tc>
        <w:tc>
          <w:tcPr>
            <w:tcW w:w="160" w:type="dxa"/>
            <w:vAlign w:val="bottom"/>
            <w:vMerge w:val="continue"/>
            <w:shd w:val="clear" w:color="auto" w:fill="CCEEFF"/>
          </w:tcPr>
          <w:p>
            <w:pPr>
              <w:spacing w:after="0"/>
              <w:rPr>
                <w:sz w:val="16"/>
                <w:szCs w:val="16"/>
                <w:color w:val="auto"/>
              </w:rPr>
            </w:pPr>
          </w:p>
        </w:tc>
        <w:tc>
          <w:tcPr>
            <w:tcW w:w="8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5"/>
              </w:rPr>
              <w:t>05/09/2016</w:t>
            </w:r>
          </w:p>
        </w:tc>
        <w:tc>
          <w:tcPr>
            <w:tcW w:w="16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33,333</w:t>
            </w:r>
          </w:p>
        </w:tc>
        <w:tc>
          <w:tcPr>
            <w:tcW w:w="360" w:type="dxa"/>
            <w:vAlign w:val="bottom"/>
            <w:tcBorders>
              <w:right w:val="single" w:sz="8" w:color="CCEEFF"/>
            </w:tcBorders>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8"/>
              </w:rPr>
              <w:t>$2,785,305</w:t>
            </w:r>
          </w:p>
        </w:tc>
        <w:tc>
          <w:tcPr>
            <w:tcW w:w="16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8,585</w:t>
            </w:r>
          </w:p>
        </w:tc>
        <w:tc>
          <w:tcPr>
            <w:tcW w:w="300" w:type="dxa"/>
            <w:vAlign w:val="bottom"/>
            <w:vMerge w:val="continue"/>
            <w:shd w:val="clear" w:color="auto" w:fill="CCEEFF"/>
          </w:tcPr>
          <w:p>
            <w:pPr>
              <w:spacing w:after="0"/>
              <w:rPr>
                <w:sz w:val="16"/>
                <w:szCs w:val="16"/>
                <w:color w:val="auto"/>
              </w:rPr>
            </w:pPr>
          </w:p>
        </w:tc>
        <w:tc>
          <w:tcPr>
            <w:tcW w:w="7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$ 717,363</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33,232</w:t>
            </w:r>
          </w:p>
        </w:tc>
        <w:tc>
          <w:tcPr>
            <w:tcW w:w="12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30.735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05/18/2020</w:t>
            </w:r>
          </w:p>
        </w:tc>
        <w:tc>
          <w:tcPr>
            <w:tcW w:w="940" w:type="dxa"/>
            <w:vAlign w:val="bottom"/>
            <w:tcBorders>
              <w:right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20,704</w:t>
            </w:r>
            <w:r>
              <w:rPr>
                <w:rFonts w:ascii="Arial" w:cs="Arial" w:eastAsia="Arial" w:hAnsi="Arial"/>
                <w:sz w:val="15"/>
                <w:szCs w:val="15"/>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1,730,026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88,620</w:t>
            </w:r>
          </w:p>
        </w:tc>
        <w:tc>
          <w:tcPr>
            <w:tcW w:w="12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27.530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06/27/2021</w:t>
            </w:r>
          </w:p>
        </w:tc>
        <w:tc>
          <w:tcPr>
            <w:tcW w:w="940" w:type="dxa"/>
            <w:vAlign w:val="bottom"/>
            <w:tcBorders>
              <w:right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6,174</w:t>
            </w:r>
            <w:r>
              <w:rPr>
                <w:rFonts w:ascii="Arial" w:cs="Arial" w:eastAsia="Arial" w:hAnsi="Arial"/>
                <w:sz w:val="15"/>
                <w:szCs w:val="15"/>
                <w:color w:val="auto"/>
              </w:rPr>
              <w:t>(5)</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515,899</w:t>
            </w: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80,412</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40,206</w:t>
            </w:r>
            <w:r>
              <w:rPr>
                <w:rFonts w:ascii="Arial" w:cs="Arial" w:eastAsia="Arial" w:hAnsi="Arial"/>
                <w:sz w:val="15"/>
                <w:szCs w:val="15"/>
                <w:color w:val="auto"/>
              </w:rPr>
              <w:t>(6)</w:t>
            </w:r>
          </w:p>
        </w:tc>
        <w:tc>
          <w:tcPr>
            <w:tcW w:w="114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33.690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06/19/2022</w:t>
            </w:r>
          </w:p>
        </w:tc>
        <w:tc>
          <w:tcPr>
            <w:tcW w:w="940" w:type="dxa"/>
            <w:vAlign w:val="bottom"/>
            <w:tcBorders>
              <w:right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6,696</w:t>
            </w:r>
            <w:r>
              <w:rPr>
                <w:rFonts w:ascii="Arial" w:cs="Arial" w:eastAsia="Arial" w:hAnsi="Arial"/>
                <w:sz w:val="15"/>
                <w:szCs w:val="15"/>
                <w:color w:val="auto"/>
              </w:rPr>
              <w:t>(7)</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559,518</w:t>
            </w: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28,804</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57,607</w:t>
            </w:r>
            <w:r>
              <w:rPr>
                <w:rFonts w:ascii="Arial" w:cs="Arial" w:eastAsia="Arial" w:hAnsi="Arial"/>
                <w:sz w:val="15"/>
                <w:szCs w:val="15"/>
                <w:color w:val="auto"/>
              </w:rPr>
              <w:t>(8)</w:t>
            </w:r>
          </w:p>
        </w:tc>
        <w:tc>
          <w:tcPr>
            <w:tcW w:w="114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67.210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08/12/2023</w:t>
            </w:r>
          </w:p>
        </w:tc>
        <w:tc>
          <w:tcPr>
            <w:tcW w:w="940" w:type="dxa"/>
            <w:vAlign w:val="bottom"/>
            <w:tcBorders>
              <w:right w:val="single" w:sz="8" w:color="CCEEFF"/>
            </w:tcBorders>
            <w:gridSpan w:val="2"/>
            <w:shd w:val="clear" w:color="auto" w:fill="CCEEFF"/>
          </w:tcPr>
          <w:p>
            <w:pPr>
              <w:jc w:val="right"/>
              <w:ind w:right="38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70,266</w:t>
            </w:r>
            <w:r>
              <w:rPr>
                <w:rFonts w:ascii="Arial" w:cs="Arial" w:eastAsia="Arial" w:hAnsi="Arial"/>
                <w:sz w:val="15"/>
                <w:szCs w:val="15"/>
                <w:color w:val="auto"/>
              </w:rPr>
              <w:t>(9)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87.370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06/03/2024</w:t>
            </w:r>
          </w:p>
        </w:tc>
        <w:tc>
          <w:tcPr>
            <w:tcW w:w="940" w:type="dxa"/>
            <w:vAlign w:val="bottom"/>
            <w:tcBorders>
              <w:right w:val="single" w:sz="8" w:color="CCEEFF"/>
            </w:tcBorders>
            <w:gridSpan w:val="2"/>
            <w:shd w:val="clear" w:color="auto" w:fill="CCEEFF"/>
          </w:tcPr>
          <w:p>
            <w:pPr>
              <w:jc w:val="right"/>
              <w:ind w:right="38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54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10,653</w:t>
            </w:r>
          </w:p>
        </w:tc>
        <w:tc>
          <w:tcPr>
            <w:tcW w:w="12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27.530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06/27/2021</w:t>
            </w:r>
          </w:p>
        </w:tc>
        <w:tc>
          <w:tcPr>
            <w:tcW w:w="940" w:type="dxa"/>
            <w:vAlign w:val="bottom"/>
            <w:gridSpan w:val="2"/>
          </w:tcPr>
          <w:p>
            <w:pPr>
              <w:jc w:val="right"/>
              <w:ind w:right="103"/>
              <w:spacing w:after="0"/>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(2)</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974,895</w:t>
            </w:r>
          </w:p>
        </w:tc>
        <w:tc>
          <w:tcPr>
            <w:tcW w:w="1040" w:type="dxa"/>
            <w:vAlign w:val="bottom"/>
            <w:gridSpan w:val="2"/>
          </w:tcPr>
          <w:p>
            <w:pPr>
              <w:jc w:val="right"/>
              <w:ind w:right="43"/>
              <w:spacing w:after="0"/>
              <w:rPr>
                <w:sz w:val="20"/>
                <w:szCs w:val="20"/>
                <w:color w:val="auto"/>
              </w:rPr>
            </w:pPr>
            <w:r>
              <w:rPr>
                <w:rFonts w:ascii="Arial" w:cs="Arial" w:eastAsia="Arial" w:hAnsi="Arial"/>
                <w:sz w:val="18"/>
                <w:szCs w:val="18"/>
                <w:color w:val="auto"/>
              </w:rPr>
              <w:t>4,293</w:t>
            </w:r>
            <w:r>
              <w:rPr>
                <w:rFonts w:ascii="Arial" w:cs="Arial" w:eastAsia="Arial" w:hAnsi="Arial"/>
                <w:sz w:val="15"/>
                <w:szCs w:val="15"/>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rPr>
              <w:t>358,723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21,456</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10,728</w:t>
            </w:r>
            <w:r>
              <w:rPr>
                <w:rFonts w:ascii="Arial" w:cs="Arial" w:eastAsia="Arial" w:hAnsi="Arial"/>
                <w:sz w:val="15"/>
                <w:szCs w:val="15"/>
                <w:color w:val="auto"/>
              </w:rPr>
              <w:t>(6)</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33.690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06/19/2022</w:t>
            </w:r>
          </w:p>
        </w:tc>
        <w:tc>
          <w:tcPr>
            <w:tcW w:w="940" w:type="dxa"/>
            <w:vAlign w:val="bottom"/>
            <w:gridSpan w:val="2"/>
          </w:tcPr>
          <w:p>
            <w:pPr>
              <w:jc w:val="right"/>
              <w:ind w:right="103"/>
              <w:spacing w:after="0"/>
              <w:rPr>
                <w:sz w:val="20"/>
                <w:szCs w:val="20"/>
                <w:color w:val="auto"/>
              </w:rPr>
            </w:pPr>
            <w:r>
              <w:rPr>
                <w:rFonts w:ascii="Arial" w:cs="Arial" w:eastAsia="Arial" w:hAnsi="Arial"/>
                <w:sz w:val="18"/>
                <w:szCs w:val="18"/>
                <w:color w:val="auto"/>
              </w:rPr>
              <w:t>5,993</w:t>
            </w:r>
            <w:r>
              <w:rPr>
                <w:rFonts w:ascii="Arial" w:cs="Arial" w:eastAsia="Arial" w:hAnsi="Arial"/>
                <w:sz w:val="15"/>
                <w:szCs w:val="15"/>
                <w:color w:val="auto"/>
              </w:rPr>
              <w:t>(4)</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500,775</w:t>
            </w:r>
          </w:p>
        </w:tc>
        <w:tc>
          <w:tcPr>
            <w:tcW w:w="104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7,201</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14,402</w:t>
            </w:r>
            <w:r>
              <w:rPr>
                <w:rFonts w:ascii="Arial" w:cs="Arial" w:eastAsia="Arial" w:hAnsi="Arial"/>
                <w:sz w:val="15"/>
                <w:szCs w:val="15"/>
                <w:color w:val="auto"/>
              </w:rPr>
              <w:t>(8)</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67.210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08/12/2023</w:t>
            </w:r>
          </w:p>
        </w:tc>
        <w:tc>
          <w:tcPr>
            <w:tcW w:w="940" w:type="dxa"/>
            <w:vAlign w:val="bottom"/>
            <w:gridSpan w:val="2"/>
          </w:tcPr>
          <w:p>
            <w:pPr>
              <w:jc w:val="right"/>
              <w:ind w:right="103"/>
              <w:spacing w:after="0"/>
              <w:rPr>
                <w:sz w:val="20"/>
                <w:szCs w:val="20"/>
                <w:color w:val="auto"/>
              </w:rPr>
            </w:pPr>
            <w:r>
              <w:rPr>
                <w:rFonts w:ascii="Arial" w:cs="Arial" w:eastAsia="Arial" w:hAnsi="Arial"/>
                <w:sz w:val="18"/>
                <w:szCs w:val="18"/>
                <w:color w:val="auto"/>
              </w:rPr>
              <w:t>1,647</w:t>
            </w:r>
            <w:r>
              <w:rPr>
                <w:rFonts w:ascii="Arial" w:cs="Arial" w:eastAsia="Arial" w:hAnsi="Arial"/>
                <w:sz w:val="15"/>
                <w:szCs w:val="15"/>
                <w:color w:val="auto"/>
              </w:rPr>
              <w:t>(5)</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137,623</w:t>
            </w:r>
          </w:p>
        </w:tc>
        <w:tc>
          <w:tcPr>
            <w:tcW w:w="104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11,711</w:t>
            </w:r>
            <w:r>
              <w:rPr>
                <w:rFonts w:ascii="Arial" w:cs="Arial" w:eastAsia="Arial" w:hAnsi="Arial"/>
                <w:sz w:val="15"/>
                <w:szCs w:val="15"/>
                <w:color w:val="auto"/>
              </w:rPr>
              <w:t>(9)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87.370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06/03/2024</w:t>
            </w:r>
          </w:p>
        </w:tc>
        <w:tc>
          <w:tcPr>
            <w:tcW w:w="940" w:type="dxa"/>
            <w:vAlign w:val="bottom"/>
            <w:gridSpan w:val="2"/>
          </w:tcPr>
          <w:p>
            <w:pPr>
              <w:jc w:val="right"/>
              <w:ind w:right="103"/>
              <w:spacing w:after="0"/>
              <w:rPr>
                <w:sz w:val="20"/>
                <w:szCs w:val="20"/>
                <w:color w:val="auto"/>
              </w:rPr>
            </w:pPr>
            <w:r>
              <w:rPr>
                <w:rFonts w:ascii="Arial" w:cs="Arial" w:eastAsia="Arial" w:hAnsi="Arial"/>
                <w:sz w:val="18"/>
                <w:szCs w:val="18"/>
                <w:color w:val="auto"/>
              </w:rPr>
              <w:t>1,674</w:t>
            </w:r>
            <w:r>
              <w:rPr>
                <w:rFonts w:ascii="Arial" w:cs="Arial" w:eastAsia="Arial" w:hAnsi="Arial"/>
                <w:sz w:val="15"/>
                <w:szCs w:val="15"/>
                <w:color w:val="auto"/>
              </w:rPr>
              <w:t>(7)</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139,879</w:t>
            </w:r>
          </w:p>
        </w:tc>
        <w:tc>
          <w:tcPr>
            <w:tcW w:w="104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50,000</w:t>
            </w:r>
            <w:r>
              <w:rPr>
                <w:rFonts w:ascii="Arial" w:cs="Arial" w:eastAsia="Arial" w:hAnsi="Arial"/>
                <w:sz w:val="15"/>
                <w:szCs w:val="15"/>
                <w:color w:val="auto"/>
              </w:rPr>
              <w:t>(10)</w:t>
            </w:r>
          </w:p>
        </w:tc>
        <w:tc>
          <w:tcPr>
            <w:tcW w:w="114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12/01/2024</w:t>
            </w:r>
          </w:p>
        </w:tc>
        <w:tc>
          <w:tcPr>
            <w:tcW w:w="940" w:type="dxa"/>
            <w:vAlign w:val="bottom"/>
            <w:tcBorders>
              <w:right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97"/>
              </w:rPr>
              <w:t>10,000</w:t>
            </w:r>
            <w:r>
              <w:rPr>
                <w:rFonts w:ascii="Arial" w:cs="Arial" w:eastAsia="Arial" w:hAnsi="Arial"/>
                <w:sz w:val="15"/>
                <w:szCs w:val="15"/>
                <w:color w:val="auto"/>
                <w:w w:val="97"/>
              </w:rPr>
              <w:t>(11)</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835,600</w:t>
            </w: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540" w:type="dxa"/>
            <w:vAlign w:val="bottom"/>
            <w:gridSpan w:val="3"/>
          </w:tcPr>
          <w:p>
            <w:pPr>
              <w:spacing w:after="0"/>
              <w:rPr>
                <w:sz w:val="20"/>
                <w:szCs w:val="20"/>
                <w:color w:val="auto"/>
              </w:rPr>
            </w:pPr>
            <w:r>
              <w:rPr>
                <w:rFonts w:ascii="Arial" w:cs="Arial" w:eastAsia="Arial" w:hAnsi="Arial"/>
                <w:sz w:val="18"/>
                <w:szCs w:val="18"/>
                <w:color w:val="auto"/>
              </w:rPr>
              <w:t>Gerald J. Essl</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9,523</w:t>
            </w:r>
          </w:p>
        </w:tc>
        <w:tc>
          <w:tcPr>
            <w:tcW w:w="12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27.530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06/27/2021</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11,598</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11,598</w:t>
            </w:r>
            <w:r>
              <w:rPr>
                <w:rFonts w:ascii="Arial" w:cs="Arial" w:eastAsia="Arial" w:hAnsi="Arial"/>
                <w:sz w:val="15"/>
                <w:szCs w:val="15"/>
                <w:color w:val="auto"/>
              </w:rPr>
              <w:t>(6)</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33.690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06/19/2022</w:t>
            </w:r>
          </w:p>
        </w:tc>
        <w:tc>
          <w:tcPr>
            <w:tcW w:w="940" w:type="dxa"/>
            <w:vAlign w:val="bottom"/>
            <w:gridSpan w:val="2"/>
          </w:tcPr>
          <w:p>
            <w:pPr>
              <w:jc w:val="right"/>
              <w:ind w:right="103"/>
              <w:spacing w:after="0"/>
              <w:rPr>
                <w:sz w:val="20"/>
                <w:szCs w:val="20"/>
                <w:color w:val="auto"/>
              </w:rPr>
            </w:pPr>
            <w:r>
              <w:rPr>
                <w:rFonts w:ascii="Arial" w:cs="Arial" w:eastAsia="Arial" w:hAnsi="Arial"/>
                <w:sz w:val="18"/>
                <w:szCs w:val="18"/>
                <w:color w:val="auto"/>
              </w:rPr>
              <w:t>6,674</w:t>
            </w:r>
            <w:r>
              <w:rPr>
                <w:rFonts w:ascii="Arial" w:cs="Arial" w:eastAsia="Arial" w:hAnsi="Arial"/>
                <w:sz w:val="15"/>
                <w:szCs w:val="15"/>
                <w:color w:val="auto"/>
              </w:rPr>
              <w:t>(4)</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557,679</w:t>
            </w:r>
          </w:p>
        </w:tc>
        <w:tc>
          <w:tcPr>
            <w:tcW w:w="1040" w:type="dxa"/>
            <w:vAlign w:val="bottom"/>
            <w:gridSpan w:val="2"/>
          </w:tcPr>
          <w:p>
            <w:pPr>
              <w:jc w:val="right"/>
              <w:ind w:right="43"/>
              <w:spacing w:after="0"/>
              <w:rPr>
                <w:sz w:val="20"/>
                <w:szCs w:val="20"/>
                <w:color w:val="auto"/>
              </w:rPr>
            </w:pPr>
            <w:r>
              <w:rPr>
                <w:rFonts w:ascii="Arial" w:cs="Arial" w:eastAsia="Arial" w:hAnsi="Arial"/>
                <w:sz w:val="18"/>
                <w:szCs w:val="18"/>
                <w:color w:val="auto"/>
              </w:rPr>
              <w:t>7,297</w:t>
            </w:r>
            <w:r>
              <w:rPr>
                <w:rFonts w:ascii="Arial" w:cs="Arial" w:eastAsia="Arial" w:hAnsi="Arial"/>
                <w:sz w:val="15"/>
                <w:szCs w:val="15"/>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rPr>
              <w:t>609,737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2,721</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5,440</w:t>
            </w:r>
            <w:r>
              <w:rPr>
                <w:rFonts w:ascii="Arial" w:cs="Arial" w:eastAsia="Arial" w:hAnsi="Arial"/>
                <w:sz w:val="15"/>
                <w:szCs w:val="15"/>
                <w:color w:val="auto"/>
              </w:rPr>
              <w:t>(8)</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67.210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08/12/2023</w:t>
            </w:r>
          </w:p>
        </w:tc>
        <w:tc>
          <w:tcPr>
            <w:tcW w:w="940" w:type="dxa"/>
            <w:vAlign w:val="bottom"/>
            <w:gridSpan w:val="2"/>
          </w:tcPr>
          <w:p>
            <w:pPr>
              <w:jc w:val="right"/>
              <w:ind w:right="103"/>
              <w:spacing w:after="0"/>
              <w:rPr>
                <w:sz w:val="20"/>
                <w:szCs w:val="20"/>
                <w:color w:val="auto"/>
              </w:rPr>
            </w:pPr>
            <w:r>
              <w:rPr>
                <w:rFonts w:ascii="Arial" w:cs="Arial" w:eastAsia="Arial" w:hAnsi="Arial"/>
                <w:sz w:val="18"/>
                <w:szCs w:val="18"/>
                <w:color w:val="auto"/>
              </w:rPr>
              <w:t>1,780</w:t>
            </w:r>
            <w:r>
              <w:rPr>
                <w:rFonts w:ascii="Arial" w:cs="Arial" w:eastAsia="Arial" w:hAnsi="Arial"/>
                <w:sz w:val="15"/>
                <w:szCs w:val="15"/>
                <w:color w:val="auto"/>
              </w:rPr>
              <w:t>(5)</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148,737</w:t>
            </w:r>
          </w:p>
        </w:tc>
        <w:tc>
          <w:tcPr>
            <w:tcW w:w="104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6,637</w:t>
            </w:r>
            <w:r>
              <w:rPr>
                <w:rFonts w:ascii="Arial" w:cs="Arial" w:eastAsia="Arial" w:hAnsi="Arial"/>
                <w:sz w:val="15"/>
                <w:szCs w:val="15"/>
                <w:color w:val="auto"/>
              </w:rPr>
              <w:t>(9)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87.370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06/03/2024</w:t>
            </w:r>
          </w:p>
        </w:tc>
        <w:tc>
          <w:tcPr>
            <w:tcW w:w="940" w:type="dxa"/>
            <w:vAlign w:val="bottom"/>
            <w:gridSpan w:val="2"/>
          </w:tcPr>
          <w:p>
            <w:pPr>
              <w:jc w:val="right"/>
              <w:ind w:right="103"/>
              <w:spacing w:after="0"/>
              <w:rPr>
                <w:sz w:val="20"/>
                <w:szCs w:val="20"/>
                <w:color w:val="auto"/>
              </w:rPr>
            </w:pPr>
            <w:r>
              <w:rPr>
                <w:rFonts w:ascii="Arial" w:cs="Arial" w:eastAsia="Arial" w:hAnsi="Arial"/>
                <w:sz w:val="18"/>
                <w:szCs w:val="18"/>
                <w:color w:val="auto"/>
              </w:rPr>
              <w:t>5,691</w:t>
            </w:r>
            <w:r>
              <w:rPr>
                <w:rFonts w:ascii="Arial" w:cs="Arial" w:eastAsia="Arial" w:hAnsi="Arial"/>
                <w:sz w:val="15"/>
                <w:szCs w:val="15"/>
                <w:color w:val="auto"/>
              </w:rPr>
              <w:t>(7)</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475,540</w:t>
            </w:r>
          </w:p>
        </w:tc>
        <w:tc>
          <w:tcPr>
            <w:tcW w:w="1040" w:type="dxa"/>
            <w:vAlign w:val="bottom"/>
            <w:gridSpan w:val="2"/>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David B. Powers</w:t>
            </w: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9,523</w:t>
            </w:r>
          </w:p>
        </w:tc>
        <w:tc>
          <w:tcPr>
            <w:tcW w:w="1240" w:type="dxa"/>
            <w:vAlign w:val="bottom"/>
            <w:gridSpan w:val="2"/>
            <w:shd w:val="clear" w:color="auto" w:fill="CCEEFF"/>
          </w:tcPr>
          <w:p>
            <w:pPr>
              <w:jc w:val="right"/>
              <w:ind w:right="388"/>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27.530</w:t>
            </w:r>
          </w:p>
        </w:tc>
        <w:tc>
          <w:tcPr>
            <w:tcW w:w="10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5"/>
              </w:rPr>
              <w:t>06/27/2021</w:t>
            </w:r>
          </w:p>
        </w:tc>
        <w:tc>
          <w:tcPr>
            <w:tcW w:w="940" w:type="dxa"/>
            <w:vAlign w:val="bottom"/>
            <w:tcBorders>
              <w:right w:val="single" w:sz="8" w:color="CCEEFF"/>
            </w:tcBorders>
            <w:gridSpan w:val="2"/>
            <w:shd w:val="clear" w:color="auto" w:fill="CCEEFF"/>
          </w:tcPr>
          <w:p>
            <w:pPr>
              <w:jc w:val="right"/>
              <w:ind w:right="103"/>
              <w:spacing w:after="0" w:line="201" w:lineRule="exact"/>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(2)</w:t>
            </w:r>
          </w:p>
        </w:tc>
        <w:tc>
          <w:tcPr>
            <w:tcW w:w="9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974,895</w:t>
            </w:r>
          </w:p>
        </w:tc>
        <w:tc>
          <w:tcPr>
            <w:tcW w:w="1040" w:type="dxa"/>
            <w:vAlign w:val="bottom"/>
            <w:gridSpan w:val="2"/>
            <w:shd w:val="clear" w:color="auto" w:fill="CCEEFF"/>
          </w:tcPr>
          <w:p>
            <w:pPr>
              <w:jc w:val="right"/>
              <w:ind w:right="43"/>
              <w:spacing w:after="0" w:line="201" w:lineRule="exact"/>
              <w:rPr>
                <w:sz w:val="20"/>
                <w:szCs w:val="20"/>
                <w:color w:val="auto"/>
              </w:rPr>
            </w:pPr>
            <w:r>
              <w:rPr>
                <w:rFonts w:ascii="Arial" w:cs="Arial" w:eastAsia="Arial" w:hAnsi="Arial"/>
                <w:sz w:val="18"/>
                <w:szCs w:val="18"/>
                <w:color w:val="auto"/>
              </w:rPr>
              <w:t>6,868</w:t>
            </w:r>
            <w:r>
              <w:rPr>
                <w:rFonts w:ascii="Arial" w:cs="Arial" w:eastAsia="Arial" w:hAnsi="Arial"/>
                <w:sz w:val="15"/>
                <w:szCs w:val="15"/>
                <w:color w:val="auto"/>
              </w:rPr>
              <w:t>(3)</w:t>
            </w: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573,890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23,196</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11,598</w:t>
            </w:r>
            <w:r>
              <w:rPr>
                <w:rFonts w:ascii="Arial" w:cs="Arial" w:eastAsia="Arial" w:hAnsi="Arial"/>
                <w:sz w:val="15"/>
                <w:szCs w:val="15"/>
                <w:color w:val="auto"/>
              </w:rPr>
              <w:t>(6)</w:t>
            </w:r>
          </w:p>
        </w:tc>
        <w:tc>
          <w:tcPr>
            <w:tcW w:w="114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33.690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06/19/2022</w:t>
            </w:r>
          </w:p>
        </w:tc>
        <w:tc>
          <w:tcPr>
            <w:tcW w:w="940" w:type="dxa"/>
            <w:vAlign w:val="bottom"/>
            <w:tcBorders>
              <w:right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6,674</w:t>
            </w:r>
            <w:r>
              <w:rPr>
                <w:rFonts w:ascii="Arial" w:cs="Arial" w:eastAsia="Arial" w:hAnsi="Arial"/>
                <w:sz w:val="15"/>
                <w:szCs w:val="15"/>
                <w:color w:val="auto"/>
              </w:rPr>
              <w:t>(4)</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557,679</w:t>
            </w: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2,561</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5,120</w:t>
            </w:r>
            <w:r>
              <w:rPr>
                <w:rFonts w:ascii="Arial" w:cs="Arial" w:eastAsia="Arial" w:hAnsi="Arial"/>
                <w:sz w:val="15"/>
                <w:szCs w:val="15"/>
                <w:color w:val="auto"/>
              </w:rPr>
              <w:t>(8)</w:t>
            </w:r>
          </w:p>
        </w:tc>
        <w:tc>
          <w:tcPr>
            <w:tcW w:w="114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67.210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08/12/2023</w:t>
            </w:r>
          </w:p>
        </w:tc>
        <w:tc>
          <w:tcPr>
            <w:tcW w:w="940" w:type="dxa"/>
            <w:vAlign w:val="bottom"/>
            <w:tcBorders>
              <w:right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1,780</w:t>
            </w:r>
            <w:r>
              <w:rPr>
                <w:rFonts w:ascii="Arial" w:cs="Arial" w:eastAsia="Arial" w:hAnsi="Arial"/>
                <w:sz w:val="15"/>
                <w:szCs w:val="15"/>
                <w:color w:val="auto"/>
              </w:rPr>
              <w:t>(5)</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148,737</w:t>
            </w: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6,246</w:t>
            </w:r>
            <w:r>
              <w:rPr>
                <w:rFonts w:ascii="Arial" w:cs="Arial" w:eastAsia="Arial" w:hAnsi="Arial"/>
                <w:sz w:val="15"/>
                <w:szCs w:val="15"/>
                <w:color w:val="auto"/>
              </w:rPr>
              <w:t>(9)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87.370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06/03/2024</w:t>
            </w:r>
          </w:p>
        </w:tc>
        <w:tc>
          <w:tcPr>
            <w:tcW w:w="940" w:type="dxa"/>
            <w:vAlign w:val="bottom"/>
            <w:tcBorders>
              <w:right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5,356</w:t>
            </w:r>
            <w:r>
              <w:rPr>
                <w:rFonts w:ascii="Arial" w:cs="Arial" w:eastAsia="Arial" w:hAnsi="Arial"/>
                <w:sz w:val="15"/>
                <w:szCs w:val="15"/>
                <w:color w:val="auto"/>
              </w:rPr>
              <w:t>(7)</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447,547</w:t>
            </w: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31, 2015 ($83.56).</w:t>
      </w:r>
    </w:p>
    <w:p>
      <w:pPr>
        <w:spacing w:after="0" w:line="23"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restricted stock granted on May 18, 2010 under our Incentive Plan. Restrictions will lapse upon the Named Executive Officer meeting the requirements of retirement, as defined in the award agreement.</w:t>
      </w:r>
    </w:p>
    <w:p>
      <w:pPr>
        <w:ind w:left="460" w:right="20" w:hanging="452"/>
        <w:spacing w:after="0" w:line="28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restricted stock granted on June 3, 2014 under our Incentive Plan. The Compensation Committee determined in May 2015 (i.e., after the end of fiscal 2015) that 100% of such stock was earned. One-fifth of the earned restricted shares was paid to the Named Executive Officer on May 7, 2015. Restrictions will lapse on the remaining four-fifths of the restricted shares on March 31, 2016; March 31, 2017; March 31, 2018; and March 31, 2019.</w:t>
      </w:r>
    </w:p>
    <w:p>
      <w:pPr>
        <w:spacing w:after="0" w:line="2"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restricted stock granted on June 27, 2011 under our Incentive Plan. Restrictions will lapse ratably on the remaining restricted shares on March 31, 2016.</w:t>
      </w:r>
    </w:p>
    <w:p>
      <w:pPr>
        <w:ind w:left="460" w:right="42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restricted stock granted on June 19, 2012 under our Incentive Plan. Restrictions will lapse ratably on the remaining restricted shares on March 31, 2016; and March 31, 2017.</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stock options granted on June 19, 2012 under our Incentive Plan. The options vest ratably over three years.</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restricted stock granted on August 12, 2013 under our Incentive Plan. Restrictions will lapse ratably on the remaining restricted shares on March 31, 2016; March 31, 2017; and March 31, 2018.</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stock options granted on August 12, 2013 under our Incentive Plan. The options vest ratably over three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hanging="452"/>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stock options granted on June 3, 2014 under our Incentive Plan. The Compensation Committee determined in May 2015 (i.e., after the end of fiscal 2015) that 100% of such stock options was earned. One-third of the earned stock options vested on May 5, 2015. The remaining two-thirds of the stock options will vest ratably on March 31, 2016; and March 31, 2017.</w:t>
      </w:r>
    </w:p>
    <w:p>
      <w:pPr>
        <w:ind w:left="460" w:right="26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stock options granted to Mr. Haack under our Incentive Plan in connection with his joining the Company as Chief Operating Officer on December 1, 2014. The stock options will vest ratably over five years.</w:t>
      </w:r>
    </w:p>
    <w:p>
      <w:pPr>
        <w:ind w:left="460" w:right="12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restricted stock granted to Mr. Haack under our Incentive Plan in connection with his joining the Company as Chief Operating Officer on December 1, 2014. The restrictions will lapse ratably over five years.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during fiscal 2015 for each of our Named Executive Officers.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Stock Awards</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720" w:type="dxa"/>
            <w:vAlign w:val="bottom"/>
          </w:tcPr>
          <w:p>
            <w:pPr>
              <w:spacing w:after="0"/>
              <w:rPr>
                <w:sz w:val="10"/>
                <w:szCs w:val="10"/>
                <w:color w:val="auto"/>
              </w:rPr>
            </w:pPr>
          </w:p>
        </w:tc>
        <w:tc>
          <w:tcPr>
            <w:tcW w:w="210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60" w:type="dxa"/>
            <w:vAlign w:val="bottom"/>
            <w:vMerge w:val="restart"/>
          </w:tcPr>
          <w:p>
            <w:pPr>
              <w:spacing w:after="0"/>
              <w:rPr>
                <w:sz w:val="12"/>
                <w:szCs w:val="12"/>
                <w:color w:val="auto"/>
              </w:rPr>
            </w:pPr>
          </w:p>
        </w:tc>
        <w:tc>
          <w:tcPr>
            <w:tcW w:w="20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200" w:type="dxa"/>
            <w:vAlign w:val="bottom"/>
          </w:tcPr>
          <w:p>
            <w:pPr>
              <w:spacing w:after="0"/>
              <w:rPr>
                <w:sz w:val="12"/>
                <w:szCs w:val="12"/>
                <w:color w:val="auto"/>
              </w:rPr>
            </w:pPr>
          </w:p>
        </w:tc>
        <w:tc>
          <w:tcPr>
            <w:tcW w:w="16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Exercise</w:t>
            </w:r>
          </w:p>
        </w:tc>
        <w:tc>
          <w:tcPr>
            <w:tcW w:w="21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Acquired on Vesting</w:t>
            </w:r>
            <w:r>
              <w:rPr>
                <w:rFonts w:ascii="Arial" w:cs="Arial" w:eastAsia="Arial" w:hAnsi="Arial"/>
                <w:sz w:val="12"/>
                <w:szCs w:val="12"/>
                <w:b w:val="1"/>
                <w:bCs w:val="1"/>
                <w:color w:val="auto"/>
                <w:w w:val="91"/>
              </w:rPr>
              <w:t>(1)</w:t>
            </w: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Vesting</w:t>
            </w:r>
            <w:r>
              <w:rPr>
                <w:rFonts w:ascii="Arial" w:cs="Arial" w:eastAsia="Arial" w:hAnsi="Arial"/>
                <w:sz w:val="12"/>
                <w:szCs w:val="12"/>
                <w:b w:val="1"/>
                <w:bCs w:val="1"/>
                <w:color w:val="auto"/>
                <w:w w:val="88"/>
              </w:rPr>
              <w:t>(2)</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960" w:type="dxa"/>
            <w:vAlign w:val="bottom"/>
            <w:tcBorders>
              <w:bottom w:val="single" w:sz="8" w:color="CCEEFF"/>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3"/>
              </w:rPr>
              <w:t>($)</w:t>
            </w:r>
          </w:p>
        </w:tc>
        <w:tc>
          <w:tcPr>
            <w:tcW w:w="7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020" w:type="dxa"/>
            <w:vAlign w:val="bottom"/>
            <w:gridSpan w:val="2"/>
          </w:tcPr>
          <w:p>
            <w:pPr>
              <w:ind w:left="840"/>
              <w:spacing w:after="0"/>
              <w:rPr>
                <w:sz w:val="20"/>
                <w:szCs w:val="20"/>
                <w:color w:val="auto"/>
              </w:rPr>
            </w:pPr>
            <w:r>
              <w:rPr>
                <w:rFonts w:ascii="Arial" w:cs="Arial" w:eastAsia="Arial" w:hAnsi="Arial"/>
                <w:sz w:val="18"/>
                <w:szCs w:val="18"/>
                <w:color w:val="auto"/>
              </w:rPr>
              <w:t>15,000</w:t>
            </w: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200"/>
              <w:spacing w:after="0"/>
              <w:rPr>
                <w:sz w:val="20"/>
                <w:szCs w:val="20"/>
                <w:color w:val="auto"/>
              </w:rPr>
            </w:pPr>
            <w:r>
              <w:rPr>
                <w:rFonts w:ascii="Arial" w:cs="Arial" w:eastAsia="Arial" w:hAnsi="Arial"/>
                <w:sz w:val="18"/>
                <w:szCs w:val="18"/>
                <w:color w:val="auto"/>
                <w:w w:val="87"/>
              </w:rPr>
              <w:t>1,101,498</w:t>
            </w:r>
          </w:p>
        </w:tc>
        <w:tc>
          <w:tcPr>
            <w:tcW w:w="7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9,933</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860,908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20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20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23,027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2,170,175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20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80" w:hanging="452"/>
        <w:spacing w:after="0" w:line="25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the amounts in this column represent shares of Common Stock received by the Named Executive Officer in connection with the lapsing of restrictions on restricted stock previously granted to the Named Executive Officers.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 in this column represents the dollar amount realized by the Named Executive Officer valued at the time of the vesting of such shares.</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240" w:top="459"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FY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Executive</w:t>
            </w:r>
          </w:p>
        </w:tc>
        <w:tc>
          <w:tcPr>
            <w:tcW w:w="14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Registrant</w:t>
            </w:r>
          </w:p>
        </w:tc>
        <w:tc>
          <w:tcPr>
            <w:tcW w:w="18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Aggregate Earnings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56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5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20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in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Withdrawals/</w:t>
            </w:r>
          </w:p>
        </w:tc>
        <w:tc>
          <w:tcPr>
            <w:tcW w:w="5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80" w:type="dxa"/>
            <w:vAlign w:val="bottom"/>
            <w:vMerge w:val="restart"/>
          </w:tcPr>
          <w:p>
            <w:pPr>
              <w:spacing w:after="0"/>
              <w:rPr>
                <w:sz w:val="12"/>
                <w:szCs w:val="12"/>
                <w:color w:val="auto"/>
              </w:rPr>
            </w:pPr>
          </w:p>
        </w:tc>
        <w:tc>
          <w:tcPr>
            <w:tcW w:w="15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Last FY</w:t>
            </w:r>
          </w:p>
        </w:tc>
        <w:tc>
          <w:tcPr>
            <w:tcW w:w="14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Last FY</w:t>
            </w:r>
            <w:r>
              <w:rPr>
                <w:rFonts w:ascii="Arial" w:cs="Arial" w:eastAsia="Arial" w:hAnsi="Arial"/>
                <w:sz w:val="12"/>
                <w:szCs w:val="12"/>
                <w:b w:val="1"/>
                <w:bCs w:val="1"/>
                <w:color w:val="auto"/>
                <w:w w:val="98"/>
              </w:rPr>
              <w:t>(1)</w:t>
            </w:r>
          </w:p>
        </w:tc>
        <w:tc>
          <w:tcPr>
            <w:tcW w:w="20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Last FY</w:t>
            </w:r>
            <w:r>
              <w:rPr>
                <w:rFonts w:ascii="Arial" w:cs="Arial" w:eastAsia="Arial" w:hAnsi="Arial"/>
                <w:sz w:val="12"/>
                <w:szCs w:val="12"/>
                <w:b w:val="1"/>
                <w:bCs w:val="1"/>
                <w:color w:val="auto"/>
                <w:w w:val="98"/>
              </w:rPr>
              <w:t>(2)</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5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Last FYE</w:t>
            </w:r>
            <w:r>
              <w:rPr>
                <w:rFonts w:ascii="Arial" w:cs="Arial" w:eastAsia="Arial" w:hAnsi="Arial"/>
                <w:sz w:val="12"/>
                <w:szCs w:val="12"/>
                <w:b w:val="1"/>
                <w:bCs w:val="1"/>
                <w:color w:val="auto"/>
                <w:w w:val="99"/>
              </w:rPr>
              <w:t>(3)</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78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113,472</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$1,432,195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5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9,475</w:t>
            </w:r>
          </w:p>
        </w:tc>
        <w:tc>
          <w:tcPr>
            <w:tcW w:w="20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2,028</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27,474</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1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15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12,325</w:t>
            </w:r>
          </w:p>
        </w:tc>
        <w:tc>
          <w:tcPr>
            <w:tcW w:w="20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2,955</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364,431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5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12,325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9,210</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85"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in this column represent contributions made by the Company for the account of the Named Executive Officers during fiscal 2015 under our SERP. The SERP is an unfunded, non-qualified plan for certain executives of the Company. Under the SERP, the Company makes contributions to the account of the executive in an amount substantially equal to the additional contributions he would have received under the PSRP had 100% of his annual salary been eligible for a profit sharing contribution. The SERP is described in greater detail under “SERP” on page 33 of this proxy statement. The amounts in this column are reflected in the “All Other Compensation” column of the Summary Compensation Table located on page 36.</w:t>
      </w:r>
    </w:p>
    <w:p>
      <w:pPr>
        <w:spacing w:after="0" w:line="2" w:lineRule="exact"/>
        <w:rPr>
          <w:rFonts w:ascii="Arial" w:cs="Arial" w:eastAsia="Arial" w:hAnsi="Arial"/>
          <w:sz w:val="16"/>
          <w:szCs w:val="16"/>
          <w:color w:val="auto"/>
        </w:rPr>
      </w:pPr>
    </w:p>
    <w:p>
      <w:pPr>
        <w:ind w:left="460" w:hanging="452"/>
        <w:spacing w:after="0" w:line="286"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 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 earnings are not “above market,” they are not included in the Summary Compensation Table on page 36 of this proxy statement. The table below shows the investment options available under our PSRP (other than the Common Stock fund) and the annual rate of return for the 12 month period ended March 31, 2015, as reported to us by the administrator of the plan.</w:t>
      </w:r>
    </w:p>
    <w:p>
      <w:pPr>
        <w:spacing w:after="0" w:line="6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Fund</w:t>
            </w:r>
          </w:p>
        </w:tc>
        <w:tc>
          <w:tcPr>
            <w:tcW w:w="2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Rate of Return</w:t>
            </w: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203"/>
        </w:trPr>
        <w:tc>
          <w:tcPr>
            <w:tcW w:w="4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ABF Large Cap Value</w:t>
            </w:r>
          </w:p>
        </w:tc>
        <w:tc>
          <w:tcPr>
            <w:tcW w:w="16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7.87%</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CBA Aggressive Growth I</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11.73%</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Mainstay Large Cap Growth</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15.59%</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Spartan 500 Index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12.70%</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Low Price Stock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JP Morgan Midcap Growth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13.36%</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Extended Market Index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10.37%</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ABF Small Cap Value PA</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6.22%</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Small Cap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8.76%</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Harbor International Adm</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International Index Adv</w:t>
            </w:r>
          </w:p>
        </w:tc>
        <w:tc>
          <w:tcPr>
            <w:tcW w:w="2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5.91%</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2020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7.76%</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2040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7.86%</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Freedom 2050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7.91%</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Income Fund</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Fidelity Managed Income Portfolio</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1.04%</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Spartan US Bond Index</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Vanguard Inflation Protected Securities Fund</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3.16%</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Retirement Money Market</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r>
    </w:tbl>
    <w:p>
      <w:pPr>
        <w:spacing w:after="0" w:line="107" w:lineRule="exact"/>
        <w:rPr>
          <w:sz w:val="20"/>
          <w:szCs w:val="20"/>
          <w:color w:val="auto"/>
        </w:rPr>
      </w:pPr>
    </w:p>
    <w:p>
      <w:pPr>
        <w:ind w:left="460" w:right="12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2015,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Payments Made Upon Any Termination</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i w:val="1"/>
          <w:iCs w:val="1"/>
          <w:u w:val="single" w:color="auto"/>
          <w:color w:val="auto"/>
        </w:rPr>
        <w:t>Deferred Compensation</w:t>
      </w:r>
      <w:r>
        <w:rPr>
          <w:rFonts w:ascii="Arial" w:cs="Arial" w:eastAsia="Arial" w:hAnsi="Arial"/>
          <w:sz w:val="17"/>
          <w:szCs w:val="17"/>
          <w:color w:val="auto"/>
        </w:rPr>
        <w:t>. The amounts shown in the table below do not include distribution of plan balances under our Deferred Compensation Plan or</w:t>
      </w:r>
      <w:r>
        <w:rPr>
          <w:rFonts w:ascii="Arial" w:cs="Arial" w:eastAsia="Arial" w:hAnsi="Arial"/>
          <w:sz w:val="17"/>
          <w:szCs w:val="17"/>
          <w:i w:val="1"/>
          <w:iCs w:val="1"/>
          <w:color w:val="auto"/>
        </w:rPr>
        <w:t xml:space="preserve"> </w:t>
      </w:r>
      <w:r>
        <w:rPr>
          <w:rFonts w:ascii="Arial" w:cs="Arial" w:eastAsia="Arial" w:hAnsi="Arial"/>
          <w:sz w:val="17"/>
          <w:szCs w:val="17"/>
          <w:color w:val="auto"/>
        </w:rPr>
        <w:t>SERP. These balances are shown in the Nonqualified Deferred Compensation in FY 2015 Table on page 42 of this proxy statement.</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u w:val="single" w:color="auto"/>
          <w:color w:val="auto"/>
        </w:rPr>
        <w:t>Death and Disability</w:t>
      </w:r>
      <w:r>
        <w:rPr>
          <w:rFonts w:ascii="Arial" w:cs="Arial" w:eastAsia="Arial" w:hAnsi="Arial"/>
          <w:sz w:val="18"/>
          <w:szCs w:val="18"/>
          <w:color w:val="auto"/>
        </w:rPr>
        <w:t>. A termination of employment due to death or disability does not entitle the Named Executive Officer to any payments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available to salaried employees generally, except for benefits payable to the beneficiaries of the Named Executive Officers in the event of termination due to death under our Salary Continuation Plan. A description of our Salary Continuation Plan is set forth under “Salary Continuation Plan” on page 34 of this proxy statement.</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u w:val="single" w:color="auto"/>
          <w:color w:val="auto"/>
        </w:rPr>
        <w:t>Accrued Pay and Profit Sharing Plan Benefits</w:t>
      </w:r>
      <w:r>
        <w:rPr>
          <w:rFonts w:ascii="Arial" w:cs="Arial" w:eastAsia="Arial" w:hAnsi="Arial"/>
          <w:sz w:val="18"/>
          <w:szCs w:val="18"/>
          <w:color w:val="auto"/>
        </w:rPr>
        <w:t>. The amounts shown in the table below do not include payments and benefits to the extent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on a non-discriminatory basis to salaried employees generally upon termination of employment or relate to equity grants that have already vested. These include:</w:t>
      </w:r>
    </w:p>
    <w:p>
      <w:pPr>
        <w:spacing w:after="0" w:line="8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accrued salary pay through the date of 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option grants received under the Incentive Plan which have already vested and are exercisable prior to the date of termination (subject to the terms of the applicable Nonqualified Stock Option Agreement);</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unused accrued vacation pay.</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Termination or</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Voluntary</w:t>
            </w:r>
          </w:p>
        </w:tc>
        <w:tc>
          <w:tcPr>
            <w:tcW w:w="300" w:type="dxa"/>
            <w:vAlign w:val="bottom"/>
          </w:tcPr>
          <w:p>
            <w:pPr>
              <w:spacing w:after="0"/>
              <w:rPr>
                <w:sz w:val="12"/>
                <w:szCs w:val="12"/>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Death or</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 (non</w:t>
            </w: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2"/>
              </w:rPr>
              <w:t>Type of Payment</w:t>
            </w:r>
          </w:p>
        </w:tc>
        <w:tc>
          <w:tcPr>
            <w:tcW w:w="324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Change in Control)</w:t>
            </w: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Disability</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Control</w:t>
            </w:r>
            <w:r>
              <w:rPr>
                <w:rFonts w:ascii="Arial" w:cs="Arial" w:eastAsia="Arial" w:hAnsi="Arial"/>
                <w:sz w:val="12"/>
                <w:szCs w:val="12"/>
                <w:color w:val="auto"/>
                <w:w w:val="93"/>
              </w:rPr>
              <w:t>(1)</w:t>
            </w: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vMerge w:val="continue"/>
          </w:tcPr>
          <w:p>
            <w:pPr>
              <w:spacing w:after="0"/>
              <w:rPr>
                <w:sz w:val="12"/>
                <w:szCs w:val="12"/>
                <w:color w:val="auto"/>
              </w:rPr>
            </w:pPr>
          </w:p>
        </w:tc>
        <w:tc>
          <w:tcPr>
            <w:tcW w:w="3240" w:type="dxa"/>
            <w:vAlign w:val="bottom"/>
            <w:tcBorders>
              <w:bottom w:val="single" w:sz="8" w:color="CCEEFF"/>
            </w:tcBorders>
            <w:vMerge w:val="continue"/>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Steven R. Rowley</w:t>
            </w:r>
          </w:p>
        </w:tc>
        <w:tc>
          <w:tcPr>
            <w:tcW w:w="1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Options</w:t>
            </w: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Unexercisable and Accelerated Awards</w:t>
            </w:r>
          </w:p>
        </w:tc>
        <w:tc>
          <w:tcPr>
            <w:tcW w:w="148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$2,946,948</w:t>
            </w:r>
            <w:r>
              <w:rPr>
                <w:rFonts w:ascii="Arial" w:cs="Arial" w:eastAsia="Arial" w:hAnsi="Arial"/>
                <w:sz w:val="15"/>
                <w:szCs w:val="15"/>
                <w:color w:val="auto"/>
                <w:w w:val="92"/>
              </w:rPr>
              <w:t>(2)</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Restricted Stock Award</w:t>
            </w: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8"/>
                <w:szCs w:val="18"/>
                <w:color w:val="auto"/>
              </w:rPr>
              <w:t>Unvested and Accelerated Awards</w:t>
            </w:r>
          </w:p>
        </w:tc>
        <w:tc>
          <w:tcPr>
            <w:tcW w:w="148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8"/>
                <w:szCs w:val="18"/>
                <w:color w:val="auto"/>
              </w:rPr>
              <w:t>$ 6,308,112</w:t>
            </w:r>
            <w:r>
              <w:rPr>
                <w:rFonts w:ascii="Arial" w:cs="Arial" w:eastAsia="Arial" w:hAnsi="Arial"/>
                <w:sz w:val="15"/>
                <w:szCs w:val="15"/>
                <w:color w:val="auto"/>
              </w:rPr>
              <w:t>(3)</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6,308,112</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Benefits</w:t>
            </w: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720"/>
              <w:spacing w:after="0"/>
              <w:rPr>
                <w:sz w:val="20"/>
                <w:szCs w:val="20"/>
                <w:color w:val="auto"/>
              </w:rPr>
            </w:pPr>
            <w:r>
              <w:rPr>
                <w:rFonts w:ascii="Arial" w:cs="Arial" w:eastAsia="Arial" w:hAnsi="Arial"/>
                <w:sz w:val="18"/>
                <w:szCs w:val="18"/>
                <w:color w:val="auto"/>
              </w:rPr>
              <w:t>Salary Continuation Plan Payments</w:t>
            </w:r>
          </w:p>
        </w:tc>
        <w:tc>
          <w:tcPr>
            <w:tcW w:w="148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1,500,000</w:t>
            </w:r>
            <w:r>
              <w:rPr>
                <w:rFonts w:ascii="Arial" w:cs="Arial" w:eastAsia="Arial" w:hAnsi="Arial"/>
                <w:sz w:val="15"/>
                <w:szCs w:val="15"/>
                <w:color w:val="auto"/>
                <w:w w:val="99"/>
              </w:rPr>
              <w:t>(4)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2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ROWLEY TOTAL</w:t>
            </w:r>
          </w:p>
        </w:tc>
        <w:tc>
          <w:tcPr>
            <w:tcW w:w="1480" w:type="dxa"/>
            <w:vAlign w:val="bottom"/>
            <w:shd w:val="clear" w:color="auto" w:fill="CCEEFF"/>
          </w:tcPr>
          <w:p>
            <w:pPr>
              <w:spacing w:after="0"/>
              <w:rPr>
                <w:sz w:val="18"/>
                <w:szCs w:val="18"/>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9"/>
              </w:rPr>
              <w:t>7,808,112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9,255,060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80" w:type="dxa"/>
            <w:vAlign w:val="bottom"/>
          </w:tcPr>
          <w:p>
            <w:pPr>
              <w:jc w:val="right"/>
              <w:ind w:right="810"/>
              <w:spacing w:after="0"/>
              <w:rPr>
                <w:sz w:val="20"/>
                <w:szCs w:val="20"/>
                <w:color w:val="auto"/>
              </w:rPr>
            </w:pPr>
            <w:r>
              <w:rPr>
                <w:rFonts w:ascii="Arial" w:cs="Arial" w:eastAsia="Arial" w:hAnsi="Arial"/>
                <w:sz w:val="18"/>
                <w:szCs w:val="18"/>
                <w:color w:val="auto"/>
              </w:rPr>
              <w:t>43</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Involuntary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Termination or</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Voluntary</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Death or</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Termination (non</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2"/>
              </w:rPr>
              <w:t>Type of Payment</w:t>
            </w:r>
          </w:p>
        </w:tc>
        <w:tc>
          <w:tcPr>
            <w:tcW w:w="396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Change in Control)</w:t>
            </w: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Disability</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Control</w:t>
            </w:r>
            <w:r>
              <w:rPr>
                <w:rFonts w:ascii="Arial" w:cs="Arial" w:eastAsia="Arial" w:hAnsi="Arial"/>
                <w:sz w:val="12"/>
                <w:szCs w:val="12"/>
                <w:color w:val="auto"/>
                <w:w w:val="96"/>
              </w:rPr>
              <w:t>(1)</w:t>
            </w: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vMerge w:val="continue"/>
          </w:tcPr>
          <w:p>
            <w:pPr>
              <w:spacing w:after="0"/>
              <w:rPr>
                <w:sz w:val="12"/>
                <w:szCs w:val="12"/>
                <w:color w:val="auto"/>
              </w:rPr>
            </w:pPr>
          </w:p>
        </w:tc>
        <w:tc>
          <w:tcPr>
            <w:tcW w:w="396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 Craig Kesler</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Unexercisable and Accelerated Awards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   770,478</w:t>
            </w:r>
            <w:r>
              <w:rPr>
                <w:rFonts w:ascii="Arial" w:cs="Arial" w:eastAsia="Arial" w:hAnsi="Arial"/>
                <w:sz w:val="15"/>
                <w:szCs w:val="15"/>
                <w:color w:val="auto"/>
                <w:w w:val="99"/>
              </w:rPr>
              <w:t>(2)</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Restricted Stock Award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Unvested and Accelerated Awards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$ 2,111,895</w:t>
            </w:r>
            <w:r>
              <w:rPr>
                <w:rFonts w:ascii="Arial" w:cs="Arial" w:eastAsia="Arial" w:hAnsi="Arial"/>
                <w:sz w:val="15"/>
                <w:szCs w:val="15"/>
                <w:color w:val="auto"/>
              </w:rPr>
              <w:t>(3)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2,111,895</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Benefits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720"/>
              <w:spacing w:after="0"/>
              <w:rPr>
                <w:sz w:val="20"/>
                <w:szCs w:val="20"/>
                <w:color w:val="auto"/>
              </w:rPr>
            </w:pPr>
            <w:r>
              <w:rPr>
                <w:rFonts w:ascii="Arial" w:cs="Arial" w:eastAsia="Arial" w:hAnsi="Arial"/>
                <w:sz w:val="18"/>
                <w:szCs w:val="18"/>
                <w:color w:val="auto"/>
              </w:rPr>
              <w:t>Salary Continuation Plan Payments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1,500,000</w:t>
            </w:r>
            <w:r>
              <w:rPr>
                <w:rFonts w:ascii="Arial" w:cs="Arial" w:eastAsia="Arial" w:hAnsi="Arial"/>
                <w:sz w:val="15"/>
                <w:szCs w:val="15"/>
                <w:color w:val="auto"/>
              </w:rPr>
              <w:t>(4)</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9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KESLER TOTAL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3,611,895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2,882,373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Michael Haack</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720"/>
              <w:spacing w:after="0"/>
              <w:rPr>
                <w:sz w:val="20"/>
                <w:szCs w:val="20"/>
                <w:color w:val="auto"/>
              </w:rPr>
            </w:pPr>
            <w:r>
              <w:rPr>
                <w:rFonts w:ascii="Arial" w:cs="Arial" w:eastAsia="Arial" w:hAnsi="Arial"/>
                <w:sz w:val="18"/>
                <w:szCs w:val="18"/>
                <w:color w:val="auto"/>
              </w:rPr>
              <w:t>Stock Options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Unexercisable and Accelerated Awards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183,000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5020" w:type="dxa"/>
            <w:vAlign w:val="bottom"/>
            <w:gridSpan w:val="2"/>
          </w:tcPr>
          <w:p>
            <w:pPr>
              <w:ind w:left="720"/>
              <w:spacing w:after="0"/>
              <w:rPr>
                <w:sz w:val="20"/>
                <w:szCs w:val="20"/>
                <w:color w:val="auto"/>
              </w:rPr>
            </w:pPr>
            <w:r>
              <w:rPr>
                <w:rFonts w:ascii="Arial" w:cs="Arial" w:eastAsia="Arial" w:hAnsi="Arial"/>
                <w:sz w:val="18"/>
                <w:szCs w:val="18"/>
                <w:color w:val="auto"/>
              </w:rPr>
              <w:t>Restricted Stock Award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Accelerated Awards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835,600</w:t>
            </w:r>
            <w:r>
              <w:rPr>
                <w:rFonts w:ascii="Arial" w:cs="Arial" w:eastAsia="Arial" w:hAnsi="Arial"/>
                <w:sz w:val="15"/>
                <w:szCs w:val="15"/>
                <w:color w:val="auto"/>
              </w:rPr>
              <w:t>(3)</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835,600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020" w:type="dxa"/>
            <w:vAlign w:val="bottom"/>
            <w:gridSpan w:val="2"/>
          </w:tcPr>
          <w:p>
            <w:pPr>
              <w:ind w:left="360"/>
              <w:spacing w:after="0"/>
              <w:rPr>
                <w:sz w:val="20"/>
                <w:szCs w:val="20"/>
                <w:color w:val="auto"/>
              </w:rPr>
            </w:pPr>
            <w:r>
              <w:rPr>
                <w:rFonts w:ascii="Arial" w:cs="Arial" w:eastAsia="Arial" w:hAnsi="Arial"/>
                <w:sz w:val="18"/>
                <w:szCs w:val="18"/>
                <w:i w:val="1"/>
                <w:iCs w:val="1"/>
                <w:color w:val="auto"/>
              </w:rPr>
              <w:t>Severance Payment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w w:val="97"/>
              </w:rPr>
              <w:t>1,000,000</w:t>
            </w:r>
            <w:r>
              <w:rPr>
                <w:rFonts w:ascii="Arial" w:cs="Arial" w:eastAsia="Arial" w:hAnsi="Arial"/>
                <w:sz w:val="15"/>
                <w:szCs w:val="15"/>
                <w:color w:val="auto"/>
                <w:w w:val="97"/>
              </w:rPr>
              <w:t>(5)</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Benefits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720"/>
              <w:spacing w:after="0"/>
              <w:rPr>
                <w:sz w:val="20"/>
                <w:szCs w:val="20"/>
                <w:color w:val="auto"/>
              </w:rPr>
            </w:pPr>
            <w:r>
              <w:rPr>
                <w:rFonts w:ascii="Arial" w:cs="Arial" w:eastAsia="Arial" w:hAnsi="Arial"/>
                <w:sz w:val="18"/>
                <w:szCs w:val="18"/>
                <w:color w:val="auto"/>
              </w:rPr>
              <w:t>Salary Continuation Plan Payments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1,500,000</w:t>
            </w:r>
            <w:r>
              <w:rPr>
                <w:rFonts w:ascii="Arial" w:cs="Arial" w:eastAsia="Arial" w:hAnsi="Arial"/>
                <w:sz w:val="15"/>
                <w:szCs w:val="15"/>
                <w:color w:val="auto"/>
              </w:rPr>
              <w:t>(4)</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9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HAACK TOTAL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w w:val="87"/>
              </w:rPr>
              <w:t>1,000,000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2,335,600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1,018,600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Gerald J. Essl</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720"/>
              <w:spacing w:after="0"/>
              <w:rPr>
                <w:sz w:val="20"/>
                <w:szCs w:val="20"/>
                <w:color w:val="auto"/>
              </w:rPr>
            </w:pPr>
            <w:r>
              <w:rPr>
                <w:rFonts w:ascii="Arial" w:cs="Arial" w:eastAsia="Arial" w:hAnsi="Arial"/>
                <w:sz w:val="18"/>
                <w:szCs w:val="18"/>
                <w:color w:val="auto"/>
              </w:rPr>
              <w:t>Stock Options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Unexercisable and Accelerated Awards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667,336</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5020" w:type="dxa"/>
            <w:vAlign w:val="bottom"/>
            <w:gridSpan w:val="2"/>
          </w:tcPr>
          <w:p>
            <w:pPr>
              <w:ind w:left="720"/>
              <w:spacing w:after="0"/>
              <w:rPr>
                <w:sz w:val="20"/>
                <w:szCs w:val="20"/>
                <w:color w:val="auto"/>
              </w:rPr>
            </w:pPr>
            <w:r>
              <w:rPr>
                <w:rFonts w:ascii="Arial" w:cs="Arial" w:eastAsia="Arial" w:hAnsi="Arial"/>
                <w:sz w:val="18"/>
                <w:szCs w:val="18"/>
                <w:color w:val="auto"/>
              </w:rPr>
              <w:t>Restricted Stock Award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Accelerated Awards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1,791,694</w:t>
            </w:r>
            <w:r>
              <w:rPr>
                <w:rFonts w:ascii="Arial" w:cs="Arial" w:eastAsia="Arial" w:hAnsi="Arial"/>
                <w:sz w:val="15"/>
                <w:szCs w:val="15"/>
                <w:color w:val="auto"/>
              </w:rPr>
              <w:t>(3)</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1,791,694</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020" w:type="dxa"/>
            <w:vAlign w:val="bottom"/>
            <w:gridSpan w:val="2"/>
          </w:tcPr>
          <w:p>
            <w:pPr>
              <w:ind w:left="360"/>
              <w:spacing w:after="0"/>
              <w:rPr>
                <w:sz w:val="20"/>
                <w:szCs w:val="20"/>
                <w:color w:val="auto"/>
              </w:rPr>
            </w:pPr>
            <w:r>
              <w:rPr>
                <w:rFonts w:ascii="Arial" w:cs="Arial" w:eastAsia="Arial" w:hAnsi="Arial"/>
                <w:sz w:val="18"/>
                <w:szCs w:val="18"/>
                <w:i w:val="1"/>
                <w:iCs w:val="1"/>
                <w:color w:val="auto"/>
              </w:rPr>
              <w:t>Benefits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Salary Continuation Plan Payments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386,000</w:t>
            </w:r>
            <w:r>
              <w:rPr>
                <w:rFonts w:ascii="Arial" w:cs="Arial" w:eastAsia="Arial" w:hAnsi="Arial"/>
                <w:sz w:val="15"/>
                <w:szCs w:val="15"/>
                <w:color w:val="auto"/>
              </w:rPr>
              <w:t>(4)</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3960" w:type="dxa"/>
            <w:vAlign w:val="bottom"/>
          </w:tcPr>
          <w:p>
            <w:pPr>
              <w:ind w:left="380"/>
              <w:spacing w:after="0"/>
              <w:rPr>
                <w:sz w:val="20"/>
                <w:szCs w:val="20"/>
                <w:color w:val="auto"/>
              </w:rPr>
            </w:pPr>
            <w:r>
              <w:rPr>
                <w:rFonts w:ascii="Arial" w:cs="Arial" w:eastAsia="Arial" w:hAnsi="Arial"/>
                <w:sz w:val="18"/>
                <w:szCs w:val="18"/>
                <w:b w:val="1"/>
                <w:bCs w:val="1"/>
                <w:color w:val="auto"/>
              </w:rPr>
              <w:t>ESSL TOTAL</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2,177,694</w:t>
            </w:r>
          </w:p>
        </w:tc>
        <w:tc>
          <w:tcPr>
            <w:tcW w:w="3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2,459,030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0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David B. Powers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Unexercisable and Accelerated Awards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662,104</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Restricted Stock Award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Unvested and Accelerated Awards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2,702,748</w:t>
            </w:r>
            <w:r>
              <w:rPr>
                <w:rFonts w:ascii="Arial" w:cs="Arial" w:eastAsia="Arial" w:hAnsi="Arial"/>
                <w:sz w:val="15"/>
                <w:szCs w:val="15"/>
                <w:color w:val="auto"/>
              </w:rPr>
              <w:t>(3)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2,702,748</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Benefits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720"/>
              <w:spacing w:after="0"/>
              <w:rPr>
                <w:sz w:val="20"/>
                <w:szCs w:val="20"/>
                <w:color w:val="auto"/>
              </w:rPr>
            </w:pPr>
            <w:r>
              <w:rPr>
                <w:rFonts w:ascii="Arial" w:cs="Arial" w:eastAsia="Arial" w:hAnsi="Arial"/>
                <w:sz w:val="18"/>
                <w:szCs w:val="18"/>
                <w:color w:val="auto"/>
              </w:rPr>
              <w:t>Salary Continuation Plan Payments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386,000</w:t>
            </w:r>
            <w:r>
              <w:rPr>
                <w:rFonts w:ascii="Arial" w:cs="Arial" w:eastAsia="Arial" w:hAnsi="Arial"/>
                <w:sz w:val="15"/>
                <w:szCs w:val="15"/>
                <w:color w:val="auto"/>
              </w:rPr>
              <w:t>(4)</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39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POWERS TOTAL</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3,088,748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3,364,852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1060" w:type="dxa"/>
            <w:vAlign w:val="bottom"/>
          </w:tcPr>
          <w:p>
            <w:pPr>
              <w:spacing w:after="0"/>
              <w:rPr>
                <w:sz w:val="24"/>
                <w:szCs w:val="24"/>
                <w:color w:val="auto"/>
              </w:rPr>
            </w:pPr>
          </w:p>
        </w:tc>
        <w:tc>
          <w:tcPr>
            <w:tcW w:w="3960" w:type="dxa"/>
            <w:vAlign w:val="bottom"/>
          </w:tcPr>
          <w:p>
            <w:pPr>
              <w:ind w:left="380"/>
              <w:spacing w:after="0"/>
              <w:rPr>
                <w:sz w:val="20"/>
                <w:szCs w:val="20"/>
                <w:color w:val="auto"/>
              </w:rPr>
            </w:pPr>
            <w:r>
              <w:rPr>
                <w:rFonts w:ascii="Arial" w:cs="Arial" w:eastAsia="Arial" w:hAnsi="Arial"/>
                <w:sz w:val="18"/>
                <w:szCs w:val="18"/>
                <w:b w:val="1"/>
                <w:bCs w:val="1"/>
                <w:color w:val="auto"/>
              </w:rPr>
              <w:t>AGGREGATE TOTAL FOR NAMED</w:t>
            </w: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960" w:type="dxa"/>
            <w:vAlign w:val="bottom"/>
          </w:tcPr>
          <w:p>
            <w:pPr>
              <w:ind w:left="560"/>
              <w:spacing w:after="0"/>
              <w:rPr>
                <w:sz w:val="20"/>
                <w:szCs w:val="20"/>
                <w:color w:val="auto"/>
              </w:rPr>
            </w:pPr>
            <w:r>
              <w:rPr>
                <w:rFonts w:ascii="Arial" w:cs="Arial" w:eastAsia="Arial" w:hAnsi="Arial"/>
                <w:sz w:val="18"/>
                <w:szCs w:val="18"/>
                <w:b w:val="1"/>
                <w:bCs w:val="1"/>
                <w:color w:val="auto"/>
              </w:rPr>
              <w:t>EXECUTIVE OFFICERS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Arial" w:cs="Arial" w:eastAsia="Arial" w:hAnsi="Arial"/>
                <w:sz w:val="18"/>
                <w:szCs w:val="18"/>
                <w:b w:val="1"/>
                <w:bCs w:val="1"/>
                <w:color w:val="auto"/>
                <w:w w:val="87"/>
              </w:rPr>
              <w:t>1,000,000</w:t>
            </w:r>
          </w:p>
        </w:tc>
        <w:tc>
          <w:tcPr>
            <w:tcW w:w="260" w:type="dxa"/>
            <w:vAlign w:val="bottom"/>
          </w:tcPr>
          <w:p>
            <w:pPr>
              <w:spacing w:after="0"/>
              <w:rPr>
                <w:sz w:val="20"/>
                <w:szCs w:val="20"/>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19,022,049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18,979,915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definition of “Change in Control” is described under “Change in Control Benefits” on page 34 of this proxy statement.</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dollar value of the unexercisable stock options that are accelerated because of a change in control based on the amount, if any, that the closing price of our Common Stock on March 31, 2015 ($83.56) exceeds the exercise price of the stock option.</w:t>
      </w:r>
    </w:p>
    <w:p>
      <w:pPr>
        <w:ind w:left="460" w:right="26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dollar value of the restricted stock for which restrictions will lapse upon death, disability or a change in control based on the closing price of our Common Stock on March 31, 2015 ($83.56).</w:t>
      </w:r>
    </w:p>
    <w:p>
      <w:pPr>
        <w:jc w:val="both"/>
        <w:ind w:left="460" w:right="32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2015 salaries):</w:t>
      </w:r>
    </w:p>
    <w:p>
      <w:pPr>
        <w:spacing w:after="0" w:line="9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Rowley – $912,000 over the year following death, plus $456,000 per year thereafter until the beneficiaries have received a total of $1,500,000 in payments.</w:t>
      </w:r>
    </w:p>
    <w:p>
      <w:pPr>
        <w:sectPr>
          <w:pgSz w:w="11900" w:h="16838" w:orient="portrait"/>
          <w:cols w:equalWidth="0" w:num="1">
            <w:col w:w="11320"/>
          </w:cols>
          <w:pgMar w:left="240" w:top="459" w:right="339" w:bottom="1440" w:gutter="0" w:footer="0" w:header="0"/>
        </w:sectPr>
      </w:pP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20"/>
          </w:cols>
          <w:pgMar w:left="240" w:top="459" w:right="3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Kesler – $363,000 over the year following death, plus $181,500 per year thereafter until the beneficiaries have received a total of $1,500,000 in payments.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Haack – $500,000 over the year following death, plus $250,000 per year thereafter until the beneficiaries have received a total of $1,500,000 in payments.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Essl – $386,000 over the year following death.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Powers – $386,000 over the year following death.</w:t>
      </w:r>
    </w:p>
    <w:p>
      <w:pPr>
        <w:spacing w:after="0" w:line="130" w:lineRule="exact"/>
        <w:rPr>
          <w:rFonts w:ascii="Arial" w:cs="Arial" w:eastAsia="Arial" w:hAnsi="Arial"/>
          <w:sz w:val="18"/>
          <w:szCs w:val="18"/>
          <w:color w:val="auto"/>
        </w:rPr>
      </w:pPr>
    </w:p>
    <w:p>
      <w:pPr>
        <w:ind w:left="460" w:right="400" w:hanging="452"/>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a severance payment to Mr. Haack assuming an involuntary termination by the Company on March 31, 2015 (during his first year of employment with the Company). See “New Named Executive Officer Compensation and Benefits” on page 27 for more information regarding Mr. Haack’s severance benefits.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(b) each of our current executive officers and (c) by all directors and executive officers of the Company as a group (17 persons). Except as otherwise indicated, all shares are owned directly, and the owner of such shares has the sole voting and investment power with respect thereto.</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40" w:type="dxa"/>
            <w:vAlign w:val="bottom"/>
          </w:tcPr>
          <w:p>
            <w:pPr>
              <w:ind w:left="1980"/>
              <w:spacing w:after="0"/>
              <w:rPr>
                <w:sz w:val="20"/>
                <w:szCs w:val="20"/>
                <w:color w:val="auto"/>
              </w:rPr>
            </w:pPr>
            <w:r>
              <w:rPr>
                <w:rFonts w:ascii="Arial" w:cs="Arial" w:eastAsia="Arial" w:hAnsi="Arial"/>
                <w:sz w:val="14"/>
                <w:szCs w:val="14"/>
                <w:b w:val="1"/>
                <w:bCs w:val="1"/>
                <w:color w:val="auto"/>
              </w:rPr>
              <w:t xml:space="preserve">Amount and Nature of Beneficial Ownership </w:t>
            </w:r>
            <w:r>
              <w:rPr>
                <w:rFonts w:ascii="Arial" w:cs="Arial" w:eastAsia="Arial" w:hAnsi="Arial"/>
                <w:sz w:val="12"/>
                <w:szCs w:val="12"/>
                <w:b w:val="1"/>
                <w:bCs w:val="1"/>
                <w:color w:val="auto"/>
              </w:rPr>
              <w:t>(1)</w:t>
            </w:r>
          </w:p>
        </w:tc>
        <w:tc>
          <w:tcPr>
            <w:tcW w:w="1580" w:type="dxa"/>
            <w:vAlign w:val="bottom"/>
            <w:gridSpan w:val="2"/>
            <w:vMerge w:val="restart"/>
          </w:tcPr>
          <w:p>
            <w:pPr>
              <w:jc w:val="center"/>
              <w:ind w:left="331"/>
              <w:spacing w:after="0"/>
              <w:rPr>
                <w:sz w:val="20"/>
                <w:szCs w:val="20"/>
                <w:color w:val="auto"/>
              </w:rPr>
            </w:pPr>
            <w:r>
              <w:rPr>
                <w:rFonts w:ascii="Arial" w:cs="Arial" w:eastAsia="Arial" w:hAnsi="Arial"/>
                <w:sz w:val="14"/>
                <w:szCs w:val="14"/>
                <w:b w:val="1"/>
                <w:bCs w:val="1"/>
                <w:color w:val="auto"/>
                <w:w w:val="92"/>
              </w:rPr>
              <w:t>Number of Shares</w:t>
            </w:r>
          </w:p>
        </w:tc>
        <w:tc>
          <w:tcPr>
            <w:tcW w:w="800" w:type="dxa"/>
            <w:vAlign w:val="bottom"/>
          </w:tcPr>
          <w:p>
            <w:pPr>
              <w:spacing w:after="0"/>
              <w:rPr>
                <w:sz w:val="16"/>
                <w:szCs w:val="16"/>
                <w:color w:val="auto"/>
              </w:rPr>
            </w:pPr>
          </w:p>
        </w:tc>
        <w:tc>
          <w:tcPr>
            <w:tcW w:w="94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740" w:type="dxa"/>
            <w:vAlign w:val="bottom"/>
            <w:gridSpan w:val="3"/>
          </w:tcPr>
          <w:p>
            <w:pPr>
              <w:jc w:val="center"/>
              <w:ind w:left="491"/>
              <w:spacing w:after="0" w:line="149" w:lineRule="exact"/>
              <w:rPr>
                <w:sz w:val="20"/>
                <w:szCs w:val="20"/>
                <w:color w:val="auto"/>
              </w:rPr>
            </w:pPr>
            <w:r>
              <w:rPr>
                <w:rFonts w:ascii="Arial" w:cs="Arial" w:eastAsia="Arial" w:hAnsi="Arial"/>
                <w:sz w:val="14"/>
                <w:szCs w:val="14"/>
                <w:b w:val="1"/>
                <w:bCs w:val="1"/>
                <w:color w:val="auto"/>
                <w:w w:val="92"/>
              </w:rPr>
              <w:t>of Common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800" w:type="dxa"/>
            <w:vAlign w:val="bottom"/>
          </w:tcPr>
          <w:p>
            <w:pPr>
              <w:spacing w:after="0"/>
              <w:rPr>
                <w:sz w:val="14"/>
                <w:szCs w:val="14"/>
                <w:color w:val="auto"/>
              </w:rPr>
            </w:pPr>
          </w:p>
        </w:tc>
        <w:tc>
          <w:tcPr>
            <w:tcW w:w="9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83,615</w:t>
            </w: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Richard Beckwitt</w:t>
            </w:r>
          </w:p>
        </w:tc>
        <w:tc>
          <w:tcPr>
            <w:tcW w:w="46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Ed H. Bowman</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11,073</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5"/>
                <w:szCs w:val="15"/>
                <w:color w:val="auto"/>
              </w:rPr>
              <w:t>(3)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147,828</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William R. Devlin</w:t>
            </w:r>
            <w:r>
              <w:rPr>
                <w:rFonts w:ascii="Arial" w:cs="Arial" w:eastAsia="Arial" w:hAnsi="Arial"/>
                <w:sz w:val="15"/>
                <w:szCs w:val="15"/>
                <w:color w:val="auto"/>
              </w:rPr>
              <w:t>(4)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68,404</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Martin M. Ellen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5,096</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r>
              <w:rPr>
                <w:rFonts w:ascii="Arial" w:cs="Arial" w:eastAsia="Arial" w:hAnsi="Arial"/>
                <w:sz w:val="15"/>
                <w:szCs w:val="15"/>
                <w:color w:val="auto"/>
              </w:rPr>
              <w:t>(5)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70,696</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James H. Graass</w:t>
            </w:r>
            <w:r>
              <w:rPr>
                <w:rFonts w:ascii="Arial" w:cs="Arial" w:eastAsia="Arial" w:hAnsi="Arial"/>
                <w:sz w:val="15"/>
                <w:szCs w:val="15"/>
                <w:color w:val="auto"/>
              </w:rPr>
              <w:t>(6)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125,391</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Michael Haack</w:t>
            </w:r>
            <w:r>
              <w:rPr>
                <w:rFonts w:ascii="Arial" w:cs="Arial" w:eastAsia="Arial" w:hAnsi="Arial"/>
                <w:sz w:val="15"/>
                <w:szCs w:val="15"/>
                <w:color w:val="auto"/>
              </w:rPr>
              <w:t>(7)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5"/>
                <w:szCs w:val="15"/>
                <w:color w:val="auto"/>
              </w:rPr>
              <w:t>(8)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1,308,149</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 Craig Kesler</w:t>
            </w:r>
            <w:r>
              <w:rPr>
                <w:rFonts w:ascii="Arial" w:cs="Arial" w:eastAsia="Arial" w:hAnsi="Arial"/>
                <w:sz w:val="15"/>
                <w:szCs w:val="15"/>
                <w:color w:val="auto"/>
              </w:rPr>
              <w:t>(9)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99,880</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5"/>
                <w:szCs w:val="15"/>
                <w:color w:val="auto"/>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50,817</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84,147</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David W. Quinn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62,978</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r>
              <w:rPr>
                <w:rFonts w:ascii="Arial" w:cs="Arial" w:eastAsia="Arial" w:hAnsi="Arial"/>
                <w:sz w:val="15"/>
                <w:szCs w:val="15"/>
                <w:color w:val="auto"/>
              </w:rPr>
              <w:t>(11)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411,787</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5"/>
                <w:szCs w:val="15"/>
                <w:color w:val="auto"/>
              </w:rPr>
              <w:t>(12)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25,192</w:t>
            </w:r>
          </w:p>
        </w:tc>
        <w:tc>
          <w:tcPr>
            <w:tcW w:w="17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Robert S. Stewart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50,466</w:t>
            </w:r>
          </w:p>
        </w:tc>
        <w:tc>
          <w:tcPr>
            <w:tcW w:w="17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5360" w:type="dxa"/>
            <w:vAlign w:val="bottom"/>
            <w:gridSpan w:val="2"/>
          </w:tcPr>
          <w:p>
            <w:pPr>
              <w:spacing w:after="0"/>
              <w:rPr>
                <w:sz w:val="20"/>
                <w:szCs w:val="20"/>
                <w:color w:val="auto"/>
              </w:rPr>
            </w:pPr>
            <w:r>
              <w:rPr>
                <w:rFonts w:ascii="Arial" w:cs="Arial" w:eastAsia="Arial" w:hAnsi="Arial"/>
                <w:sz w:val="18"/>
                <w:szCs w:val="18"/>
                <w:color w:val="auto"/>
              </w:rPr>
              <w:t>All current directors, nominees and executive officers as a group</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(17 persons)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2,621,215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Amounts include the following shares of Common Stock that may be acquired upon exercise of stock options awarded under our Incentive Plan:</w:t>
      </w:r>
    </w:p>
    <w:p>
      <w:pPr>
        <w:spacing w:after="0" w:line="20" w:lineRule="exact"/>
        <w:rPr>
          <w:rFonts w:ascii="Arial" w:cs="Arial" w:eastAsia="Arial" w:hAnsi="Arial"/>
          <w:sz w:val="17"/>
          <w:szCs w:val="17"/>
          <w:color w:val="auto"/>
        </w:rPr>
      </w:pPr>
    </w:p>
    <w:p>
      <w:pPr>
        <w:ind w:left="460"/>
        <w:spacing w:after="0" w:line="281" w:lineRule="auto"/>
        <w:rPr>
          <w:rFonts w:ascii="Arial" w:cs="Arial" w:eastAsia="Arial" w:hAnsi="Arial"/>
          <w:sz w:val="17"/>
          <w:szCs w:val="17"/>
          <w:color w:val="auto"/>
        </w:rPr>
      </w:pPr>
      <w:r>
        <w:rPr>
          <w:rFonts w:ascii="Arial" w:cs="Arial" w:eastAsia="Arial" w:hAnsi="Arial"/>
          <w:sz w:val="16"/>
          <w:szCs w:val="16"/>
          <w:color w:val="auto"/>
        </w:rPr>
        <w:t>Mr. Barnett – 78,088 shares; Mr. Bowman – 6,293 shares; Mr. Clarke – 96,540 shares; Mr. Devlin – 23,438 shares; Mr. Ellen – 3,354 shares; Mr. Essl – 23,842 shares; Mr. Graass – 62,653 shares; Mr. Hirsch – 103,150 shares; Mr. Kesler – 39,310 shares; Mr. Nicolais – 33,259 shares; Mr. Powers – 35,280 shares; Mr. Quinn – 31,321 shares; Mr. Rowley – 245,823 shares; and Mr. Richard Stewart – 15,752 shares; and all directors and executive officers of the Company as a group (17 persons) – 798,103 shares. In addition, this table includes shares of Common Stock that are held for the account of participants as of May 1, 2015, pursuant to the Common Stock fund of the PSRP, as follows: Mr. Devlin – 1,727 shares; Mr. Graass – 836 shares; Mr. Kesler – 1,530 shares; Mr. Powers – 1,466 shares; Mr. Rowley – 2,311 shares; and all directors and executive officers of the Company as a group (17 persons) – 7,870 shares. These amounts do not include the RSUs previously granted to the non-employee directors (including dividend equivalent units accrued since the date of grant) disclosed in the table on page 12 of this proxy statement.</w:t>
      </w:r>
    </w:p>
    <w:p>
      <w:pPr>
        <w:spacing w:after="0" w:line="5" w:lineRule="exact"/>
        <w:rPr>
          <w:rFonts w:ascii="Arial" w:cs="Arial" w:eastAsia="Arial" w:hAnsi="Arial"/>
          <w:sz w:val="17"/>
          <w:szCs w:val="17"/>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27,905 shares pledged as collateral for a loan. Also includes 1,506 shares of Common Stock owned by Mr. Clarke’s wife.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1,200 shares of Common Stock held in Mr. Devlin’s IRA.</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7,000 shares of Common Stock held in trust for Mr. Essl’s son.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543 shares of Common Stock held in Mr. Graass’s IRA.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10,000 shares of Common Stock representing the unvested shares under a restricted stock award made to Mr. Haack on December 1, 2014.</w:t>
      </w:r>
    </w:p>
    <w:p>
      <w:pPr>
        <w:spacing w:after="0" w:line="3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5,173 shares of Common Stock owned by Hirsch Family Partnership No. 1, Ltd.; and 5,173 shares of Common Stock owned by Hirsch Family Partnership No. 2, Ltd., with respect to which Mr. Hirsch disclaims beneficial ownership. Excludes 1,530 shares of restricted stock that do not have voting rights while restricted.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Also includes 160 shares of Common Stock held in Mr. Kesler’s IRA.</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(a) 1,386 shares of Common Stock owned by Mr. Nicolais’s wife; (b) 1,550 shares of Common Stock owned by the profit sharing plan of Mr. Nicolais’s employer; (c) 3,500 shares of Common Stock held in Mr. Nicolais’s IRA; (d) 555 shares of Common Stock held in trust (Mr. Nicolais’s wife is trustee) for their daughter; and (e) 555 shares of Common Stock held in trust (Mr. Nicolais’s wife is trustee) for their son. Mr. Nicolais has disclaimed beneficial ownership of the shares of Common Stock held in trust.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1,929 shares held in Mr. Rowley’s IRA.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7,000 shares owned by Stewart Family Trust.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8, 2015, the record date for our annual meeting of stockholders.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7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86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Percentage of</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2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(1)</w:t>
            </w:r>
          </w:p>
        </w:tc>
        <w:tc>
          <w:tcPr>
            <w:tcW w:w="2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New York, NY 10022</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3,311,416</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0"/>
        </w:trPr>
        <w:tc>
          <w:tcPr>
            <w:tcW w:w="4700" w:type="dxa"/>
            <w:vAlign w:val="bottom"/>
            <w:gridSpan w:val="3"/>
          </w:tcPr>
          <w:p>
            <w:pPr>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5"/>
                <w:szCs w:val="15"/>
                <w:color w:val="auto"/>
              </w:rPr>
              <w:t>(2)</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100 Vanguard Blvd.</w:t>
            </w: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Malvern, PA 19355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2,969,406</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(3)</w:t>
            </w: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245 Summer Street</w:t>
            </w: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Boston, MA 02210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2,675,981</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74"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solely on the information contained in a Schedule 13G/A filed with the SEC on February 9, 2015. Of the shares reported in the Schedule 13G/A, BlackRock, Inc. has sole voting power with respect to 3,164,268 shares and sole dispositive power with respect to 3,311,416 shares.</w:t>
      </w:r>
    </w:p>
    <w:p>
      <w:pPr>
        <w:ind w:left="460" w:right="20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11, 2015. Of the shares reported in the Schedule 13G/A, The Vanguard Group has (i) sole voting power with respect to 33,196 shares; (ii) sole dispositive power with respect to 2,939,910 shares; and (iii) shared dispositive power with respect to 29,496 shares.</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solely on the information contained in a Schedule 13G filed with the SEC on January 12, 2015. Of the shares reported in the Schedule 13G, FMR LLC has sole voting power with respect to 165,776 shares and sole dispositive power with respect to 2,675,981 shares.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code of conduct adopted by the Board, which we refer to as “Eagle Ethics,” includes provisions addressing conflicts of interest which arise when a director, officer, or employee has an interest in a transaction in which the Company is a participant. Eagle Ethics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Under Eagle Ethics, officers or employees are encouraged to consult with their supervisors regarding any matter that may involve a conflict of interest. In addition, Eagle Ethics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addition to the above policies included in Eagle Ethics,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87" w:lineRule="exact"/>
        <w:rPr>
          <w:sz w:val="20"/>
          <w:szCs w:val="20"/>
          <w:color w:val="auto"/>
        </w:rPr>
      </w:pPr>
    </w:p>
    <w:p>
      <w:pPr>
        <w:jc w:val="both"/>
        <w:ind w:right="620" w:firstLine="456"/>
        <w:spacing w:after="0" w:line="312" w:lineRule="auto"/>
        <w:rPr>
          <w:sz w:val="20"/>
          <w:szCs w:val="20"/>
          <w:color w:val="auto"/>
        </w:rPr>
      </w:pPr>
      <w:r>
        <w:rPr>
          <w:rFonts w:ascii="Arial" w:cs="Arial" w:eastAsia="Arial" w:hAnsi="Arial"/>
          <w:sz w:val="16"/>
          <w:szCs w:val="16"/>
          <w:color w:val="auto"/>
        </w:rPr>
        <w:t>Based solely on our review of the copies of such forms we received with respect to fiscal 2015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2015 applicable to such persons.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Company’s code of conduct, Eagle Ethics, applies to all of the Company’s employees, including the Company’s officers. Eagle Ethics also applies to the Board of Directors. The Company’s code of conduct is designed to deter wrongdoing and to promote:</w:t>
      </w:r>
    </w:p>
    <w:p>
      <w:pPr>
        <w:spacing w:after="0" w:line="76" w:lineRule="exact"/>
        <w:rPr>
          <w:sz w:val="20"/>
          <w:szCs w:val="20"/>
          <w:color w:val="auto"/>
        </w:rPr>
      </w:pPr>
    </w:p>
    <w:p>
      <w:pPr>
        <w:ind w:left="900" w:right="80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prompt internal reporting of violations of the code of conduct to an appropriate person or persons identified in the code of conduct;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t>
      </w:r>
      <w:r>
        <w:rPr>
          <w:rFonts w:ascii="Arial" w:cs="Arial" w:eastAsia="Arial" w:hAnsi="Arial"/>
          <w:sz w:val="18"/>
          <w:szCs w:val="18"/>
          <w:i w:val="1"/>
          <w:iCs w:val="1"/>
          <w:color w:val="auto"/>
        </w:rPr>
        <w:t>www.eaglematerials.com</w:t>
      </w:r>
      <w:r>
        <w:rPr>
          <w:rFonts w:ascii="Arial" w:cs="Arial" w:eastAsia="Arial" w:hAnsi="Arial"/>
          <w:sz w:val="18"/>
          <w:szCs w:val="18"/>
          <w:color w:val="auto"/>
        </w:rPr>
        <w:t xml:space="preserve"> (click on “Investor Relations”, then on “Corporate Governance”, then on “Eagle Ethics” under the heading “Code of Ethics”). Additionally, the Company will provide without charge a copy of the code of conduct to any person upon written request to our Secretary at our principal executive office.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2: ADVISORY VOTE ON COMPENSATION OF OUR NAMED EXECUTIVE OFFICERS</w:t>
      </w:r>
    </w:p>
    <w:p>
      <w:pPr>
        <w:spacing w:after="0" w:line="229"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12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urge stockholders to read our “Compensation Discussion and Analysis” beginning on page 20 of this proxy statement, which describes in more detail how our executive compensation policies and programs operate.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seeking stockholder approval of the following advisory resolution:</w:t>
      </w:r>
    </w:p>
    <w:p>
      <w:pPr>
        <w:spacing w:after="0" w:line="113" w:lineRule="exact"/>
        <w:rPr>
          <w:sz w:val="20"/>
          <w:szCs w:val="20"/>
          <w:color w:val="auto"/>
        </w:rPr>
      </w:pPr>
    </w:p>
    <w:p>
      <w:pPr>
        <w:jc w:val="both"/>
        <w:ind w:left="920" w:firstLine="420"/>
        <w:spacing w:after="0" w:line="314"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Company’s named executive officers, as disclosed pursuant to the compensation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rules of the Securities and Exchange Commission, including the Compensation Discussion and Analysis, the compensation tables and the related material disclosed in this Proxy Statement, is hereby approved by the stockholders of the Company on an advisory basis.</w:t>
      </w:r>
    </w:p>
    <w:p>
      <w:pPr>
        <w:spacing w:after="0" w:line="14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 and therefore do not affect the approval of the resolution.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1000" w:firstLine="456"/>
        <w:spacing w:after="0" w:line="282" w:lineRule="auto"/>
        <w:rPr>
          <w:sz w:val="20"/>
          <w:szCs w:val="20"/>
          <w:color w:val="auto"/>
        </w:rPr>
      </w:pPr>
      <w:r>
        <w:rPr>
          <w:rFonts w:ascii="Arial" w:cs="Arial" w:eastAsia="Arial" w:hAnsi="Arial"/>
          <w:sz w:val="18"/>
          <w:szCs w:val="18"/>
          <w:b w:val="1"/>
          <w:bCs w:val="1"/>
          <w:color w:val="auto"/>
        </w:rPr>
        <w:t>Our Board of Directors recommends that holders of Common Stock vote “for” the non-binding advisory resolution approving the compensation paid to our named executive officers.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 APPROVAL OF EXPECTED APPOINTMENT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2015, and the Audit Committee expects to appoint Ernst &amp; Young as our independent auditors for fiscal year 2016 if its proposal for audit services is satisfactory.</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Our board unanimously recommends a vote “for” the approval of the expected appointment of Ernst &amp; Young as the Company’s auditors for the fiscal year ending March 31, 2016.</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Ernst &amp; Young LLP, which we refer to as Ernst &amp; Young, audited the Company’s financial statements for the fiscal years ended March 31, 2013, 2014 and 2015.</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sets forth the various fees for services provided to the Company by Ernst &amp; Young in the fiscal years ended March 31, 2015 and 2014, all of which services have been approved by the Audit Committee: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20" w:type="dxa"/>
            <w:vAlign w:val="bottom"/>
          </w:tcPr>
          <w:p>
            <w:pPr>
              <w:spacing w:after="0"/>
              <w:rPr>
                <w:sz w:val="20"/>
                <w:szCs w:val="20"/>
                <w:color w:val="auto"/>
              </w:rPr>
            </w:pPr>
            <w:r>
              <w:rPr>
                <w:rFonts w:ascii="Arial" w:cs="Arial" w:eastAsia="Arial" w:hAnsi="Arial"/>
                <w:sz w:val="14"/>
                <w:szCs w:val="14"/>
                <w:b w:val="1"/>
                <w:bCs w:val="1"/>
                <w:color w:val="auto"/>
                <w:w w:val="95"/>
              </w:rPr>
              <w:t>Fiscal Year Ended March 31,</w:t>
            </w:r>
          </w:p>
        </w:tc>
        <w:tc>
          <w:tcPr>
            <w:tcW w:w="302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Audit Fees </w:t>
            </w:r>
            <w:r>
              <w:rPr>
                <w:rFonts w:ascii="Arial" w:cs="Arial" w:eastAsia="Arial" w:hAnsi="Arial"/>
                <w:sz w:val="12"/>
                <w:szCs w:val="12"/>
                <w:b w:val="1"/>
                <w:bCs w:val="1"/>
                <w:color w:val="auto"/>
              </w:rPr>
              <w:t>(1)</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Audit Related Fees </w:t>
            </w:r>
            <w:r>
              <w:rPr>
                <w:rFonts w:ascii="Arial" w:cs="Arial" w:eastAsia="Arial" w:hAnsi="Arial"/>
                <w:sz w:val="12"/>
                <w:szCs w:val="12"/>
                <w:b w:val="1"/>
                <w:bCs w:val="1"/>
                <w:color w:val="auto"/>
              </w:rPr>
              <w:t>(2)</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Tax Fees</w:t>
            </w:r>
          </w:p>
        </w:tc>
        <w:tc>
          <w:tcPr>
            <w:tcW w:w="900" w:type="dxa"/>
            <w:vAlign w:val="bottom"/>
          </w:tcPr>
          <w:p>
            <w:pPr>
              <w:spacing w:after="0"/>
              <w:rPr>
                <w:sz w:val="20"/>
                <w:szCs w:val="20"/>
                <w:color w:val="auto"/>
              </w:rPr>
            </w:pPr>
            <w:r>
              <w:rPr>
                <w:rFonts w:ascii="Arial" w:cs="Arial" w:eastAsia="Arial" w:hAnsi="Arial"/>
                <w:sz w:val="14"/>
                <w:szCs w:val="14"/>
                <w:b w:val="1"/>
                <w:bCs w:val="1"/>
                <w:color w:val="auto"/>
                <w:w w:val="92"/>
              </w:rPr>
              <w:t>All Other Fees</w:t>
            </w:r>
          </w:p>
        </w:tc>
        <w:tc>
          <w:tcPr>
            <w:tcW w:w="520" w:type="dxa"/>
            <w:vAlign w:val="bottom"/>
          </w:tcPr>
          <w:p>
            <w:pPr>
              <w:spacing w:after="0"/>
              <w:rPr>
                <w:sz w:val="16"/>
                <w:szCs w:val="16"/>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0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$ 1,164,750</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223,713</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$1,388,463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2014</w:t>
            </w:r>
          </w:p>
        </w:tc>
        <w:tc>
          <w:tcPr>
            <w:tcW w:w="4380" w:type="dxa"/>
            <w:vAlign w:val="bottom"/>
            <w:gridSpan w:val="3"/>
          </w:tcPr>
          <w:p>
            <w:pPr>
              <w:jc w:val="right"/>
              <w:ind w:right="500"/>
              <w:spacing w:after="0"/>
              <w:rPr>
                <w:sz w:val="20"/>
                <w:szCs w:val="20"/>
                <w:color w:val="auto"/>
              </w:rPr>
            </w:pPr>
            <w:r>
              <w:rPr>
                <w:rFonts w:ascii="Arial" w:cs="Arial" w:eastAsia="Arial" w:hAnsi="Arial"/>
                <w:sz w:val="18"/>
                <w:szCs w:val="18"/>
                <w:color w:val="auto"/>
              </w:rPr>
              <w:t>856,960</w:t>
            </w:r>
          </w:p>
        </w:tc>
        <w:tc>
          <w:tcPr>
            <w:tcW w:w="420" w:type="dxa"/>
            <w:vAlign w:val="bottom"/>
          </w:tcPr>
          <w:p>
            <w:pPr>
              <w:spacing w:after="0"/>
              <w:rPr>
                <w:sz w:val="20"/>
                <w:szCs w:val="20"/>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15,000</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871,960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right="460" w:hanging="452"/>
        <w:spacing w:after="0" w:line="291"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fees for the annual audit and quarterly reviews, accounting and financial reporting consultations regarding generally accepted accounting principles. For fiscal 2015, the amount also includes additional work conducted in connection with the Company’s acquisition of CRS Proppants.</w:t>
      </w: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fiscal 2015, the amount includes fees for due diligence conducted in connection with the Company’s acquisition of CRS Proppants.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Eagle Materials Inc.:</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We have reviewed and discussed with management and our independent registered public accounting firm, Ernst &amp; Young, as appropriate, (1) the audited financial statements of Eagle Materials Inc. as of and for the fiscal year ended March 31, 2015, and (2) management’s report on internal control over financial reporting and the independent registered accounting firm’s related opinions.</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i w:val="1"/>
          <w:iCs w:val="1"/>
          <w:color w:val="auto"/>
        </w:rPr>
        <w:t>We have discussed with the independent registered public accounting firm the required communications specified by auditing standards, together with guidelines established by the SEC and the Sarbanes-Oxley Act.</w:t>
      </w:r>
    </w:p>
    <w:p>
      <w:pPr>
        <w:spacing w:after="0" w:line="170"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i w:val="1"/>
          <w:iCs w:val="1"/>
          <w:color w:val="auto"/>
        </w:rPr>
        <w:t>We have received and reviewed the written disclosures and the letter from Ernst &amp; Young required by the applicable requirements of the Public Company Accounting Oversight Board concerning independence and have discussed with Ernst &amp; Young the auditors’ independence. We have also considered whether the auditors’ provision of non-audit services to Eagle Materials Inc. and its affiliates is compatible with the auditors’ independence.</w:t>
      </w:r>
    </w:p>
    <w:p>
      <w:pPr>
        <w:spacing w:after="0" w:line="14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the Annual Report of Eagle Materials Inc. on Form 10-K for the fiscal year ended March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8"/>
          <w:szCs w:val="18"/>
          <w:i w:val="1"/>
          <w:iCs w:val="1"/>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Beckwitt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Quinn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Next year’s annual meeting of stockholders is scheduled to be held on August 4, 2016. In order to be considered for inclusion in the Company’s proxy material for that meeting, stockholder proposals must be received at our executive offices, addressed to the attention of the Secretary, not later than February 20, 2016.</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For any proposal that is not submitted for inclusion in our proxy material for the 2016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6, 2016, and the stockholder satisfies the other requirements of Rule 14a-4(c). Our Bylaws provide that, to be considered at the 2016 annual meeting, a stockholder proposal must be submitted in writing and received by our Secretary at the executive offices of the Company during the period beginning on February 6, 2016 and ending May 6, 2016, and must contain the information specified by and otherwise comply with our Bylaws. Any stockholder wishing to receive a copy of our Bylaws should direct a written request to our Secretary at the Company’s principal executive office.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Stockholders entitled to vote at the meeting may obtain a copy of the Company’s Annual Report on Form 10-K for the fiscal year ended March 31, 2015,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8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2015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0"/>
        <w:spacing w:after="0"/>
        <w:rPr>
          <w:sz w:val="20"/>
          <w:szCs w:val="20"/>
          <w:color w:val="auto"/>
        </w:rPr>
      </w:pPr>
      <w:r>
        <w:rPr>
          <w:rFonts w:ascii="Arial" w:cs="Arial" w:eastAsia="Arial" w:hAnsi="Arial"/>
          <w:sz w:val="11"/>
          <w:szCs w:val="11"/>
          <w:b w:val="1"/>
          <w:bCs w:val="1"/>
          <w:i w:val="1"/>
          <w:iCs w:val="1"/>
          <w:color w:val="auto"/>
        </w:rPr>
        <w:t>EAGLE MATERIALS INC.</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0"/>
          <w:szCs w:val="10"/>
          <w:b w:val="1"/>
          <w:bCs w:val="1"/>
          <w:i w:val="1"/>
          <w:iCs w:val="1"/>
          <w:color w:val="auto"/>
        </w:rPr>
        <w:t>3811 TURTLE CREEK BLVD.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1"/>
          <w:szCs w:val="11"/>
          <w:b w:val="1"/>
          <w:bCs w:val="1"/>
          <w:i w:val="1"/>
          <w:iCs w:val="1"/>
          <w:color w:val="auto"/>
        </w:rPr>
        <w:t>SUITE 1100</w:t>
      </w:r>
    </w:p>
    <w:p>
      <w:pPr>
        <w:ind w:left="680"/>
        <w:spacing w:after="0"/>
        <w:rPr>
          <w:sz w:val="20"/>
          <w:szCs w:val="20"/>
          <w:color w:val="auto"/>
        </w:rPr>
      </w:pPr>
      <w:r>
        <w:rPr>
          <w:rFonts w:ascii="Arial" w:cs="Arial" w:eastAsia="Arial" w:hAnsi="Arial"/>
          <w:sz w:val="11"/>
          <w:szCs w:val="11"/>
          <w:b w:val="1"/>
          <w:bCs w:val="1"/>
          <w:i w:val="1"/>
          <w:iCs w:val="1"/>
          <w:color w:val="auto"/>
        </w:rPr>
        <w:t>DALLAS, TX 75219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 - www.proxyvote.com</w:t>
      </w:r>
    </w:p>
    <w:p>
      <w:pPr>
        <w:spacing w:after="0" w:line="9" w:lineRule="exact"/>
        <w:rPr>
          <w:sz w:val="20"/>
          <w:szCs w:val="20"/>
          <w:color w:val="auto"/>
        </w:rPr>
      </w:pPr>
    </w:p>
    <w:p>
      <w:pPr>
        <w:ind w:right="300"/>
        <w:spacing w:after="0" w:line="353" w:lineRule="auto"/>
        <w:rPr>
          <w:sz w:val="20"/>
          <w:szCs w:val="20"/>
          <w:color w:val="auto"/>
        </w:rPr>
      </w:pPr>
      <w:r>
        <w:rPr>
          <w:rFonts w:ascii="Arial" w:cs="Arial" w:eastAsia="Arial" w:hAnsi="Arial"/>
          <w:sz w:val="9"/>
          <w:szCs w:val="9"/>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9" w:lineRule="exact"/>
        <w:rPr>
          <w:sz w:val="20"/>
          <w:szCs w:val="20"/>
          <w:color w:val="auto"/>
        </w:rPr>
      </w:pPr>
    </w:p>
    <w:p>
      <w:pPr>
        <w:ind w:right="260"/>
        <w:spacing w:after="0" w:line="263"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9" w:lineRule="exact"/>
        <w:rPr>
          <w:sz w:val="20"/>
          <w:szCs w:val="20"/>
          <w:color w:val="auto"/>
        </w:rPr>
      </w:pPr>
    </w:p>
    <w:p>
      <w:pPr>
        <w:ind w:right="280"/>
        <w:spacing w:after="0" w:line="393" w:lineRule="auto"/>
        <w:rPr>
          <w:sz w:val="20"/>
          <w:szCs w:val="20"/>
          <w:color w:val="auto"/>
        </w:rPr>
      </w:pPr>
      <w:r>
        <w:rPr>
          <w:rFonts w:ascii="Arial" w:cs="Arial" w:eastAsia="Arial" w:hAnsi="Arial"/>
          <w:sz w:val="9"/>
          <w:szCs w:val="9"/>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9" w:lineRule="exact"/>
        <w:rPr>
          <w:sz w:val="20"/>
          <w:szCs w:val="20"/>
          <w:color w:val="auto"/>
        </w:rPr>
      </w:pPr>
    </w:p>
    <w:p>
      <w:pPr>
        <w:ind w:right="440"/>
        <w:spacing w:after="0" w:line="237"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80" w:space="720"/>
            <w:col w:w="56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0"/>
        <w:spacing w:after="0"/>
        <w:tabs>
          <w:tab w:leader="none" w:pos="8920" w:val="left"/>
        </w:tabs>
        <w:rPr>
          <w:sz w:val="20"/>
          <w:szCs w:val="20"/>
          <w:color w:val="auto"/>
        </w:rPr>
      </w:pPr>
      <w:r>
        <w:rPr>
          <w:rFonts w:ascii="Arial" w:cs="Arial" w:eastAsia="Arial" w:hAnsi="Arial"/>
          <w:sz w:val="13"/>
          <w:szCs w:val="13"/>
          <w:color w:val="auto"/>
        </w:rPr>
        <w:t>TO VOTE, MARK BLOCKS BELOW IN BLUE OR BLACK INK AS FOLLOWS:</w:t>
      </w:r>
      <w:r>
        <w:rPr>
          <w:sz w:val="20"/>
          <w:szCs w:val="20"/>
          <w:color w:val="auto"/>
        </w:rPr>
        <w:tab/>
      </w:r>
      <w:r>
        <w:rPr>
          <w:rFonts w:ascii="Arial" w:cs="Arial" w:eastAsia="Arial" w:hAnsi="Arial"/>
          <w:sz w:val="11"/>
          <w:szCs w:val="11"/>
          <w:color w:val="auto"/>
        </w:rPr>
        <w:t>KEEP THIS PORTION FOR YOUR RECORDS</w:t>
      </w:r>
    </w:p>
    <w:p>
      <w:pPr>
        <w:ind w:left="280"/>
        <w:spacing w:after="0" w:line="216" w:lineRule="auto"/>
        <w:rPr>
          <w:sz w:val="20"/>
          <w:szCs w:val="20"/>
          <w:color w:val="auto"/>
        </w:rPr>
      </w:pPr>
      <w:r>
        <w:rPr>
          <w:rFonts w:ascii="Arial" w:cs="Arial" w:eastAsia="Arial" w:hAnsi="Arial"/>
          <w:sz w:val="13"/>
          <w:szCs w:val="13"/>
          <w:color w:val="auto"/>
        </w:rPr>
        <w:t>— — — — — — — — — — — — — — — — — — — – – – – – – – – – – – – – – — — — — — — — — — — — — — — — — — — — — — — — — — — — — — —</w:t>
      </w:r>
    </w:p>
    <w:p>
      <w:pPr>
        <w:spacing w:after="0" w:line="1" w:lineRule="exact"/>
        <w:rPr>
          <w:sz w:val="20"/>
          <w:szCs w:val="20"/>
          <w:color w:val="auto"/>
        </w:rPr>
      </w:pPr>
    </w:p>
    <w:p>
      <w:pPr>
        <w:jc w:val="right"/>
        <w:spacing w:after="0"/>
        <w:tabs>
          <w:tab w:leader="none" w:pos="256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8"/>
          <w:szCs w:val="18"/>
          <w:color w:val="auto"/>
          <w:vertAlign w:val="superscript"/>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7126605" cy="3610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6605" cy="36106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319" w:lineRule="exact"/>
        <w:rPr>
          <w:sz w:val="20"/>
          <w:szCs w:val="20"/>
          <w:color w:val="auto"/>
        </w:rPr>
      </w:pPr>
    </w:p>
    <w:p>
      <w:pPr>
        <w:jc w:val="center"/>
        <w:ind w:left="140"/>
        <w:spacing w:after="0"/>
        <w:rPr>
          <w:sz w:val="20"/>
          <w:szCs w:val="20"/>
          <w:color w:val="auto"/>
        </w:rPr>
      </w:pPr>
      <w:r>
        <w:rPr>
          <w:rFonts w:ascii="Arial" w:cs="Arial" w:eastAsia="Arial" w:hAnsi="Arial"/>
          <w:sz w:val="11"/>
          <w:szCs w:val="11"/>
          <w:b w:val="1"/>
          <w:bCs w:val="1"/>
          <w:color w:val="auto"/>
        </w:rPr>
        <w:t>The Board of Directors recommends you vote FOR the following:</w:t>
      </w:r>
    </w:p>
    <w:p>
      <w:pPr>
        <w:spacing w:after="0" w:line="148" w:lineRule="exact"/>
        <w:rPr>
          <w:sz w:val="20"/>
          <w:szCs w:val="20"/>
          <w:color w:val="auto"/>
        </w:rPr>
      </w:pPr>
    </w:p>
    <w:p>
      <w:pPr>
        <w:ind w:left="680" w:hanging="213"/>
        <w:spacing w:after="0"/>
        <w:tabs>
          <w:tab w:leader="none" w:pos="680" w:val="left"/>
        </w:tabs>
        <w:numPr>
          <w:ilvl w:val="0"/>
          <w:numId w:val="52"/>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spacing w:after="0" w:line="107" w:lineRule="exact"/>
        <w:rPr>
          <w:rFonts w:ascii="Arial" w:cs="Arial" w:eastAsia="Arial" w:hAnsi="Arial"/>
          <w:sz w:val="13"/>
          <w:szCs w:val="13"/>
          <w:b w:val="1"/>
          <w:bCs w:val="1"/>
          <w:color w:val="auto"/>
        </w:rPr>
      </w:pPr>
    </w:p>
    <w:p>
      <w:pPr>
        <w:ind w:left="460"/>
        <w:spacing w:after="0"/>
        <w:rPr>
          <w:rFonts w:ascii="Arial" w:cs="Arial" w:eastAsia="Arial" w:hAnsi="Arial"/>
          <w:sz w:val="13"/>
          <w:szCs w:val="13"/>
          <w:b w:val="1"/>
          <w:bCs w:val="1"/>
          <w:color w:val="auto"/>
        </w:rPr>
      </w:pPr>
      <w:r>
        <w:rPr>
          <w:rFonts w:ascii="Arial" w:cs="Arial" w:eastAsia="Arial" w:hAnsi="Arial"/>
          <w:sz w:val="13"/>
          <w:szCs w:val="13"/>
          <w:color w:val="auto"/>
        </w:rPr>
        <w:t>1A F. William Barnett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1B Richard Beckwitt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1C Ed H. Bowman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1D David W. Quinn</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The Board of Directors recommends you vote FOR proposals 2 and 3.</w:t>
      </w:r>
    </w:p>
    <w:p>
      <w:pPr>
        <w:spacing w:after="0" w:line="148" w:lineRule="exact"/>
        <w:rPr>
          <w:sz w:val="20"/>
          <w:szCs w:val="20"/>
          <w:color w:val="auto"/>
        </w:rPr>
      </w:pPr>
    </w:p>
    <w:p>
      <w:pPr>
        <w:ind w:left="680" w:hanging="213"/>
        <w:spacing w:after="0" w:line="237" w:lineRule="auto"/>
        <w:tabs>
          <w:tab w:leader="none" w:pos="647" w:val="left"/>
        </w:tabs>
        <w:numPr>
          <w:ilvl w:val="0"/>
          <w:numId w:val="53"/>
        </w:numPr>
        <w:rPr>
          <w:rFonts w:ascii="Arial" w:cs="Arial" w:eastAsia="Arial" w:hAnsi="Arial"/>
          <w:sz w:val="13"/>
          <w:szCs w:val="13"/>
          <w:b w:val="1"/>
          <w:bCs w:val="1"/>
          <w:color w:val="auto"/>
        </w:rPr>
      </w:pPr>
      <w:r>
        <w:rPr>
          <w:rFonts w:ascii="Arial" w:cs="Arial" w:eastAsia="Arial" w:hAnsi="Arial"/>
          <w:sz w:val="13"/>
          <w:szCs w:val="13"/>
          <w:color w:val="auto"/>
        </w:rPr>
        <w:t>Advisory resolution regarding the compensation of our named executive officers.</w:t>
      </w:r>
    </w:p>
    <w:p>
      <w:pPr>
        <w:spacing w:after="0" w:line="110" w:lineRule="exact"/>
        <w:rPr>
          <w:sz w:val="20"/>
          <w:szCs w:val="20"/>
          <w:color w:val="auto"/>
        </w:rPr>
      </w:pPr>
    </w:p>
    <w:p>
      <w:pPr>
        <w:ind w:left="680" w:right="440" w:hanging="213"/>
        <w:spacing w:after="0" w:line="273" w:lineRule="auto"/>
        <w:tabs>
          <w:tab w:leader="none" w:pos="651" w:val="left"/>
        </w:tabs>
        <w:numPr>
          <w:ilvl w:val="0"/>
          <w:numId w:val="54"/>
        </w:numPr>
        <w:rPr>
          <w:rFonts w:ascii="Arial" w:cs="Arial" w:eastAsia="Arial" w:hAnsi="Arial"/>
          <w:sz w:val="12"/>
          <w:szCs w:val="12"/>
          <w:b w:val="1"/>
          <w:bCs w:val="1"/>
          <w:color w:val="auto"/>
        </w:rPr>
      </w:pPr>
      <w:r>
        <w:rPr>
          <w:rFonts w:ascii="Arial" w:cs="Arial" w:eastAsia="Arial" w:hAnsi="Arial"/>
          <w:sz w:val="12"/>
          <w:szCs w:val="12"/>
          <w:color w:val="auto"/>
        </w:rPr>
        <w:t>To approve the expected appointment of Ernst &amp; Young LLP as independent auditors for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94615" cy="1183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1183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tabs>
          <w:tab w:leader="none" w:pos="320" w:val="left"/>
          <w:tab w:leader="none" w:pos="86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78"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44"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44"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58"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13" w:lineRule="exact"/>
        <w:rPr>
          <w:sz w:val="20"/>
          <w:szCs w:val="20"/>
          <w:color w:val="auto"/>
        </w:rPr>
      </w:pPr>
    </w:p>
    <w:p>
      <w:pPr>
        <w:spacing w:after="0"/>
        <w:tabs>
          <w:tab w:leader="none" w:pos="320" w:val="left"/>
          <w:tab w:leader="none" w:pos="86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1"/>
          <w:szCs w:val="11"/>
          <w:b w:val="1"/>
          <w:bCs w:val="1"/>
          <w:color w:val="auto"/>
        </w:rPr>
        <w:t>Abstain</w:t>
      </w:r>
    </w:p>
    <w:p>
      <w:pPr>
        <w:spacing w:after="0" w:line="78"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25"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100"/>
        <w:spacing w:after="0" w:line="222"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SHARES REPRESENTED BY THIS PROXY WHEN PROPERLY</w:t>
      </w:r>
      <w:r>
        <w:rPr>
          <w:rFonts w:ascii="Arial" w:cs="Arial" w:eastAsia="Arial" w:hAnsi="Arial"/>
          <w:sz w:val="13"/>
          <w:szCs w:val="13"/>
          <w:b w:val="1"/>
          <w:bCs w:val="1"/>
          <w:color w:val="auto"/>
        </w:rPr>
        <w:t xml:space="preserve"> </w:t>
      </w:r>
      <w:r>
        <w:rPr>
          <w:rFonts w:ascii="Arial" w:cs="Arial" w:eastAsia="Arial" w:hAnsi="Arial"/>
          <w:sz w:val="13"/>
          <w:szCs w:val="13"/>
          <w:color w:val="auto"/>
        </w:rPr>
        <w:t>EXECUTED WILL BE VOTED IN THE MANNER DIRECTED HEREIN BY THE UNDERSIGNED STOCKHOLDER(S). IF NO DIRECTION IS MADE, THIS PROXY WILL BE VOTED FOR ITEMS 1, 2, AND 3. IF ANY OTHER MATTERS PROPERLY COME BEFORE THE MEETING, THE PROXIES NAMED IN THIS PROXY WILL VOTE IN THEIR DISCRETION. BY EXECUTING THIS PROXY, THE UNDERSIGNED HEREBY REVOKES PRIOR PROXIES RELATING TO THE MEETING.</w:t>
      </w:r>
    </w:p>
    <w:p>
      <w:pPr>
        <w:spacing w:after="0" w:line="775" w:lineRule="exact"/>
        <w:rPr>
          <w:sz w:val="20"/>
          <w:szCs w:val="20"/>
          <w:color w:val="auto"/>
        </w:rPr>
      </w:pPr>
    </w:p>
    <w:p>
      <w:pPr>
        <w:sectPr>
          <w:pgSz w:w="11900" w:h="16838" w:orient="portrait"/>
          <w:cols w:equalWidth="0" w:num="3">
            <w:col w:w="4300" w:space="140"/>
            <w:col w:w="1300" w:space="120"/>
            <w:col w:w="556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Please sign exactly as your name(s) appear(s) hereon. When signing as attorney, executor, administrator,</w:t>
      </w:r>
    </w:p>
    <w:p>
      <w:pPr>
        <w:ind w:left="460"/>
        <w:spacing w:after="0" w:line="216" w:lineRule="auto"/>
        <w:rPr>
          <w:sz w:val="20"/>
          <w:szCs w:val="20"/>
          <w:color w:val="auto"/>
        </w:rPr>
      </w:pPr>
      <w:r>
        <w:rPr>
          <w:rFonts w:ascii="Arial" w:cs="Arial" w:eastAsia="Arial" w:hAnsi="Arial"/>
          <w:sz w:val="13"/>
          <w:szCs w:val="13"/>
          <w:color w:val="auto"/>
        </w:rPr>
        <w:t>or other fiduciary, please give full title as such. Joint owners should each sign personally. All holders</w:t>
      </w:r>
    </w:p>
    <w:p>
      <w:pPr>
        <w:ind w:left="460"/>
        <w:spacing w:after="0" w:line="217" w:lineRule="auto"/>
        <w:rPr>
          <w:sz w:val="20"/>
          <w:szCs w:val="20"/>
          <w:color w:val="auto"/>
        </w:rPr>
      </w:pPr>
      <w:r>
        <w:rPr>
          <w:rFonts w:ascii="Arial" w:cs="Arial" w:eastAsia="Arial" w:hAnsi="Arial"/>
          <w:sz w:val="13"/>
          <w:szCs w:val="13"/>
          <w:color w:val="auto"/>
        </w:rPr>
        <w:t>must sign. If a corporation or partnership, please sign in full corporate or partnership name, by</w:t>
      </w:r>
    </w:p>
    <w:p>
      <w:pPr>
        <w:ind w:left="460"/>
        <w:spacing w:after="0"/>
        <w:rPr>
          <w:sz w:val="20"/>
          <w:szCs w:val="20"/>
          <w:color w:val="auto"/>
        </w:rPr>
      </w:pPr>
      <w:r>
        <w:rPr>
          <w:rFonts w:ascii="Arial" w:cs="Arial" w:eastAsia="Arial" w:hAnsi="Arial"/>
          <w:sz w:val="13"/>
          <w:szCs w:val="13"/>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tabs>
          <w:tab w:leader="none" w:pos="3520" w:val="left"/>
          <w:tab w:leader="none" w:pos="5840" w:val="left"/>
          <w:tab w:leader="none" w:pos="954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right="400"/>
        <w:spacing w:after="0" w:line="298"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Notice &amp; Proxy Statement, Annual Report is/are available 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162560</wp:posOffset>
            </wp:positionV>
            <wp:extent cx="7134860" cy="3618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361886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left="540"/>
        <w:spacing w:after="0"/>
        <w:rPr>
          <w:sz w:val="20"/>
          <w:szCs w:val="20"/>
          <w:color w:val="auto"/>
        </w:rPr>
      </w:pPr>
      <w:r>
        <w:rPr>
          <w:rFonts w:ascii="Arial" w:cs="Arial" w:eastAsia="Arial" w:hAnsi="Arial"/>
          <w:sz w:val="16"/>
          <w:szCs w:val="16"/>
          <w:b w:val="1"/>
          <w:bCs w:val="1"/>
          <w:color w:val="auto"/>
        </w:rPr>
        <w:t>EAGLE MATERIALS INC.</w:t>
      </w:r>
    </w:p>
    <w:p>
      <w:pPr>
        <w:spacing w:after="0" w:line="26" w:lineRule="exact"/>
        <w:rPr>
          <w:sz w:val="20"/>
          <w:szCs w:val="20"/>
          <w:color w:val="auto"/>
        </w:rPr>
      </w:pPr>
    </w:p>
    <w:p>
      <w:pPr>
        <w:jc w:val="center"/>
        <w:ind w:left="540"/>
        <w:spacing w:after="0"/>
        <w:rPr>
          <w:sz w:val="20"/>
          <w:szCs w:val="20"/>
          <w:color w:val="auto"/>
        </w:rPr>
      </w:pPr>
      <w:r>
        <w:rPr>
          <w:rFonts w:ascii="Arial" w:cs="Arial" w:eastAsia="Arial" w:hAnsi="Arial"/>
          <w:sz w:val="16"/>
          <w:szCs w:val="16"/>
          <w:b w:val="1"/>
          <w:bCs w:val="1"/>
          <w:color w:val="auto"/>
        </w:rPr>
        <w:t>THIS PROXY IS SOLICITED ON BEHALF OF</w:t>
      </w:r>
    </w:p>
    <w:p>
      <w:pPr>
        <w:spacing w:after="0" w:line="19" w:lineRule="exact"/>
        <w:rPr>
          <w:sz w:val="20"/>
          <w:szCs w:val="20"/>
          <w:color w:val="auto"/>
        </w:rPr>
      </w:pPr>
    </w:p>
    <w:p>
      <w:pPr>
        <w:jc w:val="center"/>
        <w:ind w:left="540"/>
        <w:spacing w:after="0"/>
        <w:rPr>
          <w:sz w:val="20"/>
          <w:szCs w:val="20"/>
          <w:color w:val="auto"/>
        </w:rPr>
      </w:pPr>
      <w:r>
        <w:rPr>
          <w:rFonts w:ascii="Arial" w:cs="Arial" w:eastAsia="Arial" w:hAnsi="Arial"/>
          <w:sz w:val="16"/>
          <w:szCs w:val="16"/>
          <w:b w:val="1"/>
          <w:bCs w:val="1"/>
          <w:color w:val="auto"/>
        </w:rPr>
        <w:t>THE BOARD OF DIRECTORS</w:t>
      </w:r>
    </w:p>
    <w:p>
      <w:pPr>
        <w:spacing w:after="0" w:line="240" w:lineRule="exact"/>
        <w:rPr>
          <w:sz w:val="20"/>
          <w:szCs w:val="20"/>
          <w:color w:val="auto"/>
        </w:rPr>
      </w:pPr>
    </w:p>
    <w:p>
      <w:pPr>
        <w:jc w:val="center"/>
        <w:ind w:left="540"/>
        <w:spacing w:after="0"/>
        <w:rPr>
          <w:sz w:val="20"/>
          <w:szCs w:val="20"/>
          <w:color w:val="auto"/>
        </w:rPr>
      </w:pPr>
      <w:r>
        <w:rPr>
          <w:rFonts w:ascii="Arial" w:cs="Arial" w:eastAsia="Arial" w:hAnsi="Arial"/>
          <w:sz w:val="16"/>
          <w:szCs w:val="16"/>
          <w:b w:val="1"/>
          <w:bCs w:val="1"/>
          <w:color w:val="auto"/>
        </w:rPr>
        <w:t>ANNUAL MEETING OF STOCKHOLDERS</w:t>
      </w:r>
    </w:p>
    <w:p>
      <w:pPr>
        <w:spacing w:after="0" w:line="26" w:lineRule="exact"/>
        <w:rPr>
          <w:sz w:val="20"/>
          <w:szCs w:val="20"/>
          <w:color w:val="auto"/>
        </w:rPr>
      </w:pPr>
    </w:p>
    <w:p>
      <w:pPr>
        <w:jc w:val="center"/>
        <w:ind w:left="540"/>
        <w:spacing w:after="0"/>
        <w:rPr>
          <w:sz w:val="20"/>
          <w:szCs w:val="20"/>
          <w:color w:val="auto"/>
        </w:rPr>
      </w:pPr>
      <w:r>
        <w:rPr>
          <w:rFonts w:ascii="Arial" w:cs="Arial" w:eastAsia="Arial" w:hAnsi="Arial"/>
          <w:sz w:val="16"/>
          <w:szCs w:val="16"/>
          <w:b w:val="1"/>
          <w:bCs w:val="1"/>
          <w:color w:val="auto"/>
        </w:rPr>
        <w:t>August 6, 2015</w:t>
      </w:r>
    </w:p>
    <w:p>
      <w:pPr>
        <w:spacing w:after="0" w:line="240" w:lineRule="exact"/>
        <w:rPr>
          <w:sz w:val="20"/>
          <w:szCs w:val="20"/>
          <w:color w:val="auto"/>
        </w:rPr>
      </w:pPr>
    </w:p>
    <w:p>
      <w:pPr>
        <w:ind w:left="760"/>
        <w:spacing w:after="0" w:line="257" w:lineRule="auto"/>
        <w:rPr>
          <w:sz w:val="20"/>
          <w:szCs w:val="20"/>
          <w:color w:val="auto"/>
        </w:rPr>
      </w:pPr>
      <w:r>
        <w:rPr>
          <w:rFonts w:ascii="Arial" w:cs="Arial" w:eastAsia="Arial" w:hAnsi="Arial"/>
          <w:sz w:val="18"/>
          <w:szCs w:val="18"/>
          <w:color w:val="auto"/>
        </w:rPr>
        <w:t>The undersigned hereby appoints James H. Graass and Steven R. Rowley,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Thursday, August 6, 2015 at the Arlington Hall at Lee Park, 3333 Turtle Creek Blvd., Dallas, Texas 75219, and any adjournment or postponement thereof.</w:t>
      </w:r>
    </w:p>
    <w:p>
      <w:pPr>
        <w:spacing w:after="0" w:line="216" w:lineRule="exact"/>
        <w:rPr>
          <w:sz w:val="20"/>
          <w:szCs w:val="20"/>
          <w:color w:val="auto"/>
        </w:rPr>
      </w:pPr>
    </w:p>
    <w:p>
      <w:pPr>
        <w:ind w:left="760" w:right="140"/>
        <w:spacing w:after="0" w:line="275" w:lineRule="auto"/>
        <w:rPr>
          <w:sz w:val="20"/>
          <w:szCs w:val="20"/>
          <w:color w:val="auto"/>
        </w:rPr>
      </w:pPr>
      <w:r>
        <w:rPr>
          <w:rFonts w:ascii="Arial" w:cs="Arial" w:eastAsia="Arial" w:hAnsi="Arial"/>
          <w:sz w:val="16"/>
          <w:szCs w:val="16"/>
          <w:b w:val="1"/>
          <w:bCs w:val="1"/>
          <w:color w:val="auto"/>
        </w:rPr>
        <w:t>THIS PROXY, WHEN PROPERLY EXECUTED, WILL BE VOTED AS DIRECTED BY THE STOCKHOLDER(S). IF NO SUCH DIRECTIONS ARE MADE, THIS PROXY WILL BE VOTED FOR THE ELECTION OF THE NOMINEES LISTED ON THE REVERSE SIDE FOR THE BOARD OF DIRECTORS AND FOR PROPOSALS 2 AND 3. THE PROXIES WILL USE THEIR DISCRETION WITH RESPECT TO ANY OTHER MATTERS THAT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94615" cy="12007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1200785"/>
                    </a:xfrm>
                    <a:prstGeom prst="rect">
                      <a:avLst/>
                    </a:prstGeom>
                    <a:noFill/>
                  </pic:spPr>
                </pic:pic>
              </a:graphicData>
            </a:graphic>
          </wp:anchor>
        </w:drawing>
      </w:r>
    </w:p>
    <w:p>
      <w:pPr>
        <w:spacing w:after="0" w:line="190" w:lineRule="exact"/>
        <w:rPr>
          <w:sz w:val="20"/>
          <w:szCs w:val="20"/>
          <w:color w:val="auto"/>
        </w:rPr>
      </w:pPr>
    </w:p>
    <w:p>
      <w:pPr>
        <w:ind w:left="760" w:right="40"/>
        <w:spacing w:after="0" w:line="298" w:lineRule="auto"/>
        <w:rPr>
          <w:sz w:val="20"/>
          <w:szCs w:val="20"/>
          <w:color w:val="auto"/>
        </w:rPr>
      </w:pPr>
      <w:r>
        <w:rPr>
          <w:rFonts w:ascii="Arial" w:cs="Arial" w:eastAsia="Arial" w:hAnsi="Arial"/>
          <w:sz w:val="16"/>
          <w:szCs w:val="16"/>
          <w:b w:val="1"/>
          <w:bCs w:val="1"/>
          <w:color w:val="auto"/>
        </w:rPr>
        <w:t>By execution of this proxy, the undersigned hereby acknowledges receipt of the Notice of Annual Meeting and Proxy Statement for the August 6, 2015 Annual Meeting.</w:t>
      </w:r>
    </w:p>
    <w:p>
      <w:pPr>
        <w:spacing w:after="0" w:line="187" w:lineRule="exact"/>
        <w:rPr>
          <w:sz w:val="20"/>
          <w:szCs w:val="20"/>
          <w:color w:val="auto"/>
        </w:rPr>
      </w:pPr>
    </w:p>
    <w:p>
      <w:pPr>
        <w:ind w:left="4280" w:right="1180" w:hanging="3529"/>
        <w:spacing w:after="0" w:line="564" w:lineRule="auto"/>
        <w:tabs>
          <w:tab w:leader="none" w:pos="87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For address changes, please contact our transfer agent, Computershare Shareowner Services LLC, at 1-800-279-1248. Continued and to be signed on reverse side</w:t>
      </w:r>
    </w:p>
    <w:sectPr>
      <w:pgSz w:w="11900" w:h="16838" w:orient="portrait"/>
      <w:cols w:equalWidth="0" w:num="1">
        <w:col w:w="11100"/>
      </w:cols>
      <w:pgMar w:left="240" w:top="45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lvl w:ilvl="1">
      <w:lvlJc w:val="left"/>
      <w:lvlText w:val="%2)"/>
      <w:numFmt w:val="decimal"/>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lvl w:ilvl="1">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lvl w:ilvl="1">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2"/>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lvl w:ilvl="1">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5"/>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9"/>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3"/>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lvl w:ilvl="1">
      <w:lvlJc w:val="left"/>
      <w:lvlText w:val="%2."/>
      <w:numFmt w:val="lowerLetter"/>
      <w:start w:val="1"/>
    </w:lvl>
  </w:abstractNum>
  <w:abstractNum w:abstractNumId="43">
    <w:nsid w:val="579478FE"/>
    <w:multiLevelType w:val="hybridMultilevel"/>
    <w:lvl w:ilvl="0">
      <w:lvlJc w:val="left"/>
      <w:lvlText w:val="%1"/>
      <w:numFmt w:val="decimal"/>
      <w:start w:val="1"/>
    </w:lvl>
    <w:lvl w:ilvl="1">
      <w:lvlJc w:val="left"/>
      <w:lvlText w:val="%2."/>
      <w:numFmt w:val="lowerLetter"/>
      <w:start w:val="2"/>
    </w:lvl>
  </w:abstractNum>
  <w:abstractNum w:abstractNumId="44">
    <w:nsid w:val="749ABB43"/>
    <w:multiLevelType w:val="hybridMultilevel"/>
    <w:lvl w:ilvl="0">
      <w:lvlJc w:val="left"/>
      <w:lvlText w:val="(%1)"/>
      <w:numFmt w:val="decimal"/>
      <w:start w:val="5"/>
    </w:lvl>
    <w:lvl w:ilvl="1">
      <w:lvlJc w:val="left"/>
      <w:lvlText w:val="%2"/>
      <w:numFmt w:val="lowerLetter"/>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4"/>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2"/>
      <w:numFmt w:val="bullet"/>
      <w:start w:val="1"/>
    </w:lvl>
  </w:abstractNum>
  <w:abstractNum w:abstractNumId="53">
    <w:nsid w:val="4F4EF005"/>
    <w:multiLevelType w:val="hybridMultilevel"/>
    <w:lvl w:ilvl="0">
      <w:lvlJc w:val="left"/>
      <w:lvlText w:val="3"/>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2019-12-06T11:22:02Z</dcterms:created>
  <dcterms:modified xsi:type="dcterms:W3CDTF">2019-12-06T11:22:02Z</dcterms:modified>
</cp:coreProperties>
</file>