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QUARTERLY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the Quarter Ended</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1997</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1-12984</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[COMPANY LOGO]</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CENTEX CONSTRUCTION PRODUCTS,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IRS Employer Identification No. 75-2520779</w:t>
      </w:r>
    </w:p>
    <w:p>
      <w:pPr>
        <w:ind w:left="2540"/>
        <w:spacing w:after="0" w:line="238" w:lineRule="auto"/>
        <w:rPr>
          <w:sz w:val="20"/>
          <w:szCs w:val="20"/>
          <w:color w:val="auto"/>
        </w:rPr>
      </w:pPr>
      <w:r>
        <w:rPr>
          <w:rFonts w:ascii="Courier New" w:cs="Courier New" w:eastAsia="Courier New" w:hAnsi="Courier New"/>
          <w:sz w:val="18"/>
          <w:szCs w:val="18"/>
          <w:color w:val="auto"/>
        </w:rPr>
        <w:t>3710 Rawlins, Suite 1600, LB 78</w:t>
      </w:r>
    </w:p>
    <w:p>
      <w:pPr>
        <w:ind w:left="3160"/>
        <w:spacing w:after="0"/>
        <w:rPr>
          <w:sz w:val="20"/>
          <w:szCs w:val="20"/>
          <w:color w:val="auto"/>
        </w:rPr>
      </w:pPr>
      <w:r>
        <w:rPr>
          <w:rFonts w:ascii="Courier New" w:cs="Courier New" w:eastAsia="Courier New" w:hAnsi="Courier New"/>
          <w:sz w:val="18"/>
          <w:szCs w:val="18"/>
          <w:color w:val="auto"/>
        </w:rPr>
        <w:t>Dallas, Texas 75219</w:t>
      </w:r>
    </w:p>
    <w:p>
      <w:pPr>
        <w:ind w:left="3480"/>
        <w:spacing w:after="0" w:line="237" w:lineRule="auto"/>
        <w:rPr>
          <w:sz w:val="20"/>
          <w:szCs w:val="20"/>
          <w:color w:val="auto"/>
        </w:rPr>
      </w:pPr>
      <w:r>
        <w:rPr>
          <w:rFonts w:ascii="Courier New" w:cs="Courier New" w:eastAsia="Courier New" w:hAnsi="Courier New"/>
          <w:sz w:val="18"/>
          <w:szCs w:val="18"/>
          <w:color w:val="auto"/>
        </w:rPr>
        <w:t>(214) 559-6514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registrant has filed all reports required to be filed by Section 13 or 15(d) of the Securities Exchange Act of 1934 during the preceding 12 months and has been subject to such filing requirements for the past 90 days.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 of the close of business on February 6, 1998, 21,516,418 shares of Centex Construction Products, Inc. common stock were outstanding.</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3160"/>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spacing w:after="0" w:line="20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FORM 10-Q TABLE OF CONTENTS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900" w:type="dxa"/>
            <w:vAlign w:val="bottom"/>
            <w:gridSpan w:val="3"/>
          </w:tcPr>
          <w:p>
            <w:pPr>
              <w:spacing w:after="0"/>
              <w:rPr>
                <w:sz w:val="20"/>
                <w:szCs w:val="20"/>
                <w:color w:val="auto"/>
              </w:rPr>
            </w:pPr>
            <w:r>
              <w:rPr>
                <w:rFonts w:ascii="Courier New" w:cs="Courier New" w:eastAsia="Courier New" w:hAnsi="Courier New"/>
                <w:sz w:val="18"/>
                <w:szCs w:val="18"/>
                <w:color w:val="auto"/>
              </w:rPr>
              <w:t>PART I.   FINANCIAL INFORMATION (UNAUDITED)</w:t>
            </w:r>
          </w:p>
        </w:tc>
        <w:tc>
          <w:tcPr>
            <w:tcW w:w="2600" w:type="dxa"/>
            <w:vAlign w:val="bottom"/>
          </w:tcPr>
          <w:p>
            <w:pPr>
              <w:spacing w:after="0"/>
              <w:rPr>
                <w:sz w:val="24"/>
                <w:szCs w:val="24"/>
                <w:color w:val="auto"/>
              </w:rPr>
            </w:pPr>
          </w:p>
        </w:tc>
      </w:tr>
      <w:tr>
        <w:trPr>
          <w:trHeight w:val="405"/>
        </w:trPr>
        <w:tc>
          <w:tcPr>
            <w:tcW w:w="2480" w:type="dxa"/>
            <w:vAlign w:val="bottom"/>
          </w:tcPr>
          <w:p>
            <w:pPr>
              <w:ind w:left="1480"/>
              <w:spacing w:after="0"/>
              <w:rPr>
                <w:sz w:val="20"/>
                <w:szCs w:val="20"/>
                <w:color w:val="auto"/>
              </w:rPr>
            </w:pPr>
            <w:r>
              <w:rPr>
                <w:rFonts w:ascii="Courier New" w:cs="Courier New" w:eastAsia="Courier New" w:hAnsi="Courier New"/>
                <w:sz w:val="18"/>
                <w:szCs w:val="18"/>
                <w:color w:val="auto"/>
              </w:rPr>
              <w:t>ITEM 1.</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Consolidated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2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405"/>
        </w:trPr>
        <w:tc>
          <w:tcPr>
            <w:tcW w:w="248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Consolidated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Statement of Earnings</w:t>
            </w:r>
          </w:p>
        </w:tc>
        <w:tc>
          <w:tcPr>
            <w:tcW w:w="26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6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 the Three Months Ended</w:t>
            </w:r>
          </w:p>
        </w:tc>
        <w:tc>
          <w:tcPr>
            <w:tcW w:w="26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December 31,</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2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48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Consolidated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Statement of Earnings</w:t>
            </w:r>
          </w:p>
        </w:tc>
        <w:tc>
          <w:tcPr>
            <w:tcW w:w="26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 the Nine</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Ended</w:t>
            </w:r>
          </w:p>
        </w:tc>
        <w:tc>
          <w:tcPr>
            <w:tcW w:w="26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December 31,</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2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248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Consolidated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Balance Sheets</w:t>
            </w:r>
          </w:p>
        </w:tc>
        <w:tc>
          <w:tcPr>
            <w:tcW w:w="2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405"/>
        </w:trPr>
        <w:tc>
          <w:tcPr>
            <w:tcW w:w="248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Consolidated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Statement of Cash Flows</w:t>
            </w:r>
          </w:p>
        </w:tc>
        <w:tc>
          <w:tcPr>
            <w:tcW w:w="26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 the Nine</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Ended</w:t>
            </w:r>
          </w:p>
        </w:tc>
        <w:tc>
          <w:tcPr>
            <w:tcW w:w="26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December 31,</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2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2480" w:type="dxa"/>
            <w:vAlign w:val="bottom"/>
          </w:tcPr>
          <w:p>
            <w:pPr>
              <w:spacing w:after="0"/>
              <w:rPr>
                <w:sz w:val="24"/>
                <w:szCs w:val="24"/>
                <w:color w:val="auto"/>
              </w:rPr>
            </w:pPr>
          </w:p>
        </w:tc>
        <w:tc>
          <w:tcPr>
            <w:tcW w:w="6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Notes to Unaudited Consolidated</w:t>
            </w:r>
          </w:p>
        </w:tc>
        <w:tc>
          <w:tcPr>
            <w:tcW w:w="26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6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2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r>
      <w:tr>
        <w:trPr>
          <w:trHeight w:val="405"/>
        </w:trPr>
        <w:tc>
          <w:tcPr>
            <w:tcW w:w="2480" w:type="dxa"/>
            <w:vAlign w:val="bottom"/>
          </w:tcPr>
          <w:p>
            <w:pPr>
              <w:ind w:left="1480"/>
              <w:spacing w:after="0"/>
              <w:rPr>
                <w:sz w:val="20"/>
                <w:szCs w:val="20"/>
                <w:color w:val="auto"/>
              </w:rPr>
            </w:pPr>
            <w:r>
              <w:rPr>
                <w:rFonts w:ascii="Courier New" w:cs="Courier New" w:eastAsia="Courier New" w:hAnsi="Courier New"/>
                <w:sz w:val="18"/>
                <w:szCs w:val="18"/>
                <w:color w:val="auto"/>
              </w:rPr>
              <w:t>ITEM 2.</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Management's</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Discussion and Analysis of</w:t>
            </w:r>
          </w:p>
        </w:tc>
        <w:tc>
          <w:tcPr>
            <w:tcW w:w="26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6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Results of Operations and Financial</w:t>
            </w:r>
          </w:p>
        </w:tc>
        <w:tc>
          <w:tcPr>
            <w:tcW w:w="26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Condition</w:t>
            </w:r>
          </w:p>
        </w:tc>
        <w:tc>
          <w:tcPr>
            <w:tcW w:w="4840" w:type="dxa"/>
            <w:vAlign w:val="bottom"/>
          </w:tcPr>
          <w:p>
            <w:pPr>
              <w:spacing w:after="0"/>
              <w:rPr>
                <w:sz w:val="17"/>
                <w:szCs w:val="17"/>
                <w:color w:val="auto"/>
              </w:rPr>
            </w:pPr>
          </w:p>
        </w:tc>
        <w:tc>
          <w:tcPr>
            <w:tcW w:w="2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PART II.  OTHER INFORMATION</w:t>
            </w:r>
          </w:p>
        </w:tc>
        <w:tc>
          <w:tcPr>
            <w:tcW w:w="48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05"/>
        </w:trPr>
        <w:tc>
          <w:tcPr>
            <w:tcW w:w="2480" w:type="dxa"/>
            <w:vAlign w:val="bottom"/>
          </w:tcPr>
          <w:p>
            <w:pPr>
              <w:ind w:left="1380"/>
              <w:spacing w:after="0"/>
              <w:rPr>
                <w:sz w:val="20"/>
                <w:szCs w:val="20"/>
                <w:color w:val="auto"/>
              </w:rPr>
            </w:pPr>
            <w:r>
              <w:rPr>
                <w:rFonts w:ascii="Courier New" w:cs="Courier New" w:eastAsia="Courier New" w:hAnsi="Courier New"/>
                <w:sz w:val="18"/>
                <w:szCs w:val="18"/>
                <w:color w:val="auto"/>
              </w:rPr>
              <w:t>ITEM 1.</w:t>
            </w:r>
          </w:p>
        </w:tc>
        <w:tc>
          <w:tcPr>
            <w:tcW w:w="6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Legal Proceedings</w:t>
            </w:r>
          </w:p>
        </w:tc>
        <w:tc>
          <w:tcPr>
            <w:tcW w:w="2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405"/>
        </w:trPr>
        <w:tc>
          <w:tcPr>
            <w:tcW w:w="2480" w:type="dxa"/>
            <w:vAlign w:val="bottom"/>
          </w:tcPr>
          <w:p>
            <w:pPr>
              <w:ind w:left="1380"/>
              <w:spacing w:after="0"/>
              <w:rPr>
                <w:sz w:val="20"/>
                <w:szCs w:val="20"/>
                <w:color w:val="auto"/>
              </w:rPr>
            </w:pPr>
            <w:r>
              <w:rPr>
                <w:rFonts w:ascii="Courier New" w:cs="Courier New" w:eastAsia="Courier New" w:hAnsi="Courier New"/>
                <w:sz w:val="18"/>
                <w:szCs w:val="18"/>
                <w:color w:val="auto"/>
              </w:rPr>
              <w:t>ITEM 6.</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Exhibits and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Reports on Form 8-K</w:t>
            </w:r>
          </w:p>
        </w:tc>
        <w:tc>
          <w:tcPr>
            <w:tcW w:w="2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1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1500"/>
          </w:cols>
          <w:pgMar w:left="240" w:top="312" w:right="15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spacing w:after="0" w:line="202" w:lineRule="exact"/>
        <w:rPr>
          <w:sz w:val="20"/>
          <w:szCs w:val="20"/>
          <w:color w:val="auto"/>
        </w:rPr>
      </w:pP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consolidated financial statements include the accounts of Centex Construction Products, Inc. and subsidiaries ("CXP" or the "Company"), and have been prepared by the Company, without audit,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 It is suggested that these unaudited consolidated financial statements be read in conjunction with the consolidated financial statements and the notes thereto included in the Company's latest Annual Report on Form 10-K. In the opinion of the Company, all adjustments necessary to present fairly the information in the following unaudited consolidated financial statements of the Company have been included. The results of operations for such interim periods are not necessarily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1480"/>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ind w:left="2440"/>
        <w:spacing w:after="0"/>
        <w:rPr>
          <w:sz w:val="20"/>
          <w:szCs w:val="20"/>
          <w:color w:val="auto"/>
        </w:rPr>
      </w:pPr>
      <w:r>
        <w:rPr>
          <w:rFonts w:ascii="Courier New" w:cs="Courier New" w:eastAsia="Courier New" w:hAnsi="Courier New"/>
          <w:sz w:val="18"/>
          <w:szCs w:val="18"/>
          <w:color w:val="auto"/>
        </w:rPr>
        <w:t>CONSOLIDATED STATEMENT OF EARNINGS</w:t>
      </w:r>
    </w:p>
    <w:p>
      <w:pPr>
        <w:ind w:left="1800"/>
        <w:spacing w:after="0" w:line="237" w:lineRule="auto"/>
        <w:rPr>
          <w:sz w:val="20"/>
          <w:szCs w:val="20"/>
          <w:color w:val="auto"/>
        </w:rPr>
      </w:pPr>
      <w:r>
        <w:rPr>
          <w:rFonts w:ascii="Courier New" w:cs="Courier New" w:eastAsia="Courier New" w:hAnsi="Courier New"/>
          <w:sz w:val="18"/>
          <w:szCs w:val="18"/>
          <w:color w:val="auto"/>
        </w:rPr>
        <w:t>(dollars in thousands, except per share data)</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360" w:type="dxa"/>
            <w:vAlign w:val="bottom"/>
          </w:tcPr>
          <w:p>
            <w:pPr>
              <w:spacing w:after="0"/>
              <w:rPr>
                <w:sz w:val="17"/>
                <w:szCs w:val="17"/>
                <w:color w:val="auto"/>
              </w:rPr>
            </w:pPr>
          </w:p>
        </w:tc>
        <w:tc>
          <w:tcPr>
            <w:tcW w:w="284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600" w:type="dxa"/>
            <w:vAlign w:val="bottom"/>
          </w:tcPr>
          <w:p>
            <w:pPr>
              <w:spacing w:after="0"/>
              <w:rPr>
                <w:sz w:val="17"/>
                <w:szCs w:val="17"/>
                <w:color w:val="auto"/>
              </w:rPr>
            </w:pPr>
          </w:p>
        </w:tc>
        <w:tc>
          <w:tcPr>
            <w:tcW w:w="3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Cement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32,120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32,228</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Gypsum Wallboard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28,673</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18,103</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Concrete/Aggregates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10,505</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9,123</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604</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Intersegment Sales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(1,392)</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70,510</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59,117</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Cement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20,204</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21,762</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Gypsum Wallboard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21,351</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12,636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Concrete/Aggregates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9,400</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8,071</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Intersegment Purchases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(1,392)</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 General &amp; Administrative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916</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1,073</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net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(668)</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49,811</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41,826</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EARNINGS BEFORE INCOME TAXES .............</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20,699</w:t>
            </w:r>
          </w:p>
        </w:tc>
        <w:tc>
          <w:tcPr>
            <w:tcW w:w="3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17,291</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Income Taxes ...........................</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7,464</w:t>
            </w:r>
          </w:p>
        </w:tc>
        <w:tc>
          <w:tcPr>
            <w:tcW w:w="3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6,069</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EARNINGS .............................</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13,235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11,222</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6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22,022,147</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21,996,836</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22,177,688</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22,109,774</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DIVIDENDS PER SHARE .................</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notes to unaudited consolidated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1480"/>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ind w:left="2440"/>
        <w:spacing w:after="0"/>
        <w:rPr>
          <w:sz w:val="20"/>
          <w:szCs w:val="20"/>
          <w:color w:val="auto"/>
        </w:rPr>
      </w:pPr>
      <w:r>
        <w:rPr>
          <w:rFonts w:ascii="Courier New" w:cs="Courier New" w:eastAsia="Courier New" w:hAnsi="Courier New"/>
          <w:sz w:val="18"/>
          <w:szCs w:val="18"/>
          <w:color w:val="auto"/>
        </w:rPr>
        <w:t>CONSOLIDATED STATEMENT OF EARNINGS</w:t>
      </w:r>
    </w:p>
    <w:p>
      <w:pPr>
        <w:ind w:left="1800"/>
        <w:spacing w:after="0" w:line="237" w:lineRule="auto"/>
        <w:rPr>
          <w:sz w:val="20"/>
          <w:szCs w:val="20"/>
          <w:color w:val="auto"/>
        </w:rPr>
      </w:pPr>
      <w:r>
        <w:rPr>
          <w:rFonts w:ascii="Courier New" w:cs="Courier New" w:eastAsia="Courier New" w:hAnsi="Courier New"/>
          <w:sz w:val="18"/>
          <w:szCs w:val="18"/>
          <w:color w:val="auto"/>
        </w:rPr>
        <w:t>(dollars in thousands, except per share data)</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FOR THE NINE MONTHS ENDED</w:t>
            </w:r>
          </w:p>
        </w:tc>
        <w:tc>
          <w:tcPr>
            <w:tcW w:w="360" w:type="dxa"/>
            <w:vAlign w:val="bottom"/>
          </w:tcPr>
          <w:p>
            <w:pPr>
              <w:spacing w:after="0"/>
              <w:rPr>
                <w:sz w:val="17"/>
                <w:szCs w:val="17"/>
                <w:color w:val="auto"/>
              </w:rPr>
            </w:pPr>
          </w:p>
        </w:tc>
        <w:tc>
          <w:tcPr>
            <w:tcW w:w="284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600" w:type="dxa"/>
            <w:vAlign w:val="bottom"/>
          </w:tcPr>
          <w:p>
            <w:pPr>
              <w:spacing w:after="0"/>
              <w:rPr>
                <w:sz w:val="17"/>
                <w:szCs w:val="17"/>
                <w:color w:val="auto"/>
              </w:rPr>
            </w:pPr>
          </w:p>
        </w:tc>
        <w:tc>
          <w:tcPr>
            <w:tcW w:w="3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Cement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114,357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108,844</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Gypsum Wallboard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87,495</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49,806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Concrete/Aggregates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32,390</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29,289</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1,852</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1,573</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Intersegment Sales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(3,799)</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231,876</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185,713</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Cement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73,346</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74,166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Gypsum Wallboard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60,838</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36,259</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Concrete/Aggregates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28,420</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25,068</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Intersegment Purchases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(3,799)</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 General &amp; Administrative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2,752</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2,438</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net ...................</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(1,072)</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160,066</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133,172</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EARNINGS BEFORE INCOME TAXES .............</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71,810</w:t>
            </w:r>
          </w:p>
        </w:tc>
        <w:tc>
          <w:tcPr>
            <w:tcW w:w="3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52,541</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Income Taxes ...........................</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25,708</w:t>
            </w:r>
          </w:p>
        </w:tc>
        <w:tc>
          <w:tcPr>
            <w:tcW w:w="3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18,442</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EARNINGS .............................</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46,102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34,099</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22,004,692</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22,192,197</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22,178,715</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22,202,130</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DIVIDENDS PER SHARE .................</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0.15</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notes to unaudited consolidated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ind w:right="1879"/>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2"/>
        </w:trPr>
        <w:tc>
          <w:tcPr>
            <w:tcW w:w="6480" w:type="dxa"/>
            <w:vAlign w:val="bottom"/>
            <w:gridSpan w:val="3"/>
          </w:tcPr>
          <w:p>
            <w:pPr>
              <w:jc w:val="right"/>
              <w:ind w:right="1012"/>
              <w:spacing w:after="0" w:line="202" w:lineRule="exact"/>
              <w:rPr>
                <w:sz w:val="20"/>
                <w:szCs w:val="20"/>
                <w:color w:val="auto"/>
              </w:rPr>
            </w:pPr>
            <w:r>
              <w:rPr>
                <w:rFonts w:ascii="Courier New" w:cs="Courier New" w:eastAsia="Courier New" w:hAnsi="Courier New"/>
                <w:sz w:val="18"/>
                <w:szCs w:val="18"/>
                <w:color w:val="auto"/>
              </w:rPr>
              <w:t>(dollars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50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March 31,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and Cash Equivalents .................</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60,646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4,812</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and Notes Receivable, net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35,496</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38,700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28,201</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31,482</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124,343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74,994</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Plant and Equipment ................</w:t>
            </w:r>
          </w:p>
        </w:tc>
        <w:tc>
          <w:tcPr>
            <w:tcW w:w="26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369,767</w:t>
            </w:r>
          </w:p>
        </w:tc>
        <w:tc>
          <w:tcPr>
            <w:tcW w:w="1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363,409</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Accumulated Depreciation .............</w:t>
            </w:r>
          </w:p>
        </w:tc>
        <w:tc>
          <w:tcPr>
            <w:tcW w:w="2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(151,855)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(139,033)</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Property, Plant &amp; Equipment, net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217,912</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224,376</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Notes Receivable, net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1,066</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1,407</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5,253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4,860</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$ 348,574</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$ 305,637</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14,602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16,472</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Liabilities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32,890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28,254</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Payable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Long-term Debt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Payable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3,110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50,682</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46,806</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Long-term Debt ...............................</w:t>
            </w:r>
          </w:p>
        </w:tc>
        <w:tc>
          <w:tcPr>
            <w:tcW w:w="26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560</w:t>
            </w:r>
          </w:p>
        </w:tc>
        <w:tc>
          <w:tcPr>
            <w:tcW w:w="1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560</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Deferred Income Taxes ........................</w:t>
            </w:r>
          </w:p>
        </w:tc>
        <w:tc>
          <w:tcPr>
            <w:tcW w:w="26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19,948</w:t>
            </w:r>
          </w:p>
        </w:tc>
        <w:tc>
          <w:tcPr>
            <w:tcW w:w="1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18,835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Common Stock, Par Value $0.01;</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50,000,000 Shares;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and Outstanding 21,917,501 and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21,983,814 Shares, respectively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142,345</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147,212</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134,820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92,004</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Stockholders' Equity ...................</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277,384</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239,436</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$ 348,574</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$ 305,637</w:t>
            </w:r>
          </w:p>
        </w:tc>
      </w:tr>
      <w:tr>
        <w:trPr>
          <w:trHeight w:val="203"/>
        </w:trPr>
        <w:tc>
          <w:tcPr>
            <w:tcW w:w="5020" w:type="dxa"/>
            <w:vAlign w:val="bottom"/>
          </w:tcPr>
          <w:p>
            <w:pPr>
              <w:spacing w:after="0"/>
              <w:rPr>
                <w:sz w:val="17"/>
                <w:szCs w:val="17"/>
                <w:color w:val="auto"/>
              </w:rPr>
            </w:pP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Condensed from audited financial statements.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notes to unaudited consolidated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1480"/>
        <w:spacing w:after="0" w:line="238" w:lineRule="auto"/>
        <w:rPr>
          <w:sz w:val="20"/>
          <w:szCs w:val="20"/>
          <w:color w:val="auto"/>
        </w:rPr>
      </w:pPr>
      <w:r>
        <w:rPr>
          <w:rFonts w:ascii="Courier New" w:cs="Courier New" w:eastAsia="Courier New" w:hAnsi="Courier New"/>
          <w:sz w:val="18"/>
          <w:szCs w:val="18"/>
          <w:color w:val="auto"/>
        </w:rPr>
        <w:t>CENTEX CONSTRUCTION PRODUCTS, INC. AND SUBSIDIARIES</w:t>
      </w:r>
    </w:p>
    <w:p>
      <w:pPr>
        <w:ind w:left="2320"/>
        <w:spacing w:after="0"/>
        <w:rPr>
          <w:sz w:val="20"/>
          <w:szCs w:val="20"/>
          <w:color w:val="auto"/>
        </w:rPr>
      </w:pPr>
      <w:r>
        <w:rPr>
          <w:rFonts w:ascii="Courier New" w:cs="Courier New" w:eastAsia="Courier New" w:hAnsi="Courier New"/>
          <w:sz w:val="18"/>
          <w:szCs w:val="18"/>
          <w:color w:val="auto"/>
        </w:rPr>
        <w:t>CONSOLIDATED STATEMENT OF CASH FLOWS</w:t>
      </w:r>
    </w:p>
    <w:p>
      <w:pPr>
        <w:ind w:left="3060"/>
        <w:spacing w:after="0" w:line="237" w:lineRule="auto"/>
        <w:rPr>
          <w:sz w:val="20"/>
          <w:szCs w:val="20"/>
          <w:color w:val="auto"/>
        </w:rPr>
      </w:pPr>
      <w:r>
        <w:rPr>
          <w:rFonts w:ascii="Courier New" w:cs="Courier New" w:eastAsia="Courier New" w:hAnsi="Courier New"/>
          <w:sz w:val="18"/>
          <w:szCs w:val="18"/>
          <w:color w:val="auto"/>
        </w:rPr>
        <w:t>(dollars in thousands)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20"/>
                <w:szCs w:val="20"/>
                <w:color w:val="auto"/>
              </w:rPr>
            </w:pPr>
            <w:r>
              <w:rPr>
                <w:rFonts w:ascii="Courier New" w:cs="Courier New" w:eastAsia="Courier New" w:hAnsi="Courier New"/>
                <w:sz w:val="18"/>
                <w:szCs w:val="18"/>
                <w:color w:val="auto"/>
              </w:rPr>
              <w:t>FOR THE NINE MONTHS ENDED</w:t>
            </w:r>
          </w:p>
        </w:tc>
        <w:tc>
          <w:tcPr>
            <w:tcW w:w="2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440" w:type="dxa"/>
            <w:vAlign w:val="bottom"/>
          </w:tcPr>
          <w:p>
            <w:pPr>
              <w:spacing w:after="0"/>
              <w:rPr>
                <w:sz w:val="17"/>
                <w:szCs w:val="17"/>
                <w:color w:val="auto"/>
              </w:rPr>
            </w:pP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Earnings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$ 46,102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$ 34,099</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Earnings</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 -</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Depreciation, Depletion and</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11,903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10,099</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Deferred Income Tax</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Provision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 Disposition Provision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Accounts and Notes</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Receivable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 in Inventories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3,281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 in Other, net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(1,014)</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 in Income Taxes Payable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2,919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4,045</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73,529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55,395</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Additions, net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Paid To Stockholders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(3,360)</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Retirement of Common Stock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(11,185)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(14,976)</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Stock Option Exercises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Benefits from Stock Option</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 in Notes Payable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(10,172)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(17,789)</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55,834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33,256</w:t>
            </w:r>
          </w:p>
        </w:tc>
      </w:tr>
      <w:tr>
        <w:trPr>
          <w:trHeight w:val="405"/>
        </w:trPr>
        <w:tc>
          <w:tcPr>
            <w:tcW w:w="5440" w:type="dxa"/>
            <w:vAlign w:val="bottom"/>
          </w:tcPr>
          <w:p>
            <w:pPr>
              <w:jc w:val="right"/>
              <w:spacing w:after="0"/>
              <w:rPr>
                <w:sz w:val="20"/>
                <w:szCs w:val="20"/>
                <w:color w:val="auto"/>
              </w:rPr>
            </w:pPr>
            <w:r>
              <w:rPr>
                <w:rFonts w:ascii="Courier New" w:cs="Courier New" w:eastAsia="Courier New" w:hAnsi="Courier New"/>
                <w:sz w:val="18"/>
                <w:szCs w:val="18"/>
                <w:color w:val="auto"/>
                <w:w w:val="97"/>
              </w:rPr>
              <w:t>CASH AT BEGINNING OF PERIOD .......................</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4,812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20,799</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AT END OF PERIOD .............................</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$ 60,646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$ 54,055</w:t>
            </w:r>
          </w:p>
        </w:tc>
      </w:tr>
      <w:tr>
        <w:trPr>
          <w:trHeight w:val="203"/>
        </w:trPr>
        <w:tc>
          <w:tcPr>
            <w:tcW w:w="544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notes to unaudited consolidated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jc w:val="center"/>
        <w:ind w:left="340" w:right="1380"/>
        <w:spacing w:after="0" w:line="236" w:lineRule="auto"/>
        <w:rPr>
          <w:sz w:val="20"/>
          <w:szCs w:val="20"/>
          <w:color w:val="auto"/>
        </w:rPr>
      </w:pPr>
      <w:r>
        <w:rPr>
          <w:rFonts w:ascii="Courier New" w:cs="Courier New" w:eastAsia="Courier New" w:hAnsi="Courier New"/>
          <w:sz w:val="18"/>
          <w:szCs w:val="18"/>
          <w:color w:val="auto"/>
        </w:rPr>
        <w:t>CENTEX CONSTRUCTION PRODUCTS, INC. AND SUBSIDIARIES NOTES TO UNAUDITED CONSOLIDATED FINANCIAL STATEMENTS DECEMBER 31, 1997</w:t>
      </w: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summary of changes in stockholders' equity is presented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Capital in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Excess of</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Retained</w:t>
            </w:r>
          </w:p>
        </w:tc>
        <w:tc>
          <w:tcPr>
            <w:tcW w:w="12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Stock</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Par Value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Earnings</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0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20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Balance, March 31, 1996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$ 161,617</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54,615</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$ 216,462</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41,799</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41,799</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Stock Option Exercises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561</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561</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Dividends To Stockholders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(4,410)</w:t>
            </w:r>
          </w:p>
        </w:tc>
        <w:tc>
          <w:tcPr>
            <w:tcW w:w="120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(4,410)</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Retirement of Common Stock</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(14,966)</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(14,976)</w:t>
            </w:r>
          </w:p>
        </w:tc>
      </w:tr>
      <w:tr>
        <w:trPr>
          <w:trHeight w:val="203"/>
        </w:trPr>
        <w:tc>
          <w:tcPr>
            <w:tcW w:w="290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Balance, March 31, 1997</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147,212</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92,004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239,436</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46,102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46,102</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Stock Option Exercises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6,317</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6,317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Dividends To Stockholders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(3,286)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(3,286)</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Retirement of Common Stock</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(11,184)</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(11,185)</w:t>
            </w:r>
          </w:p>
        </w:tc>
      </w:tr>
      <w:tr>
        <w:trPr>
          <w:trHeight w:val="203"/>
        </w:trPr>
        <w:tc>
          <w:tcPr>
            <w:tcW w:w="290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219</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$ 142,345</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$ 134,820</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$ 277,384</w:t>
            </w:r>
          </w:p>
        </w:tc>
      </w:tr>
      <w:tr>
        <w:trPr>
          <w:trHeight w:val="203"/>
        </w:trPr>
        <w:tc>
          <w:tcPr>
            <w:tcW w:w="290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Impact of New Accounting Pronouncements.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March 1997, the Financial Accounting Standards Board (FASB) issued Statement of Financial Accounting Standards No. 128, "Earnings Per Share" (SFAS No. 128). This statement establishes new standards for computing and presenting earnings per share (EPS). SFAS No. 128 replaces the presentation of primary EPS previously prescribed by Accounting Principles Board Opinion No. 15 (APB No. 15) with a presentation of basic EPS which is computed by dividing income available to common stockholders by the weighted-average number of common shares outstanding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SFAS No. 128 also requires dual presentation of basic and diluted EPS. Diluted EPS is computed similarly to fully diluted EPS pursuant to APB No. 15. Accordingly, beginning with the December 31, 1997 quarter, CXP's EPS reflects the dual presentation. Prior year basic and diluted EPS have been presented to facilitate comparison between the years.</w:t>
      </w:r>
    </w:p>
    <w:p>
      <w:pPr>
        <w:spacing w:after="0" w:line="209"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In June 1997, the FASB issued SFAS No. 130, "Reporting Comprehensive Income", which requires that changes in comprehensive income be shown in a financial statement that is displayed with the same prominence as other financial statements. This statement is effective for periods beginning after December 15, 1997. The Company does not expect adoption of the statement to have a material effect on the presentation of its financial statements.</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June 1997, the FASB issued SFAS No. 131, "Disclosures About Segments of an Enterprise and Related Information", (SFAS No. 131) which changes the way public companies report information about segments. SFAS No. 131, which is based on the management approach to segment reporting, requires companies to selectively report quarterly segment information and entity-wide disclosures about products and services, major customers, and the material countries in which the entity holds assets and reports revenues. This statement is effective for fiscal years beginning after December 15, 1997. The Company does not expect adoption of the statement to have a material effect on the presentation of its financial statements.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ind w:left="2440"/>
        <w:spacing w:after="0" w:line="238" w:lineRule="auto"/>
        <w:rPr>
          <w:sz w:val="20"/>
          <w:szCs w:val="20"/>
          <w:color w:val="auto"/>
        </w:rPr>
      </w:pPr>
      <w:r>
        <w:rPr>
          <w:rFonts w:ascii="Courier New" w:cs="Courier New" w:eastAsia="Courier New" w:hAnsi="Courier New"/>
          <w:sz w:val="18"/>
          <w:szCs w:val="18"/>
          <w:color w:val="auto"/>
        </w:rPr>
        <w:t>CENTEX CONSTRUCTION PRODUCTS,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RESULTS OF OPERATIONS AND</w:t>
      </w:r>
    </w:p>
    <w:p>
      <w:pPr>
        <w:ind w:left="960"/>
        <w:spacing w:after="0" w:line="238" w:lineRule="auto"/>
        <w:rPr>
          <w:sz w:val="20"/>
          <w:szCs w:val="20"/>
          <w:color w:val="auto"/>
        </w:rPr>
      </w:pPr>
      <w:r>
        <w:rPr>
          <w:rFonts w:ascii="Courier New" w:cs="Courier New" w:eastAsia="Courier New" w:hAnsi="Courier New"/>
          <w:sz w:val="18"/>
          <w:szCs w:val="18"/>
          <w:color w:val="auto"/>
        </w:rPr>
        <w:t>FINANCIAL CONDITION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200" w:firstLine="948"/>
        <w:spacing w:after="0" w:line="238" w:lineRule="auto"/>
        <w:rPr>
          <w:sz w:val="20"/>
          <w:szCs w:val="20"/>
          <w:color w:val="auto"/>
        </w:rPr>
      </w:pPr>
      <w:r>
        <w:rPr>
          <w:rFonts w:ascii="Courier New" w:cs="Courier New" w:eastAsia="Courier New" w:hAnsi="Courier New"/>
          <w:sz w:val="18"/>
          <w:szCs w:val="18"/>
          <w:color w:val="auto"/>
        </w:rPr>
        <w:t>Centex Construction Products reported record results for both the quarter ended December 31, 1997, the third quarter of fiscal 1998, and for the first nine months of fiscal 1998. Revenues for the third quarter of fiscal 1998 totaled $70,510,000, compared to revenues of $59,117,000 for the same quarter last year. CXP's net earnings for the quarter ended December 31, 1997 were a record $13,235,00, an 18% increase from $11,222,000 for the same quarter last year. Diluted earnings per share for this year's quarter were $0.60 per share, up 18% from $0.51 for the same quarter in fiscal 1997. The quarter's record net earnings resulted primarily from net sales price increases in the cement and gypsum wallboard segments and higher gypsum wallboard sales volume. For the nine months ended December 31, 1997 CXP's revenues were $231,876,000, up 25% from $185,713,000 for the same period last year. Net earnings for the current nine months were a record $46,102,000, 35% greater than $34,099,000 for the same period last year. Diluted earnings per share for the nine months this year were $2.08, an increase of 35% from $1.54 per share for the same period last year. Improved cement and gypsum wallboard margins and higher gypsum wallboard sales volume accounted for the majority of the nine months earnings gain.</w:t>
      </w:r>
    </w:p>
    <w:p>
      <w:pPr>
        <w:spacing w:after="0" w:line="209" w:lineRule="exact"/>
        <w:rPr>
          <w:sz w:val="20"/>
          <w:szCs w:val="20"/>
          <w:color w:val="auto"/>
        </w:rPr>
      </w:pPr>
    </w:p>
    <w:p>
      <w:pPr>
        <w:ind w:right="2420" w:firstLine="948"/>
        <w:spacing w:after="0" w:line="235" w:lineRule="auto"/>
        <w:rPr>
          <w:sz w:val="20"/>
          <w:szCs w:val="20"/>
          <w:color w:val="auto"/>
        </w:rPr>
      </w:pPr>
      <w:r>
        <w:rPr>
          <w:rFonts w:ascii="Courier New" w:cs="Courier New" w:eastAsia="Courier New" w:hAnsi="Courier New"/>
          <w:sz w:val="18"/>
          <w:szCs w:val="18"/>
          <w:color w:val="auto"/>
        </w:rPr>
        <w:t>The following table compares sales volume, average unit sales prices and unit operating margins for the Company's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Gypsum</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Cement</w:t>
            </w:r>
          </w:p>
        </w:tc>
        <w:tc>
          <w:tcPr>
            <w:tcW w:w="2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Wallboard</w:t>
            </w:r>
          </w:p>
        </w:tc>
        <w:tc>
          <w:tcPr>
            <w:tcW w:w="220" w:type="dxa"/>
            <w:vAlign w:val="bottom"/>
          </w:tcPr>
          <w:p>
            <w:pPr>
              <w:spacing w:after="0"/>
              <w:rPr>
                <w:sz w:val="17"/>
                <w:szCs w:val="17"/>
                <w:color w:val="auto"/>
              </w:rPr>
            </w:pPr>
          </w:p>
        </w:tc>
        <w:tc>
          <w:tcPr>
            <w:tcW w:w="162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Concrete</w:t>
            </w:r>
          </w:p>
        </w:tc>
        <w:tc>
          <w:tcPr>
            <w:tcW w:w="1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Aggregates</w:t>
            </w: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(Ton)</w:t>
            </w:r>
          </w:p>
        </w:tc>
        <w:tc>
          <w:tcPr>
            <w:tcW w:w="260" w:type="dxa"/>
            <w:vAlign w:val="bottom"/>
          </w:tcPr>
          <w:p>
            <w:pPr>
              <w:spacing w:after="0"/>
              <w:rPr>
                <w:sz w:val="17"/>
                <w:szCs w:val="17"/>
                <w:color w:val="auto"/>
              </w:rPr>
            </w:pPr>
          </w:p>
        </w:tc>
        <w:tc>
          <w:tcPr>
            <w:tcW w:w="16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(MSF)</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(Cubic</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Yard)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(Ton)</w:t>
            </w:r>
          </w:p>
        </w:tc>
        <w:tc>
          <w:tcPr>
            <w:tcW w:w="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7"/>
          </w:tcPr>
          <w:p>
            <w:pPr>
              <w:jc w:val="right"/>
              <w:ind w:right="72"/>
              <w:spacing w:after="0" w:line="203" w:lineRule="exact"/>
              <w:rPr>
                <w:sz w:val="20"/>
                <w:szCs w:val="20"/>
                <w:color w:val="auto"/>
              </w:rPr>
            </w:pPr>
            <w:r>
              <w:rPr>
                <w:rFonts w:ascii="Courier New" w:cs="Courier New" w:eastAsia="Courier New" w:hAnsi="Courier New"/>
                <w:sz w:val="18"/>
                <w:szCs w:val="18"/>
                <w:color w:val="auto"/>
              </w:rPr>
              <w:t>--------------- - ---------------</w:t>
            </w: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 Dec. 31,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1997</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1997</w:t>
            </w:r>
          </w:p>
        </w:tc>
        <w:tc>
          <w:tcPr>
            <w:tcW w:w="1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1996</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302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Sales Volume (M)</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494</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510</w:t>
            </w:r>
          </w:p>
        </w:tc>
        <w:tc>
          <w:tcPr>
            <w:tcW w:w="2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262</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170</w:t>
            </w:r>
          </w:p>
        </w:tc>
        <w:tc>
          <w:tcPr>
            <w:tcW w:w="22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164</w:t>
            </w:r>
          </w:p>
        </w:tc>
        <w:tc>
          <w:tcPr>
            <w:tcW w:w="16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680</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549</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Average Net Sales Price</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$65.12</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$63.14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109.08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$106.45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47.70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46.86</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$ 3.93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4.02</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Operating Margin</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$24.16</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$20.51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27.85</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$ 32.14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4.22</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5.72</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$ 0.60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Gypsum</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Cement</w:t>
            </w:r>
          </w:p>
        </w:tc>
        <w:tc>
          <w:tcPr>
            <w:tcW w:w="26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Wallboard</w:t>
            </w:r>
          </w:p>
        </w:tc>
        <w:tc>
          <w:tcPr>
            <w:tcW w:w="280" w:type="dxa"/>
            <w:vAlign w:val="bottom"/>
          </w:tcPr>
          <w:p>
            <w:pPr>
              <w:spacing w:after="0"/>
              <w:rPr>
                <w:sz w:val="17"/>
                <w:szCs w:val="17"/>
                <w:color w:val="auto"/>
              </w:rPr>
            </w:pPr>
          </w:p>
        </w:tc>
        <w:tc>
          <w:tcPr>
            <w:tcW w:w="162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Concrete</w:t>
            </w:r>
          </w:p>
        </w:tc>
        <w:tc>
          <w:tcPr>
            <w:tcW w:w="1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Aggregates</w:t>
            </w: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(Ton)</w:t>
            </w:r>
          </w:p>
        </w:tc>
        <w:tc>
          <w:tcPr>
            <w:tcW w:w="260" w:type="dxa"/>
            <w:vAlign w:val="bottom"/>
          </w:tcPr>
          <w:p>
            <w:pPr>
              <w:spacing w:after="0"/>
              <w:rPr>
                <w:sz w:val="17"/>
                <w:szCs w:val="17"/>
                <w:color w:val="auto"/>
              </w:rPr>
            </w:pPr>
          </w:p>
        </w:tc>
        <w:tc>
          <w:tcPr>
            <w:tcW w:w="16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(MSF)</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(Cubic</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Yard)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(Ton)</w:t>
            </w:r>
          </w:p>
        </w:tc>
        <w:tc>
          <w:tcPr>
            <w:tcW w:w="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7"/>
          </w:tcPr>
          <w:p>
            <w:pPr>
              <w:jc w:val="right"/>
              <w:ind w:right="72"/>
              <w:spacing w:after="0" w:line="203" w:lineRule="exact"/>
              <w:rPr>
                <w:sz w:val="20"/>
                <w:szCs w:val="20"/>
                <w:color w:val="auto"/>
              </w:rPr>
            </w:pPr>
            <w:r>
              <w:rPr>
                <w:rFonts w:ascii="Courier New" w:cs="Courier New" w:eastAsia="Courier New" w:hAnsi="Courier New"/>
                <w:sz w:val="18"/>
                <w:szCs w:val="18"/>
                <w:color w:val="auto"/>
              </w:rPr>
              <w:t>--------------- - ---------------</w:t>
            </w: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 Dec. 31,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28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1997</w:t>
            </w:r>
          </w:p>
        </w:tc>
        <w:tc>
          <w:tcPr>
            <w:tcW w:w="1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1996</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302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Sales Volume (M)</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1,752</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1,712</w:t>
            </w:r>
          </w:p>
        </w:tc>
        <w:tc>
          <w:tcPr>
            <w:tcW w:w="2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806</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516</w:t>
            </w:r>
          </w:p>
        </w:tc>
        <w:tc>
          <w:tcPr>
            <w:tcW w:w="28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508</w:t>
            </w:r>
          </w:p>
        </w:tc>
        <w:tc>
          <w:tcPr>
            <w:tcW w:w="16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483</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2,100</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1,623</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Average Net Sales Price</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$65.28</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$63.56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108.51</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$96.50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47.45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46.67</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$ 3.94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4.15</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Operating Margin</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$23.41</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$20.25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33.06</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$26.25</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5.89</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$ 0.46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520" w:firstLine="948"/>
        <w:spacing w:after="0" w:line="268" w:lineRule="auto"/>
        <w:rPr>
          <w:sz w:val="20"/>
          <w:szCs w:val="20"/>
          <w:color w:val="auto"/>
        </w:rPr>
      </w:pPr>
      <w:r>
        <w:rPr>
          <w:rFonts w:ascii="Courier New" w:cs="Courier New" w:eastAsia="Courier New" w:hAnsi="Courier New"/>
          <w:sz w:val="16"/>
          <w:szCs w:val="16"/>
          <w:color w:val="auto"/>
        </w:rPr>
        <w:t>Cement revenues for the current quarter were $32,120,000, down from $32,228,000 for the same quarter in the prior year. Operating earnings were $11,916,000, a 14% increase from $10,466,000 for the same quarter last year.</w:t>
      </w:r>
    </w:p>
    <w:p>
      <w:pPr>
        <w:spacing w:after="0" w:line="1" w:lineRule="exact"/>
        <w:rPr>
          <w:sz w:val="20"/>
          <w:szCs w:val="20"/>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Higher operating margins partially offset by lower sales volume resulted in the quarterly earnings gain. Sales volume of 494,000 tons for the current quarter was down 16,000 tons from prior year's quarter mainly due to lower sales in the Western markets due to the reduced availability of purchased cement this year. U.S. cement consumption through</w:t>
      </w:r>
    </w:p>
    <w:p>
      <w:pPr>
        <w:sectPr>
          <w:pgSz w:w="11900" w:h="16838" w:orient="portrait"/>
          <w:cols w:equalWidth="0" w:num="1">
            <w:col w:w="10540"/>
          </w:cols>
          <w:pgMar w:left="240" w:top="312"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40"/>
          </w:cols>
          <w:pgMar w:left="240" w:top="312" w:right="1119" w:bottom="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September 1997 was 5% ahead of last year's record consumption rate. Consumption in each of CXP's markets continues to be strong, and all of CXP's facilities again operated at capacity and ended the quarter with lower than last year's inventories of clinker (an intermediate cement product) and cement. Average net sales price of $65.12/ton was 3% greater than prior year's quarter. Net sales prices in all markets were ahead of prior year's quarter sales prices. Cost of sales declined 4% due to a combination of reduced manufacturing cost and partially replacing 33,000 tons of higher costing purchased cement sales last year with lower costing manufactured cement sales this year. For the nine month period cement revenues were $114,357,000, a 5% increase over $108,844,000 for the same period last year. Operating earnings from cement were $41,011,000 for the nine months, an 18% increase from $34,678,000 for the same period in the prior year. The cement operating earnings gain resulted from higher sales volume and improved operating margins.</w:t>
      </w:r>
    </w:p>
    <w:p>
      <w:pPr>
        <w:spacing w:after="0" w:line="38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Revenues from gypsum wallboard were $28,673,000 for the quarter this year, a 58% increase over revenues of $18,103,000 for the same quarter in the prior fiscal year. Operating earnings for the quarter were $7,322,000, up 34% from $5,467,000 for the same period last year. Increased sales volume and higher net sales prices partially offset by increased cost of sales resulted in the earnings gain for the quarter. Sales volume increased 54% to 262 million square feet ("MMSF") primarily from sales by the Eagle Gypsum plant acquired in the fourth quarter of last fiscal year. Average sales price for the current quarter of $109.08 per thousand square feet ("MSF") exceeded prior year's third quarter sales price by 2 1/2%. Strong single-family housing construction coupled with increased commercial and reconstruction activity has resulted in record industry consumption for the first eleven months of calendar 1997. During the quarter, CXP recognized a $2.0 million provision for certain production equipment being disposed of as part of the expansion and upgrade of CXP's original Albuquerque wallboard plant. Excluding the Albuquerque asset disposition provision, operating margins for the quarter would have been $35.87/MSF, 10% higher than prior year's quarter. Gypsum wallboard had revenues of $87,495,000 for the first nine months of this fiscal year, 76% higher than the $49,806,000 for the same period in fiscal 1997. Wallboard operating earnings for the nine months were $26,657,000, an improvement of 97% from the $13,547,000 earnings for the same period last year. The earnings gain over prior year resulted from increased sales volume (primarily due to the Eagle acquisition) and higher operating margins. Operating margins for the nine months improved 26% over prior year's comparable period due to higher sales prices being partially offset by increased cost of sales. Cost of sales increased 7% due to a combination of higher cost Eagle production volume this year and the $2.0 million Albuquerque plant assets disposition provision.</w:t>
      </w:r>
    </w:p>
    <w:p>
      <w:pPr>
        <w:spacing w:after="0" w:line="200" w:lineRule="exact"/>
        <w:rPr>
          <w:sz w:val="20"/>
          <w:szCs w:val="20"/>
          <w:color w:val="auto"/>
        </w:rPr>
      </w:pPr>
    </w:p>
    <w:p>
      <w:pPr>
        <w:spacing w:after="0" w:line="393"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Current quarter revenues from concrete/aggregates totaled $10,505,000, a 5% increase from $9,123,000 for the prior year's quarter. Operating earnings from concrete/aggregates were $1,105,000 for the quarter this year, a 5% increase over $1,052,000 for the same quarter a year ago. Concrete earnings decreased 18% from prior year's quarter due to higher sales volume being offset by reduced operating margins. The 12% gain in sales volume mostly resulted from the continuation of a large contract job in the California market started during the last fiscal quarter. Cost of sales increased 6% due to a greater percentage of higher costing California sales volume to total sales volume this year and increased employee benefit costs. Aggregates earnings for the quarter increased 99% from prior year's quarter primarily due to higher sales volume and improved margins. A $0.09/ton reduction from last year's $4.02/ton average sales price resulted from a greater percentage of lower priced construction aggregates sales this year along with competitive pricing in the California market. Aggregates sales volume increased 131,000 tons to 680,000 tons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higher highway construction aggregates sales in the Texas and northern California markets. For the nine months, concrete/aggregates revenues were $32,390,000 this year, compared to $29,289,000 for the same period last year. Operating earnings were $3,970,000 for the nine months this year, down 6% from $4,221,000 for the same period last year. Concrete earnings declined 10% due to higher sales prices being offset by increased materials and production costs. Benefiting from a 477,000 ton increase in sales volume, aggregates earnings increased 11% to $978,000. Sales volume of 2,100,000 tons for the first nine months of this fiscal year was 29% above the prior year's nine month total of 1,623,000 tons as a result of increased highway construction aggregates sales in both the Austin, Texas and northern California markets. Also, the higher construction aggregates sales volume to total sales volume resulted in a $3.94/ton average net sales price, down 5% from last year's nine-month period. Although cost of sales declined 3 1/2%, they were negatively impacted by legal costs associated with litigation against a title insurer regarding aggregates rights to certain lands in the Yuba Goldfields.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Other income of $604,000 for the quarter decreased $239,000 from prior year's quarter. Other income includes clinker sales income, non-inventoried aggregates sales income, trucking income, asset sales, lease income, and other miscellaneous income and cost items.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Net interest income for this year's quarter increased $132,000 over last year's quarter due to higher average cash balances this year. Cash balance at December 31, 1997 was $60.6 million, up $55.8 million from $4.8 million at March 31, 1997. Cash balance at December 31, 1996 was $54.1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REPURCHASE PROGRAM</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Company's Board of Directors previously approved the repurchase of up to two million shares of the Company's common stock. On July 17, 1997, CXP's Board of Directors increased the total share repurchase authorization by 1,000,000 shares from 2,000,000 to 3,000,000 shares. During the December 31, 1997 quarter, the Company repurchased 266,700 shares of its own stock from the public. Since December 31, 1997, the Company has repurchased an additional 411,000 shares from the public. As a result of a total of 836,834 shares repurchased since April 1, 1997 from the public, and purchases from the public of CXP common stock by Centex Corporation, Centex Corporation currently owns approximately 55.6% of the outstanding shares of CXP common stock. Currently, approximately 1,085,000 shares are available for repurchases under the authorized repurchase program.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2099" w:firstLine="948"/>
        <w:spacing w:after="0" w:line="271" w:lineRule="auto"/>
        <w:rPr>
          <w:sz w:val="20"/>
          <w:szCs w:val="20"/>
          <w:color w:val="auto"/>
        </w:rPr>
      </w:pPr>
      <w:r>
        <w:rPr>
          <w:rFonts w:ascii="Courier New" w:cs="Courier New" w:eastAsia="Courier New" w:hAnsi="Courier New"/>
          <w:sz w:val="16"/>
          <w:szCs w:val="16"/>
          <w:color w:val="auto"/>
        </w:rPr>
        <w:t>The Company has a 3 1/2-year $35 million unsecured revolving credit facility and a short-term $10 million uncommitted unsecured line of credit to finance its working capital and capital expenditures requirements. Based on its financial condition and a virtually debt free balance sheet at December 31, 1997, CXP believes that its internally generated cash flow coupled with funds available under these credit facilities will enable the Company to provide adequately for its current operations and future growth.</w:t>
      </w:r>
    </w:p>
    <w:p>
      <w:pPr>
        <w:spacing w:after="0" w:line="18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Working capital at December 31, 1997 was $73.7 million, up from $28.2 million at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31, 1997. The increase resulted from $55.8 million in additional cash, reduced by the net of a $6.5 million reduction in other current assets and a $3.9 million increase in current liabilities. Stock repurchases during the quarter and nine months amounted to $8.0 million and $11.2 million, respectively. Capital spending of $7.5 million for current nine months was up $3.2 million from prior year's period mostly due to the commencement of the Albuquerque plant upgrade project. Cash payments for income taxes totaled $19.9 million and $13.9 million in the first nine months of fiscal 1998 and 1997, respectively.</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April, July and October 1997, the Company's Board of Directors declared a $0.05 per share dividend which was paid on July 16, 1997, October 16, 1997 and January 20, 1998 to stockholders of record as of July 1, 1997, October 2, 1997 and January 5, 1998, respectively. Total dividends paid during the quarter and nine months ended December 31, 1997 were approximately $1.1 million and $3.3 million, respectively.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Recently, the Company approved three expansion projects: a $16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plant upgrade at its Albuquerque gypsum wallboard plant that increases annual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plant capacity by 60 MMSF and accommodates 54" board production; an $18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expansion of CXP's recently acquired Eagle gypsum wallboard plant in Gypsum,</w:t>
      </w:r>
    </w:p>
    <w:p>
      <w:pPr>
        <w:spacing w:after="0" w:line="238" w:lineRule="auto"/>
        <w:rPr>
          <w:sz w:val="20"/>
          <w:szCs w:val="20"/>
          <w:color w:val="auto"/>
        </w:rPr>
      </w:pPr>
      <w:r>
        <w:rPr>
          <w:rFonts w:ascii="Courier New" w:cs="Courier New" w:eastAsia="Courier New" w:hAnsi="Courier New"/>
          <w:sz w:val="18"/>
          <w:szCs w:val="18"/>
          <w:color w:val="auto"/>
        </w:rPr>
        <w:t>Colorado that will add 250 MMSF to the plant's current annual capacity;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million expansion of the 50% owned LaSalle, Illinois cement plant that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its annual clinker capacity by 100,000 tons and add a new 4,000</w:t>
      </w:r>
    </w:p>
    <w:p>
      <w:pPr>
        <w:spacing w:after="0"/>
        <w:tabs>
          <w:tab w:leader="none" w:pos="2620" w:val="left"/>
        </w:tabs>
        <w:rPr>
          <w:sz w:val="20"/>
          <w:szCs w:val="20"/>
          <w:color w:val="auto"/>
        </w:rPr>
      </w:pPr>
      <w:r>
        <w:rPr>
          <w:rFonts w:ascii="Courier New" w:cs="Courier New" w:eastAsia="Courier New" w:hAnsi="Courier New"/>
          <w:sz w:val="18"/>
          <w:szCs w:val="18"/>
          <w:color w:val="auto"/>
        </w:rPr>
        <w:t>horsepower finish mill.</w:t>
      </w:r>
      <w:r>
        <w:rPr>
          <w:sz w:val="20"/>
          <w:szCs w:val="20"/>
          <w:color w:val="auto"/>
        </w:rPr>
        <w:tab/>
      </w:r>
      <w:r>
        <w:rPr>
          <w:rFonts w:ascii="Courier New" w:cs="Courier New" w:eastAsia="Courier New" w:hAnsi="Courier New"/>
          <w:sz w:val="16"/>
          <w:szCs w:val="16"/>
          <w:color w:val="auto"/>
        </w:rPr>
        <w:t>The projects will be completed at various times</w:t>
      </w:r>
    </w:p>
    <w:p>
      <w:pPr>
        <w:spacing w:after="0"/>
        <w:rPr>
          <w:sz w:val="20"/>
          <w:szCs w:val="20"/>
          <w:color w:val="auto"/>
        </w:rPr>
      </w:pPr>
      <w:r>
        <w:rPr>
          <w:rFonts w:ascii="Courier New" w:cs="Courier New" w:eastAsia="Courier New" w:hAnsi="Courier New"/>
          <w:sz w:val="18"/>
          <w:szCs w:val="18"/>
          <w:color w:val="auto"/>
        </w:rPr>
        <w:t>between late calendar 1998 and late calendar 1999.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The Company's positive financial results during the first nine months of fiscal 1998 reflect continued strength in demand and pricing for its cement and gypsum wallboard products. The Company expects the current level of high demand for its cement and gypsum wallboard products to continue and anticipates that fiscal 1998 will be its fourth consecutive year of record earnings.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From time to time, the Company may publish forward-looking statements relating to such matters as anticipated financial performance, business prospects, technological developments, new products and similar matters. The Private Securities Litigation Reform Act of 1995 provides a safe harbor for forward-looking statements. In order to comply with the terms of the safe harbor, the Company notes that a variety of factors could cause the Company's actual results and experience to differ materially from the anticipated results or other expectations expressed in the Company's forward- looking statements. The risks and uncertainties that may affect the operations, performance, development and results of the Company's business include the following: General economic conditions, interest rates, decline in or growth of the home building and other construction industries, public infrastructure expenditures, competition, and the availability of raw materials. These and other factors are described in the Annual Report on Form 10-K for Centex Construction Products, Inc. for the fiscal year ended March 31, 1997. The report is filed with the Securities and Exchange Commission. The Company undertakes no obligation to update publicly any forward-looking statement as a result of new information, future events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ind w:left="2440"/>
        <w:spacing w:after="0" w:line="238" w:lineRule="auto"/>
        <w:rPr>
          <w:sz w:val="20"/>
          <w:szCs w:val="20"/>
          <w:color w:val="auto"/>
        </w:rPr>
      </w:pPr>
      <w:r>
        <w:rPr>
          <w:rFonts w:ascii="Courier New" w:cs="Courier New" w:eastAsia="Courier New" w:hAnsi="Courier New"/>
          <w:sz w:val="18"/>
          <w:szCs w:val="18"/>
          <w:color w:val="auto"/>
        </w:rPr>
        <w:t>CENTEX CONSTRUCTION PRODUCTS, INC.</w:t>
      </w:r>
    </w:p>
    <w:p>
      <w:pPr>
        <w:spacing w:after="0" w:line="202" w:lineRule="exact"/>
        <w:rPr>
          <w:sz w:val="20"/>
          <w:szCs w:val="20"/>
          <w:color w:val="auto"/>
        </w:rPr>
      </w:pPr>
    </w:p>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1992, drivers employed by the Company's Mathews Readymix, Inc. subsidiary ("Mathews") who belonged to the Teamsters Union went on strike. Mathews replaced all such employees, and the union was subsequently decertified by a vote of the employees. The Teamsters Union filed an action with the National Labor Relations Board ("NLRB") alleging that Mathews had engaged in unfair labor practices. In 1993, an administrative law judge determined that Mathews had not engaged in unfair labor practices (except for certain technical violations for which the Company was required to post and abide by a notice advising employees of certain of their legal rights).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November 1993, the union appealed the decision of the administrative law judge by filing exceptions to the judge's ruling with the NLRB. In 1997 a three member panel of the NLRB overturned parts of the decision of the administrative law judge and has ordered Mathews to recommence good faith negotiations with the union. Mathews has appealed the decision of the NLRB panel to the United States Court of Appeals for the D.C. Circuit, and the decision of the NLRB panel has been stayed by the appeal. Although the Company cannot predict with any certainty the outcome of this appeal, the Company believes that, if the decision of the NLRB panel is not overturned, the panel's decision will not have a material adverse effect on the Company's financial condition or results of operations.</w:t>
      </w: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2740" w:hanging="941"/>
        <w:spacing w:after="0"/>
        <w:tabs>
          <w:tab w:leader="none" w:pos="2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27 - Financial Data Schedule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740" w:hanging="941"/>
        <w:spacing w:after="0"/>
        <w:tabs>
          <w:tab w:leader="none" w:pos="2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0" w:lineRule="exact"/>
        <w:rPr>
          <w:sz w:val="20"/>
          <w:szCs w:val="20"/>
          <w:color w:val="auto"/>
        </w:rPr>
      </w:pPr>
    </w:p>
    <w:p>
      <w:pPr>
        <w:spacing w:after="0" w:line="209" w:lineRule="exact"/>
        <w:rPr>
          <w:sz w:val="20"/>
          <w:szCs w:val="20"/>
          <w:color w:val="auto"/>
        </w:rPr>
      </w:pPr>
    </w:p>
    <w:p>
      <w:pPr>
        <w:ind w:left="2740" w:right="1779"/>
        <w:spacing w:after="0" w:line="235" w:lineRule="auto"/>
        <w:rPr>
          <w:sz w:val="20"/>
          <w:szCs w:val="20"/>
          <w:color w:val="auto"/>
        </w:rPr>
      </w:pPr>
      <w:r>
        <w:rPr>
          <w:rFonts w:ascii="Courier New" w:cs="Courier New" w:eastAsia="Courier New" w:hAnsi="Courier New"/>
          <w:sz w:val="18"/>
          <w:szCs w:val="18"/>
          <w:color w:val="auto"/>
        </w:rPr>
        <w:t>The Registrant filed no reports on Form 8-K during the quarter ended December 31, 1997</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All other items required under Part II are omitted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 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CENTEX CONSTRUCTION PRODUCTS, INC.</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/s/O.G. Dagnan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O.G. Dagnan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/s/Arthur R. Zunker, Jr.</w:t>
      </w:r>
    </w:p>
    <w:p>
      <w:pPr>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Arthur R. Zunker,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President-Finance and Treasurer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(principal financial and</w:t>
      </w:r>
    </w:p>
    <w:p>
      <w:pPr>
        <w:ind w:left="96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jc w:val="right"/>
        <w:ind w:right="5159"/>
        <w:spacing w:after="0" w:line="238" w:lineRule="auto"/>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1920" w:space="720"/>
            <w:col w:w="7579"/>
          </w:cols>
          <w:pgMar w:left="240" w:top="312" w:right="1440" w:bottom="1440" w:gutter="0" w:footer="0" w:header="0"/>
          <w:type w:val="continuous"/>
        </w:sectPr>
      </w:pPr>
    </w:p>
    <w:bookmarkStart w:id="16" w:name="page17"/>
    <w:bookmarkEnd w:id="1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CENTEX CONSTRUCTION PRODUCTS, INC.'S DECEMBER 31, 1997, FORM 10-Q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MAR-31-1998</w:t>
      </w:r>
    </w:p>
    <w:p>
      <w:pPr>
        <w:ind w:left="3020"/>
        <w:spacing w:after="0"/>
        <w:rPr>
          <w:sz w:val="20"/>
          <w:szCs w:val="20"/>
          <w:color w:val="auto"/>
        </w:rPr>
      </w:pPr>
      <w:r>
        <w:rPr>
          <w:rFonts w:ascii="Courier New" w:cs="Courier New" w:eastAsia="Courier New" w:hAnsi="Courier New"/>
          <w:sz w:val="18"/>
          <w:szCs w:val="18"/>
          <w:color w:val="auto"/>
        </w:rPr>
        <w:t>APR-01-1997</w:t>
      </w:r>
    </w:p>
    <w:p>
      <w:pPr>
        <w:ind w:left="3240"/>
        <w:spacing w:after="0" w:line="237" w:lineRule="auto"/>
        <w:rPr>
          <w:sz w:val="20"/>
          <w:szCs w:val="20"/>
          <w:color w:val="auto"/>
        </w:rPr>
      </w:pPr>
      <w:r>
        <w:rPr>
          <w:rFonts w:ascii="Courier New" w:cs="Courier New" w:eastAsia="Courier New" w:hAnsi="Courier New"/>
          <w:sz w:val="18"/>
          <w:szCs w:val="18"/>
          <w:color w:val="auto"/>
        </w:rPr>
        <w:t>DEC-31-1997</w:t>
      </w:r>
    </w:p>
    <w:p>
      <w:pPr>
        <w:ind w:left="4400"/>
        <w:spacing w:after="0" w:line="238" w:lineRule="auto"/>
        <w:rPr>
          <w:sz w:val="20"/>
          <w:szCs w:val="20"/>
          <w:color w:val="auto"/>
        </w:rPr>
      </w:pPr>
      <w:r>
        <w:rPr>
          <w:rFonts w:ascii="Courier New" w:cs="Courier New" w:eastAsia="Courier New" w:hAnsi="Courier New"/>
          <w:sz w:val="18"/>
          <w:szCs w:val="18"/>
          <w:color w:val="auto"/>
        </w:rPr>
        <w:t>60,646</w:t>
      </w:r>
    </w:p>
    <w:p>
      <w:pPr>
        <w:ind w:left="428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35,496</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28,201</w:t>
      </w:r>
    </w:p>
    <w:p>
      <w:pPr>
        <w:ind w:left="3240"/>
        <w:spacing w:after="0"/>
        <w:rPr>
          <w:sz w:val="20"/>
          <w:szCs w:val="20"/>
          <w:color w:val="auto"/>
        </w:rPr>
      </w:pPr>
      <w:r>
        <w:rPr>
          <w:rFonts w:ascii="Courier New" w:cs="Courier New" w:eastAsia="Courier New" w:hAnsi="Courier New"/>
          <w:sz w:val="18"/>
          <w:szCs w:val="18"/>
          <w:color w:val="auto"/>
        </w:rPr>
        <w:t>124,343</w:t>
      </w:r>
    </w:p>
    <w:p>
      <w:pPr>
        <w:ind w:left="4280"/>
        <w:spacing w:after="0" w:line="237" w:lineRule="auto"/>
        <w:rPr>
          <w:sz w:val="20"/>
          <w:szCs w:val="20"/>
          <w:color w:val="auto"/>
        </w:rPr>
      </w:pPr>
      <w:r>
        <w:rPr>
          <w:rFonts w:ascii="Courier New" w:cs="Courier New" w:eastAsia="Courier New" w:hAnsi="Courier New"/>
          <w:sz w:val="18"/>
          <w:szCs w:val="18"/>
          <w:color w:val="auto"/>
        </w:rPr>
        <w:t>369,767</w:t>
      </w:r>
    </w:p>
    <w:p>
      <w:pPr>
        <w:ind w:left="3440"/>
        <w:spacing w:after="0" w:line="238" w:lineRule="auto"/>
        <w:rPr>
          <w:sz w:val="20"/>
          <w:szCs w:val="20"/>
          <w:color w:val="auto"/>
        </w:rPr>
      </w:pPr>
      <w:r>
        <w:rPr>
          <w:rFonts w:ascii="Courier New" w:cs="Courier New" w:eastAsia="Courier New" w:hAnsi="Courier New"/>
          <w:sz w:val="18"/>
          <w:szCs w:val="18"/>
          <w:color w:val="auto"/>
        </w:rPr>
        <w:t>151,855</w:t>
      </w:r>
    </w:p>
    <w:p>
      <w:pPr>
        <w:ind w:left="3440"/>
        <w:spacing w:after="0"/>
        <w:rPr>
          <w:sz w:val="20"/>
          <w:szCs w:val="20"/>
          <w:color w:val="auto"/>
        </w:rPr>
      </w:pPr>
      <w:r>
        <w:rPr>
          <w:rFonts w:ascii="Courier New" w:cs="Courier New" w:eastAsia="Courier New" w:hAnsi="Courier New"/>
          <w:sz w:val="18"/>
          <w:szCs w:val="18"/>
          <w:color w:val="auto"/>
        </w:rPr>
        <w:t>348,574</w:t>
      </w:r>
    </w:p>
    <w:p>
      <w:pPr>
        <w:ind w:left="2820"/>
        <w:spacing w:after="0" w:line="237" w:lineRule="auto"/>
        <w:rPr>
          <w:sz w:val="20"/>
          <w:szCs w:val="20"/>
          <w:color w:val="auto"/>
        </w:rPr>
      </w:pPr>
      <w:r>
        <w:rPr>
          <w:rFonts w:ascii="Courier New" w:cs="Courier New" w:eastAsia="Courier New" w:hAnsi="Courier New"/>
          <w:sz w:val="18"/>
          <w:szCs w:val="18"/>
          <w:color w:val="auto"/>
        </w:rPr>
        <w:t>50,602</w:t>
      </w:r>
    </w:p>
    <w:p>
      <w:pPr>
        <w:ind w:left="4600"/>
        <w:spacing w:after="0"/>
        <w:rPr>
          <w:sz w:val="20"/>
          <w:szCs w:val="20"/>
          <w:color w:val="auto"/>
        </w:rPr>
      </w:pPr>
      <w:r>
        <w:rPr>
          <w:rFonts w:ascii="Courier New" w:cs="Courier New" w:eastAsia="Courier New" w:hAnsi="Courier New"/>
          <w:sz w:val="18"/>
          <w:szCs w:val="18"/>
          <w:color w:val="auto"/>
        </w:rPr>
        <w:t>640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219</w:t>
      </w:r>
    </w:p>
    <w:p>
      <w:pPr>
        <w:ind w:left="3860"/>
        <w:spacing w:after="0" w:line="238" w:lineRule="auto"/>
        <w:rPr>
          <w:sz w:val="20"/>
          <w:szCs w:val="20"/>
          <w:color w:val="auto"/>
        </w:rPr>
      </w:pPr>
      <w:r>
        <w:rPr>
          <w:rFonts w:ascii="Courier New" w:cs="Courier New" w:eastAsia="Courier New" w:hAnsi="Courier New"/>
          <w:sz w:val="18"/>
          <w:szCs w:val="18"/>
          <w:color w:val="auto"/>
        </w:rPr>
        <w:t>277,165</w:t>
      </w:r>
    </w:p>
    <w:p>
      <w:pPr>
        <w:ind w:left="1960"/>
        <w:spacing w:after="0"/>
        <w:rPr>
          <w:sz w:val="20"/>
          <w:szCs w:val="20"/>
          <w:color w:val="auto"/>
        </w:rPr>
      </w:pPr>
      <w:r>
        <w:rPr>
          <w:rFonts w:ascii="Courier New" w:cs="Courier New" w:eastAsia="Courier New" w:hAnsi="Courier New"/>
          <w:sz w:val="18"/>
          <w:szCs w:val="18"/>
          <w:color w:val="auto"/>
        </w:rPr>
        <w:t>348,574</w:t>
      </w:r>
    </w:p>
    <w:p>
      <w:pPr>
        <w:ind w:left="4180"/>
        <w:spacing w:after="0" w:line="237" w:lineRule="auto"/>
        <w:rPr>
          <w:sz w:val="20"/>
          <w:szCs w:val="20"/>
          <w:color w:val="auto"/>
        </w:rPr>
      </w:pPr>
      <w:r>
        <w:rPr>
          <w:rFonts w:ascii="Courier New" w:cs="Courier New" w:eastAsia="Courier New" w:hAnsi="Courier New"/>
          <w:sz w:val="18"/>
          <w:szCs w:val="18"/>
          <w:color w:val="auto"/>
        </w:rPr>
        <w:t>230,024</w:t>
      </w:r>
    </w:p>
    <w:p>
      <w:pPr>
        <w:ind w:left="3240"/>
        <w:spacing w:after="0"/>
        <w:rPr>
          <w:sz w:val="20"/>
          <w:szCs w:val="20"/>
          <w:color w:val="auto"/>
        </w:rPr>
      </w:pPr>
      <w:r>
        <w:rPr>
          <w:rFonts w:ascii="Courier New" w:cs="Courier New" w:eastAsia="Courier New" w:hAnsi="Courier New"/>
          <w:sz w:val="18"/>
          <w:szCs w:val="18"/>
          <w:color w:val="auto"/>
        </w:rPr>
        <w:t>232,948</w:t>
      </w:r>
    </w:p>
    <w:p>
      <w:pPr>
        <w:jc w:val="center"/>
        <w:ind w:right="19"/>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158,386</w:t>
      </w:r>
    </w:p>
    <w:p>
      <w:pPr>
        <w:ind w:left="3440"/>
        <w:spacing w:after="0" w:line="237" w:lineRule="auto"/>
        <w:rPr>
          <w:sz w:val="20"/>
          <w:szCs w:val="20"/>
          <w:color w:val="auto"/>
        </w:rPr>
      </w:pPr>
      <w:r>
        <w:rPr>
          <w:rFonts w:ascii="Courier New" w:cs="Courier New" w:eastAsia="Courier New" w:hAnsi="Courier New"/>
          <w:sz w:val="18"/>
          <w:szCs w:val="18"/>
          <w:color w:val="auto"/>
        </w:rPr>
        <w:t>2,752</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71,810</w:t>
      </w:r>
    </w:p>
    <w:p>
      <w:pPr>
        <w:ind w:left="3760"/>
        <w:spacing w:after="0"/>
        <w:rPr>
          <w:sz w:val="20"/>
          <w:szCs w:val="20"/>
          <w:color w:val="auto"/>
        </w:rPr>
      </w:pPr>
      <w:r>
        <w:rPr>
          <w:rFonts w:ascii="Courier New" w:cs="Courier New" w:eastAsia="Courier New" w:hAnsi="Courier New"/>
          <w:sz w:val="18"/>
          <w:szCs w:val="18"/>
          <w:color w:val="auto"/>
        </w:rPr>
        <w:t>25,708</w:t>
      </w:r>
    </w:p>
    <w:p>
      <w:pPr>
        <w:ind w:left="3020"/>
        <w:spacing w:after="0" w:line="237" w:lineRule="auto"/>
        <w:rPr>
          <w:sz w:val="20"/>
          <w:szCs w:val="20"/>
          <w:color w:val="auto"/>
        </w:rPr>
      </w:pPr>
      <w:r>
        <w:rPr>
          <w:rFonts w:ascii="Courier New" w:cs="Courier New" w:eastAsia="Courier New" w:hAnsi="Courier New"/>
          <w:sz w:val="18"/>
          <w:szCs w:val="18"/>
          <w:color w:val="auto"/>
        </w:rPr>
        <w:t>46,102</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46,102</w:t>
      </w:r>
    </w:p>
    <w:p>
      <w:pPr>
        <w:jc w:val="center"/>
        <w:ind w:right="2019"/>
        <w:spacing w:after="0" w:line="238" w:lineRule="auto"/>
        <w:rPr>
          <w:sz w:val="20"/>
          <w:szCs w:val="20"/>
          <w:color w:val="auto"/>
        </w:rPr>
      </w:pPr>
      <w:r>
        <w:rPr>
          <w:rFonts w:ascii="Courier New" w:cs="Courier New" w:eastAsia="Courier New" w:hAnsi="Courier New"/>
          <w:sz w:val="18"/>
          <w:szCs w:val="18"/>
          <w:color w:val="auto"/>
        </w:rPr>
        <w:t>2.10</w:t>
      </w:r>
    </w:p>
    <w:p>
      <w:pPr>
        <w:jc w:val="center"/>
        <w:ind w:right="2019"/>
        <w:spacing w:after="0"/>
        <w:rPr>
          <w:sz w:val="20"/>
          <w:szCs w:val="20"/>
          <w:color w:val="auto"/>
        </w:rPr>
      </w:pPr>
      <w:r>
        <w:rPr>
          <w:rFonts w:ascii="Courier New" w:cs="Courier New" w:eastAsia="Courier New" w:hAnsi="Courier New"/>
          <w:sz w:val="18"/>
          <w:szCs w:val="18"/>
          <w:color w:val="auto"/>
        </w:rPr>
        <w:t>2.08</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
    </w:lvl>
  </w:abstractNum>
  <w:abstractNum w:abstractNumId="1">
    <w:nsid w:val="74B0DC51"/>
    <w:multiLevelType w:val="hybridMultilevel"/>
    <w:lvl w:ilvl="0">
      <w:lvlJc w:val="left"/>
      <w:lvlText w:val="(%1)"/>
      <w:numFmt w:val="upperLetter"/>
      <w:start w:val="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2019-12-14T03:16:15Z</dcterms:created>
  <dcterms:modified xsi:type="dcterms:W3CDTF">2019-12-14T03:16:15Z</dcterms:modified>
</cp:coreProperties>
</file>