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4"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QUARTERLY REPORT</w:t>
      </w:r>
    </w:p>
    <w:p>
      <w:pPr>
        <w:spacing w:after="0" w:line="7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24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34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line="202" w:lineRule="exact"/>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6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000" w:right="2240" w:hanging="4991"/>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As of July 24, 2022, the number of outstanding shares of common stock was:</w:t>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w:t>
            </w:r>
          </w:p>
        </w:tc>
        <w:tc>
          <w:tcPr>
            <w:tcW w:w="100" w:type="dxa"/>
            <w:vAlign w:val="bottom"/>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 Shares</w:t>
            </w:r>
          </w:p>
        </w:tc>
      </w:tr>
      <w:tr>
        <w:trPr>
          <w:trHeight w:val="385"/>
        </w:trPr>
        <w:tc>
          <w:tcPr>
            <w:tcW w:w="5640" w:type="dxa"/>
            <w:vAlign w:val="bottom"/>
          </w:tcPr>
          <w:p>
            <w:pPr>
              <w:jc w:val="center"/>
              <w:spacing w:after="0"/>
              <w:rPr>
                <w:sz w:val="20"/>
                <w:szCs w:val="20"/>
                <w:color w:val="auto"/>
              </w:rPr>
            </w:pPr>
            <w:r>
              <w:rPr>
                <w:rFonts w:ascii="Arial" w:cs="Arial" w:eastAsia="Arial" w:hAnsi="Arial"/>
                <w:sz w:val="18"/>
                <w:szCs w:val="18"/>
                <w:color w:val="auto"/>
                <w:w w:val="99"/>
              </w:rPr>
              <w:t>Common Stock, $.01 Par Value</w:t>
            </w:r>
          </w:p>
        </w:tc>
        <w:tc>
          <w:tcPr>
            <w:tcW w:w="5600" w:type="dxa"/>
            <w:vAlign w:val="bottom"/>
            <w:gridSpan w:val="2"/>
          </w:tcPr>
          <w:p>
            <w:pPr>
              <w:jc w:val="right"/>
              <w:ind w:right="2210"/>
              <w:spacing w:after="0"/>
              <w:rPr>
                <w:sz w:val="20"/>
                <w:szCs w:val="20"/>
                <w:color w:val="auto"/>
              </w:rPr>
            </w:pPr>
            <w:r>
              <w:rPr>
                <w:rFonts w:ascii="Arial" w:cs="Arial" w:eastAsia="Arial" w:hAnsi="Arial"/>
                <w:sz w:val="18"/>
                <w:szCs w:val="18"/>
                <w:color w:val="auto"/>
              </w:rPr>
              <w:t>37,684,704</w:t>
            </w:r>
          </w:p>
        </w:tc>
      </w:tr>
      <w:tr>
        <w:trPr>
          <w:trHeight w:val="203"/>
        </w:trPr>
        <w:tc>
          <w:tcPr>
            <w:tcW w:w="5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00"/>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140" w:type="dxa"/>
            <w:vAlign w:val="bottom"/>
            <w:gridSpan w:val="17"/>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9140" w:type="dxa"/>
            <w:vAlign w:val="bottom"/>
            <w:gridSpan w:val="17"/>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Earnings for the Three Months Ended June 30, 2022 </w:t>
              </w:r>
            </w:hyperlink>
            <w:r>
              <w:rPr>
                <w:rFonts w:ascii="Arial" w:cs="Arial" w:eastAsia="Arial" w:hAnsi="Arial"/>
                <w:sz w:val="18"/>
                <w:szCs w:val="18"/>
                <w:color w:val="auto"/>
              </w:rPr>
              <w:t>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Comprehensive Earnings for the </w:t>
              </w:r>
            </w:hyperlink>
            <w:hyperlink w:anchor="page3">
              <w:r>
                <w:rPr>
                  <w:rFonts w:ascii="Arial" w:cs="Arial" w:eastAsia="Arial" w:hAnsi="Arial"/>
                  <w:sz w:val="18"/>
                  <w:szCs w:val="18"/>
                  <w:color w:val="auto"/>
                </w:rPr>
                <w:t xml:space="preserve">Three Months Ended June 30, 2022 </w:t>
              </w:r>
            </w:hyperlink>
            <w:r>
              <w:rPr>
                <w:rFonts w:ascii="Arial" w:cs="Arial" w:eastAsia="Arial" w:hAnsi="Arial"/>
                <w:sz w:val="18"/>
                <w:szCs w:val="18"/>
                <w:color w:val="auto"/>
              </w:rPr>
              <w:t>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760" w:type="dxa"/>
            <w:vAlign w:val="bottom"/>
            <w:tcBorders>
              <w:top w:val="single" w:sz="8" w:color="0000EE"/>
            </w:tcBorders>
            <w:gridSpan w:val="15"/>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as of June 30, 2022, and March 31, 2022</w:t>
              </w:r>
            </w:hyperlink>
          </w:p>
        </w:tc>
        <w:tc>
          <w:tcPr>
            <w:tcW w:w="138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w:t>
              </w:r>
            </w:hyperlink>
            <w:hyperlink w:anchor="page3">
              <w:r>
                <w:rPr>
                  <w:rFonts w:ascii="Arial" w:cs="Arial" w:eastAsia="Arial" w:hAnsi="Arial"/>
                  <w:sz w:val="18"/>
                  <w:szCs w:val="18"/>
                  <w:color w:val="auto"/>
                </w:rPr>
                <w:t xml:space="preserve">Three Months Ended June 30, 2022 </w:t>
              </w:r>
            </w:hyperlink>
            <w:r>
              <w:rPr>
                <w:rFonts w:ascii="Arial" w:cs="Arial" w:eastAsia="Arial" w:hAnsi="Arial"/>
                <w:sz w:val="18"/>
                <w:szCs w:val="18"/>
                <w:color w:val="auto"/>
              </w:rPr>
              <w:t>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Stockholders' Equity for the Three Months Ended June 30, 2022 and </w:t>
              </w:r>
            </w:hyperlink>
            <w:r>
              <w:rPr>
                <w:rFonts w:ascii="Arial" w:cs="Arial" w:eastAsia="Arial" w:hAnsi="Arial"/>
                <w:sz w:val="18"/>
                <w:szCs w:val="18"/>
                <w:color w:val="auto"/>
              </w:rPr>
              <w:t>2021</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Notes to Unaudited Consolidated Financial Statements</w:t>
              </w:r>
            </w:hyperlink>
          </w:p>
        </w:tc>
        <w:tc>
          <w:tcPr>
            <w:tcW w:w="3600" w:type="dxa"/>
            <w:vAlign w:val="bottom"/>
            <w:tcBorders>
              <w:top w:val="single" w:sz="8" w:color="0000EE"/>
            </w:tcBorders>
            <w:gridSpan w:val="8"/>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40" w:type="dxa"/>
            <w:vAlign w:val="bottom"/>
            <w:gridSpan w:val="17"/>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9"/>
          </w:tcPr>
          <w:p>
            <w:pPr>
              <w:spacing w:after="0"/>
              <w:rPr>
                <w:rFonts w:ascii="Arial" w:cs="Arial" w:eastAsia="Arial" w:hAnsi="Arial"/>
                <w:sz w:val="18"/>
                <w:szCs w:val="18"/>
                <w:color w:val="auto"/>
                <w:w w:val="99"/>
              </w:rPr>
            </w:pPr>
            <w:hyperlink w:anchor="page35">
              <w:r>
                <w:rPr>
                  <w:rFonts w:ascii="Arial" w:cs="Arial" w:eastAsia="Arial" w:hAnsi="Arial"/>
                  <w:sz w:val="18"/>
                  <w:szCs w:val="18"/>
                  <w:color w:val="auto"/>
                  <w:w w:val="99"/>
                </w:rPr>
                <w:t>Quantitative and Qualitative Disclosures About Market Risk</w:t>
              </w:r>
            </w:hyperlink>
          </w:p>
        </w:tc>
        <w:tc>
          <w:tcPr>
            <w:tcW w:w="2360" w:type="dxa"/>
            <w:vAlign w:val="bottom"/>
            <w:tcBorders>
              <w:top w:val="single" w:sz="8" w:color="0000EE"/>
            </w:tcBorders>
            <w:gridSpan w:val="5"/>
          </w:tcPr>
          <w:p>
            <w:pPr>
              <w:spacing w:after="0"/>
              <w:rPr>
                <w:sz w:val="24"/>
                <w:szCs w:val="24"/>
                <w:color w:val="auto"/>
              </w:rPr>
            </w:pPr>
          </w:p>
        </w:tc>
        <w:tc>
          <w:tcPr>
            <w:tcW w:w="206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7"/>
          </w:tcPr>
          <w:p>
            <w:pPr>
              <w:spacing w:after="0"/>
              <w:rPr>
                <w:rFonts w:ascii="Arial" w:cs="Arial" w:eastAsia="Arial" w:hAnsi="Arial"/>
                <w:sz w:val="18"/>
                <w:szCs w:val="18"/>
                <w:color w:val="auto"/>
                <w:w w:val="99"/>
              </w:rPr>
            </w:pPr>
            <w:hyperlink w:anchor="page35">
              <w:r>
                <w:rPr>
                  <w:rFonts w:ascii="Arial" w:cs="Arial" w:eastAsia="Arial" w:hAnsi="Arial"/>
                  <w:sz w:val="18"/>
                  <w:szCs w:val="18"/>
                  <w:color w:val="auto"/>
                  <w:w w:val="99"/>
                </w:rPr>
                <w:t>Controls and Procedures</w:t>
              </w:r>
            </w:hyperlink>
          </w:p>
        </w:tc>
        <w:tc>
          <w:tcPr>
            <w:tcW w:w="7140" w:type="dxa"/>
            <w:vAlign w:val="bottom"/>
            <w:gridSpan w:val="10"/>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940" w:type="dxa"/>
            <w:vAlign w:val="bottom"/>
            <w:tcBorders>
              <w:bottom w:val="single" w:sz="8" w:color="auto"/>
            </w:tcBorders>
            <w:gridSpan w:val="7"/>
          </w:tcPr>
          <w:p>
            <w:pPr>
              <w:spacing w:after="0"/>
              <w:rPr>
                <w:rFonts w:ascii="Arial" w:cs="Arial" w:eastAsia="Arial" w:hAnsi="Arial"/>
                <w:sz w:val="20"/>
                <w:szCs w:val="20"/>
                <w:b w:val="1"/>
                <w:bCs w:val="1"/>
                <w:color w:val="auto"/>
                <w:w w:val="97"/>
              </w:rPr>
            </w:pPr>
            <w:hyperlink w:anchor="page36">
              <w:r>
                <w:rPr>
                  <w:rFonts w:ascii="Arial" w:cs="Arial" w:eastAsia="Arial" w:hAnsi="Arial"/>
                  <w:sz w:val="20"/>
                  <w:szCs w:val="20"/>
                  <w:b w:val="1"/>
                  <w:bCs w:val="1"/>
                  <w:color w:val="auto"/>
                  <w:w w:val="97"/>
                </w:rPr>
                <w:t>PART II. OTHER INFORMATION</w:t>
              </w:r>
            </w:hyperlink>
          </w:p>
        </w:tc>
        <w:tc>
          <w:tcPr>
            <w:tcW w:w="7220" w:type="dxa"/>
            <w:vAlign w:val="bottom"/>
            <w:gridSpan w:val="11"/>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auto"/>
                <w:w w:val="99"/>
              </w:rPr>
            </w:pPr>
            <w:hyperlink w:anchor="page36">
              <w:r>
                <w:rPr>
                  <w:rFonts w:ascii="Arial" w:cs="Arial" w:eastAsia="Arial" w:hAnsi="Arial"/>
                  <w:sz w:val="18"/>
                  <w:szCs w:val="18"/>
                  <w:color w:val="auto"/>
                  <w:w w:val="99"/>
                </w:rPr>
                <w:t>Legal Proceedings</w:t>
              </w:r>
            </w:hyperlink>
          </w:p>
        </w:tc>
        <w:tc>
          <w:tcPr>
            <w:tcW w:w="764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140" w:type="dxa"/>
            <w:vAlign w:val="bottom"/>
            <w:gridSpan w:val="17"/>
          </w:tcPr>
          <w:p>
            <w:pPr>
              <w:spacing w:after="0"/>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860" w:type="dxa"/>
            <w:vAlign w:val="bottom"/>
            <w:tcBorders>
              <w:bottom w:val="single" w:sz="8" w:color="0000EE"/>
            </w:tcBorders>
            <w:gridSpan w:val="10"/>
          </w:tcPr>
          <w:p>
            <w:pPr>
              <w:spacing w:after="0"/>
              <w:rPr>
                <w:rFonts w:ascii="Arial" w:cs="Arial" w:eastAsia="Arial" w:hAnsi="Arial"/>
                <w:sz w:val="18"/>
                <w:szCs w:val="18"/>
                <w:color w:val="auto"/>
                <w:w w:val="99"/>
              </w:rPr>
            </w:pPr>
            <w:hyperlink w:anchor="page36">
              <w:r>
                <w:rPr>
                  <w:rFonts w:ascii="Arial" w:cs="Arial" w:eastAsia="Arial" w:hAnsi="Arial"/>
                  <w:sz w:val="18"/>
                  <w:szCs w:val="18"/>
                  <w:color w:val="auto"/>
                  <w:w w:val="99"/>
                </w:rPr>
                <w:t>Unregistered Sales of Equity Securities and Use of Proceeds</w:t>
              </w:r>
            </w:hyperlink>
          </w:p>
        </w:tc>
        <w:tc>
          <w:tcPr>
            <w:tcW w:w="428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140" w:type="dxa"/>
            <w:vAlign w:val="bottom"/>
            <w:gridSpan w:val="17"/>
          </w:tcPr>
          <w:p>
            <w:pPr>
              <w:spacing w:after="0"/>
              <w:rPr>
                <w:rFonts w:ascii="Arial" w:cs="Arial" w:eastAsia="Arial" w:hAnsi="Arial"/>
                <w:sz w:val="18"/>
                <w:szCs w:val="18"/>
                <w:color w:val="auto"/>
              </w:rPr>
            </w:pPr>
            <w:hyperlink w:anchor="page36">
              <w:r>
                <w:rPr>
                  <w:rFonts w:ascii="Arial" w:cs="Arial" w:eastAsia="Arial" w:hAnsi="Arial"/>
                  <w:sz w:val="18"/>
                  <w:szCs w:val="18"/>
                  <w:color w:val="auto"/>
                </w:rPr>
                <w:t>Mine Safety Information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auto"/>
                <w:w w:val="98"/>
              </w:rPr>
            </w:pPr>
            <w:hyperlink w:anchor="page37">
              <w:r>
                <w:rPr>
                  <w:rFonts w:ascii="Arial" w:cs="Arial" w:eastAsia="Arial" w:hAnsi="Arial"/>
                  <w:sz w:val="18"/>
                  <w:szCs w:val="18"/>
                  <w:color w:val="auto"/>
                  <w:w w:val="98"/>
                </w:rPr>
                <w:t>Exhibits</w:t>
              </w:r>
            </w:hyperlink>
          </w:p>
        </w:tc>
        <w:tc>
          <w:tcPr>
            <w:tcW w:w="1260" w:type="dxa"/>
            <w:vAlign w:val="bottom"/>
            <w:tcBorders>
              <w:top w:val="single" w:sz="8" w:color="0000EE"/>
            </w:tcBorders>
            <w:gridSpan w:val="3"/>
          </w:tcPr>
          <w:p>
            <w:pPr>
              <w:spacing w:after="0"/>
              <w:rPr>
                <w:sz w:val="24"/>
                <w:szCs w:val="24"/>
                <w:color w:val="auto"/>
              </w:rPr>
            </w:pPr>
          </w:p>
        </w:tc>
        <w:tc>
          <w:tcPr>
            <w:tcW w:w="724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SIGNATURES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60" w:type="dxa"/>
            <w:vAlign w:val="bottom"/>
          </w:tcPr>
          <w:p>
            <w:pPr>
              <w:spacing w:after="0"/>
              <w:rPr>
                <w:sz w:val="13"/>
                <w:szCs w:val="13"/>
                <w:color w:val="auto"/>
              </w:rPr>
            </w:pPr>
          </w:p>
        </w:tc>
        <w:tc>
          <w:tcPr>
            <w:tcW w:w="340" w:type="dxa"/>
            <w:vAlign w:val="bottom"/>
            <w:shd w:val="clear" w:color="auto" w:fill="004483"/>
          </w:tcPr>
          <w:p>
            <w:pPr>
              <w:spacing w:after="0"/>
              <w:rPr>
                <w:sz w:val="13"/>
                <w:szCs w:val="13"/>
                <w:color w:val="auto"/>
              </w:rPr>
            </w:pPr>
          </w:p>
        </w:tc>
        <w:tc>
          <w:tcPr>
            <w:tcW w:w="270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8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40" w:type="dxa"/>
            <w:vAlign w:val="bottom"/>
            <w:gridSpan w:val="6"/>
          </w:tcPr>
          <w:p>
            <w:pPr>
              <w:jc w:val="right"/>
              <w:ind w:right="599"/>
              <w:spacing w:after="0"/>
              <w:rPr>
                <w:sz w:val="20"/>
                <w:szCs w:val="20"/>
                <w:color w:val="auto"/>
              </w:rPr>
            </w:pPr>
            <w:r>
              <w:rPr>
                <w:rFonts w:ascii="Arial" w:cs="Arial" w:eastAsia="Arial" w:hAnsi="Arial"/>
                <w:sz w:val="13"/>
                <w:szCs w:val="13"/>
                <w:color w:val="auto"/>
                <w:w w:val="92"/>
              </w:rPr>
              <w:t>(dollars in thousands, except share and per share data)</w:t>
            </w:r>
          </w:p>
        </w:tc>
        <w:tc>
          <w:tcPr>
            <w:tcW w:w="0" w:type="dxa"/>
            <w:vAlign w:val="bottom"/>
          </w:tcPr>
          <w:p>
            <w:pPr>
              <w:spacing w:after="0"/>
              <w:rPr>
                <w:sz w:val="1"/>
                <w:szCs w:val="1"/>
                <w:color w:val="auto"/>
              </w:rPr>
            </w:pPr>
          </w:p>
        </w:tc>
      </w:tr>
      <w:tr>
        <w:trPr>
          <w:trHeight w:val="189"/>
        </w:trPr>
        <w:tc>
          <w:tcPr>
            <w:tcW w:w="726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340" w:type="dxa"/>
            <w:vAlign w:val="bottom"/>
            <w:tcBorders>
              <w:top w:val="single" w:sz="8" w:color="004483"/>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561,387</w:t>
            </w:r>
          </w:p>
        </w:tc>
        <w:tc>
          <w:tcPr>
            <w:tcW w:w="120" w:type="dxa"/>
            <w:vAlign w:val="bottom"/>
            <w:tcBorders>
              <w:top w:val="single" w:sz="8" w:color="004483"/>
            </w:tcBorders>
          </w:tcPr>
          <w:p>
            <w:pPr>
              <w:spacing w:after="0"/>
              <w:rPr>
                <w:sz w:val="16"/>
                <w:szCs w:val="16"/>
                <w:color w:val="auto"/>
              </w:rPr>
            </w:pPr>
          </w:p>
        </w:tc>
        <w:tc>
          <w:tcPr>
            <w:tcW w:w="1200" w:type="dxa"/>
            <w:vAlign w:val="bottom"/>
            <w:tcBorders>
              <w:top w:val="single" w:sz="8" w:color="004483"/>
              <w:bottom w:val="single" w:sz="8" w:color="A6A6A6"/>
            </w:tcBorders>
            <w:gridSpan w:val="2"/>
          </w:tcPr>
          <w:p>
            <w:pPr>
              <w:jc w:val="right"/>
              <w:ind w:right="8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475,770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Cost of Goods Sold</w:t>
            </w:r>
          </w:p>
        </w:tc>
        <w:tc>
          <w:tcPr>
            <w:tcW w:w="34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410,521</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40" w:type="dxa"/>
            <w:vAlign w:val="bottom"/>
            <w:tcBorders>
              <w:bottom w:val="single" w:sz="8" w:color="004483"/>
            </w:tcBorders>
          </w:tcPr>
          <w:p>
            <w:pPr>
              <w:spacing w:after="0"/>
              <w:rPr>
                <w:sz w:val="18"/>
                <w:szCs w:val="18"/>
                <w:color w:val="auto"/>
              </w:rPr>
            </w:pP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349,259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Gross Profit</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150,866</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126,511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5,098</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(11,820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(9,468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Non-Operating Income (Expense)</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34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(7,330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040" w:type="dxa"/>
            <w:vAlign w:val="bottom"/>
            <w:tcBorders>
              <w:bottom w:val="single" w:sz="8" w:color="004483"/>
            </w:tcBorders>
          </w:tcPr>
          <w:p>
            <w:pPr>
              <w:spacing w:after="0"/>
              <w:rPr>
                <w:sz w:val="18"/>
                <w:szCs w:val="18"/>
                <w:color w:val="auto"/>
              </w:rPr>
            </w:pP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(6,972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Earnings before Income Taxes</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136,179</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121,719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Pr>
          <w:p>
            <w:pPr>
              <w:ind w:left="200"/>
              <w:spacing w:after="0" w:line="183" w:lineRule="exact"/>
              <w:rPr>
                <w:sz w:val="20"/>
                <w:szCs w:val="20"/>
                <w:color w:val="auto"/>
              </w:rPr>
            </w:pPr>
            <w:r>
              <w:rPr>
                <w:rFonts w:ascii="Arial" w:cs="Arial" w:eastAsia="Arial" w:hAnsi="Arial"/>
                <w:sz w:val="16"/>
                <w:szCs w:val="16"/>
                <w:color w:val="004483"/>
              </w:rPr>
              <w:t>Income Taxes</w:t>
            </w:r>
          </w:p>
        </w:tc>
        <w:tc>
          <w:tcPr>
            <w:tcW w:w="34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(31,174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(26,392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7260" w:type="dxa"/>
            <w:vAlign w:val="bottom"/>
            <w:tcBorders>
              <w:bottom w:val="single" w:sz="8" w:color="A6A6A6"/>
            </w:tcBorders>
          </w:tcPr>
          <w:p>
            <w:pPr>
              <w:spacing w:after="0"/>
              <w:rPr>
                <w:sz w:val="2"/>
                <w:szCs w:val="2"/>
                <w:color w:val="auto"/>
              </w:rPr>
            </w:pPr>
          </w:p>
        </w:tc>
        <w:tc>
          <w:tcPr>
            <w:tcW w:w="340" w:type="dxa"/>
            <w:vAlign w:val="bottom"/>
            <w:tcBorders>
              <w:bottom w:val="single" w:sz="8" w:color="004483"/>
            </w:tcBorders>
            <w:shd w:val="clear" w:color="auto" w:fill="004483"/>
          </w:tcPr>
          <w:p>
            <w:pPr>
              <w:spacing w:after="0"/>
              <w:rPr>
                <w:sz w:val="2"/>
                <w:szCs w:val="2"/>
                <w:color w:val="auto"/>
              </w:rPr>
            </w:pPr>
          </w:p>
        </w:tc>
        <w:tc>
          <w:tcPr>
            <w:tcW w:w="13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6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Net Earnings</w:t>
            </w:r>
          </w:p>
        </w:tc>
        <w:tc>
          <w:tcPr>
            <w:tcW w:w="340" w:type="dxa"/>
            <w:vAlign w:val="bottom"/>
            <w:tcBorders>
              <w:bottom w:val="single" w:sz="8" w:color="004483"/>
            </w:tcBorders>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105,005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bottom w:val="single" w:sz="8" w:color="004483"/>
            </w:tcBorders>
          </w:tcPr>
          <w:p>
            <w:pPr>
              <w:jc w:val="right"/>
              <w:ind w:right="85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95,327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60" w:type="dxa"/>
            <w:vAlign w:val="bottom"/>
            <w:tcBorders>
              <w:bottom w:val="single" w:sz="8" w:color="A6A6A6"/>
            </w:tcBorders>
          </w:tcPr>
          <w:p>
            <w:pPr>
              <w:spacing w:after="0"/>
              <w:rPr>
                <w:sz w:val="14"/>
                <w:szCs w:val="14"/>
                <w:color w:val="auto"/>
              </w:rPr>
            </w:pPr>
          </w:p>
        </w:tc>
        <w:tc>
          <w:tcPr>
            <w:tcW w:w="340" w:type="dxa"/>
            <w:vAlign w:val="bottom"/>
            <w:tcBorders>
              <w:bottom w:val="single" w:sz="8" w:color="A6A6A6"/>
            </w:tcBorders>
          </w:tcPr>
          <w:p>
            <w:pPr>
              <w:spacing w:after="0"/>
              <w:rPr>
                <w:sz w:val="14"/>
                <w:szCs w:val="14"/>
                <w:color w:val="auto"/>
              </w:rPr>
            </w:pPr>
          </w:p>
        </w:tc>
        <w:tc>
          <w:tcPr>
            <w:tcW w:w="138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040" w:type="dxa"/>
            <w:vAlign w:val="bottom"/>
            <w:tcBorders>
              <w:bottom w:val="single" w:sz="8" w:color="A6A6A6"/>
            </w:tcBorders>
          </w:tcPr>
          <w:p>
            <w:pPr>
              <w:spacing w:after="0"/>
              <w:rPr>
                <w:sz w:val="14"/>
                <w:szCs w:val="14"/>
                <w:color w:val="auto"/>
              </w:rPr>
            </w:pPr>
          </w:p>
        </w:tc>
        <w:tc>
          <w:tcPr>
            <w:tcW w:w="8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EARNINGS PER SHARE</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Basic</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2.76</w:t>
            </w:r>
          </w:p>
        </w:tc>
        <w:tc>
          <w:tcPr>
            <w:tcW w:w="120" w:type="dxa"/>
            <w:vAlign w:val="bottom"/>
          </w:tcPr>
          <w:p>
            <w:pPr>
              <w:spacing w:after="0"/>
              <w:rPr>
                <w:sz w:val="15"/>
                <w:szCs w:val="15"/>
                <w:color w:val="auto"/>
              </w:rPr>
            </w:pPr>
          </w:p>
        </w:tc>
        <w:tc>
          <w:tcPr>
            <w:tcW w:w="1200" w:type="dxa"/>
            <w:vAlign w:val="bottom"/>
            <w:tcBorders>
              <w:bottom w:val="single" w:sz="8" w:color="A6A6A6"/>
            </w:tcBorders>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Diluted</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AVERAGE SHARES OUTSTANDING</w:t>
            </w:r>
          </w:p>
        </w:tc>
        <w:tc>
          <w:tcPr>
            <w:tcW w:w="3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60" w:type="dxa"/>
            <w:vAlign w:val="bottom"/>
          </w:tcPr>
          <w:p>
            <w:pPr>
              <w:ind w:left="200"/>
              <w:spacing w:after="0" w:line="183" w:lineRule="exact"/>
              <w:rPr>
                <w:sz w:val="20"/>
                <w:szCs w:val="20"/>
                <w:color w:val="auto"/>
              </w:rPr>
            </w:pPr>
            <w:r>
              <w:rPr>
                <w:rFonts w:ascii="Arial" w:cs="Arial" w:eastAsia="Arial" w:hAnsi="Arial"/>
                <w:sz w:val="16"/>
                <w:szCs w:val="16"/>
                <w:color w:val="004483"/>
              </w:rPr>
              <w:t>Basic</w:t>
            </w:r>
          </w:p>
        </w:tc>
        <w:tc>
          <w:tcPr>
            <w:tcW w:w="340" w:type="dxa"/>
            <w:vAlign w:val="bottom"/>
            <w:tcBorders>
              <w:bottom w:val="single" w:sz="8" w:color="004483"/>
            </w:tcBorders>
          </w:tcPr>
          <w:p>
            <w:pPr>
              <w:spacing w:after="0"/>
              <w:rPr>
                <w:sz w:val="15"/>
                <w:szCs w:val="15"/>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37,982,580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9"/>
              </w:rPr>
              <w:t>42,028,619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60" w:type="dxa"/>
            <w:vAlign w:val="bottom"/>
          </w:tcPr>
          <w:p>
            <w:pPr>
              <w:ind w:left="200"/>
              <w:spacing w:after="0" w:line="170" w:lineRule="exact"/>
              <w:rPr>
                <w:sz w:val="20"/>
                <w:szCs w:val="20"/>
                <w:color w:val="auto"/>
              </w:rPr>
            </w:pPr>
            <w:r>
              <w:rPr>
                <w:rFonts w:ascii="Arial" w:cs="Arial" w:eastAsia="Arial" w:hAnsi="Arial"/>
                <w:sz w:val="16"/>
                <w:szCs w:val="16"/>
                <w:color w:val="004483"/>
              </w:rPr>
              <w:t>Diluted</w:t>
            </w:r>
          </w:p>
        </w:tc>
        <w:tc>
          <w:tcPr>
            <w:tcW w:w="340" w:type="dxa"/>
            <w:vAlign w:val="bottom"/>
            <w:tcBorders>
              <w:bottom w:val="single" w:sz="8" w:color="004483"/>
            </w:tcBorders>
          </w:tcPr>
          <w:p>
            <w:pPr>
              <w:spacing w:after="0"/>
              <w:rPr>
                <w:sz w:val="14"/>
                <w:szCs w:val="14"/>
                <w:color w:val="auto"/>
              </w:rPr>
            </w:pPr>
          </w:p>
        </w:tc>
        <w:tc>
          <w:tcPr>
            <w:tcW w:w="13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38,222,949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004483"/>
            </w:tcBorders>
          </w:tcPr>
          <w:p>
            <w:pPr>
              <w:spacing w:after="0"/>
              <w:rPr>
                <w:sz w:val="14"/>
                <w:szCs w:val="14"/>
                <w:color w:val="auto"/>
              </w:rPr>
            </w:pPr>
          </w:p>
        </w:tc>
        <w:tc>
          <w:tcPr>
            <w:tcW w:w="8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w w:val="99"/>
              </w:rPr>
              <w:t>42,437,366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-12700</wp:posOffset>
            </wp:positionV>
            <wp:extent cx="2459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6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680" w:type="dxa"/>
            <w:vAlign w:val="bottom"/>
            <w:gridSpan w:val="4"/>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680" w:type="dxa"/>
            <w:vAlign w:val="bottom"/>
            <w:tcBorders>
              <w:bottom w:val="single" w:sz="8" w:color="004483"/>
            </w:tcBorders>
            <w:gridSpan w:val="4"/>
          </w:tcPr>
          <w:p>
            <w:pPr>
              <w:jc w:val="right"/>
              <w:ind w:right="61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20" w:type="dxa"/>
            <w:vAlign w:val="bottom"/>
          </w:tcPr>
          <w:p>
            <w:pPr>
              <w:spacing w:after="0"/>
              <w:rPr>
                <w:sz w:val="16"/>
                <w:szCs w:val="16"/>
                <w:color w:val="auto"/>
              </w:rPr>
            </w:pPr>
          </w:p>
        </w:tc>
        <w:tc>
          <w:tcPr>
            <w:tcW w:w="1340" w:type="dxa"/>
            <w:vAlign w:val="bottom"/>
            <w:tcBorders>
              <w:bottom w:val="single" w:sz="8" w:color="A6A6A6"/>
            </w:tcBorders>
            <w:gridSpan w:val="2"/>
          </w:tcPr>
          <w:p>
            <w:pPr>
              <w:jc w:val="right"/>
              <w:ind w:right="9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100" w:type="dxa"/>
            <w:vAlign w:val="bottom"/>
          </w:tcPr>
          <w:p>
            <w:pPr>
              <w:spacing w:after="0"/>
              <w:rPr>
                <w:sz w:val="16"/>
                <w:szCs w:val="16"/>
                <w:color w:val="auto"/>
              </w:rPr>
            </w:pPr>
          </w:p>
        </w:tc>
      </w:tr>
      <w:tr>
        <w:trPr>
          <w:trHeight w:val="183"/>
        </w:trPr>
        <w:tc>
          <w:tcPr>
            <w:tcW w:w="72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Actuarial Change in Defined Benefit Plans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Amortization of Net Actuarial Loss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Tax Expense</w:t>
            </w:r>
          </w:p>
        </w:tc>
        <w:tc>
          <w:tcPr>
            <w:tcW w:w="500" w:type="dxa"/>
            <w:vAlign w:val="bottom"/>
            <w:tcBorders>
              <w:bottom w:val="single" w:sz="8" w:color="004483"/>
            </w:tcBorders>
          </w:tcPr>
          <w:p>
            <w:pPr>
              <w:spacing w:after="0"/>
              <w:rPr>
                <w:sz w:val="15"/>
                <w:szCs w:val="15"/>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80" w:type="dxa"/>
            <w:vAlign w:val="bottom"/>
            <w:tcBorders>
              <w:bottom w:val="single" w:sz="8" w:color="004483"/>
            </w:tcBorders>
          </w:tcPr>
          <w:p>
            <w:pPr>
              <w:spacing w:after="0"/>
              <w:rPr>
                <w:sz w:val="15"/>
                <w:szCs w:val="15"/>
                <w:color w:val="auto"/>
              </w:rPr>
            </w:pP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4"/>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105,028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95,354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-12700</wp:posOffset>
            </wp:positionV>
            <wp:extent cx="2459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-127635</wp:posOffset>
            </wp:positionV>
            <wp:extent cx="245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20" w:type="dxa"/>
            <w:vAlign w:val="bottom"/>
          </w:tcPr>
          <w:p>
            <w:pPr>
              <w:spacing w:after="0"/>
              <w:rPr>
                <w:sz w:val="13"/>
                <w:szCs w:val="13"/>
                <w:color w:val="auto"/>
              </w:rPr>
            </w:pPr>
          </w:p>
        </w:tc>
        <w:tc>
          <w:tcPr>
            <w:tcW w:w="2260" w:type="dxa"/>
            <w:vAlign w:val="bottom"/>
            <w:shd w:val="clear" w:color="auto" w:fill="004483"/>
          </w:tcPr>
          <w:p>
            <w:pPr>
              <w:jc w:val="right"/>
              <w:ind w:right="837"/>
              <w:spacing w:after="0"/>
              <w:rPr>
                <w:sz w:val="20"/>
                <w:szCs w:val="20"/>
                <w:color w:val="auto"/>
              </w:rPr>
            </w:pPr>
            <w:r>
              <w:rPr>
                <w:rFonts w:ascii="Arial" w:cs="Arial" w:eastAsia="Arial" w:hAnsi="Arial"/>
                <w:sz w:val="13"/>
                <w:szCs w:val="13"/>
                <w:b w:val="1"/>
                <w:bCs w:val="1"/>
                <w:color w:val="FFFFFF"/>
              </w:rPr>
              <w:t>June 30,</w:t>
            </w: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8120" w:type="dxa"/>
            <w:vAlign w:val="bottom"/>
          </w:tcPr>
          <w:p>
            <w:pPr>
              <w:spacing w:after="0"/>
              <w:rPr>
                <w:sz w:val="11"/>
                <w:szCs w:val="11"/>
                <w:color w:val="auto"/>
              </w:rPr>
            </w:pPr>
          </w:p>
        </w:tc>
        <w:tc>
          <w:tcPr>
            <w:tcW w:w="2260" w:type="dxa"/>
            <w:vAlign w:val="bottom"/>
          </w:tcPr>
          <w:p>
            <w:pPr>
              <w:jc w:val="right"/>
              <w:ind w:right="837"/>
              <w:spacing w:after="0" w:line="134" w:lineRule="exact"/>
              <w:rPr>
                <w:sz w:val="20"/>
                <w:szCs w:val="20"/>
                <w:color w:val="auto"/>
              </w:rPr>
            </w:pPr>
            <w:r>
              <w:rPr>
                <w:rFonts w:ascii="Arial" w:cs="Arial" w:eastAsia="Arial" w:hAnsi="Arial"/>
                <w:sz w:val="13"/>
                <w:szCs w:val="13"/>
                <w:b w:val="1"/>
                <w:bCs w:val="1"/>
                <w:color w:val="auto"/>
              </w:rPr>
              <w:t>2022</w:t>
            </w: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r>
      <w:tr>
        <w:trPr>
          <w:trHeight w:val="183"/>
        </w:trPr>
        <w:tc>
          <w:tcPr>
            <w:tcW w:w="8120" w:type="dxa"/>
            <w:vAlign w:val="bottom"/>
            <w:tcBorders>
              <w:bottom w:val="single" w:sz="8" w:color="004483"/>
            </w:tcBorders>
          </w:tcPr>
          <w:p>
            <w:pPr>
              <w:spacing w:after="0"/>
              <w:rPr>
                <w:sz w:val="15"/>
                <w:szCs w:val="15"/>
                <w:color w:val="auto"/>
              </w:rPr>
            </w:pPr>
          </w:p>
        </w:tc>
        <w:tc>
          <w:tcPr>
            <w:tcW w:w="2260" w:type="dxa"/>
            <w:vAlign w:val="bottom"/>
            <w:tcBorders>
              <w:bottom w:val="single" w:sz="8" w:color="004483"/>
            </w:tcBorders>
          </w:tcPr>
          <w:p>
            <w:pPr>
              <w:jc w:val="right"/>
              <w:ind w:right="13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026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Current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Cash and Cash Equivalents</w:t>
            </w:r>
          </w:p>
        </w:tc>
        <w:tc>
          <w:tcPr>
            <w:tcW w:w="3240" w:type="dxa"/>
            <w:vAlign w:val="bottom"/>
            <w:tcBorders>
              <w:top w:val="single" w:sz="8" w:color="A6A6A6"/>
              <w:bottom w:val="single" w:sz="8" w:color="A6A6A6"/>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68,281</w:t>
            </w: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 net</w:t>
            </w:r>
          </w:p>
        </w:tc>
        <w:tc>
          <w:tcPr>
            <w:tcW w:w="324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234,704</w:t>
            </w:r>
          </w:p>
        </w:tc>
      </w:tr>
      <w:tr>
        <w:trPr>
          <w:trHeight w:val="183"/>
        </w:trPr>
        <w:tc>
          <w:tcPr>
            <w:tcW w:w="53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324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233,543</w:t>
            </w:r>
          </w:p>
        </w:tc>
      </w:tr>
      <w:tr>
        <w:trPr>
          <w:trHeight w:val="200"/>
        </w:trPr>
        <w:tc>
          <w:tcPr>
            <w:tcW w:w="534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026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6A6A6"/>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19,416</w:t>
            </w:r>
          </w:p>
        </w:tc>
      </w:tr>
      <w:tr>
        <w:trPr>
          <w:trHeight w:val="183"/>
        </w:trPr>
        <w:tc>
          <w:tcPr>
            <w:tcW w:w="6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176,276</w:t>
            </w:r>
          </w:p>
        </w:tc>
      </w:tr>
      <w:tr>
        <w:trPr>
          <w:trHeight w:val="183"/>
        </w:trPr>
        <w:tc>
          <w:tcPr>
            <w:tcW w:w="6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236,661</w:t>
            </w:r>
          </w:p>
        </w:tc>
      </w:tr>
      <w:tr>
        <w:trPr>
          <w:trHeight w:val="200"/>
        </w:trPr>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-653415</wp:posOffset>
            </wp:positionV>
            <wp:extent cx="968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-10160</wp:posOffset>
            </wp:positionV>
            <wp:extent cx="968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500" w:space="100"/>
            <w:col w:w="1640"/>
          </w:cols>
          <w:pgMar w:left="320" w:top="333"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151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151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026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26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26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26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26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151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151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6026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8,001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87439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4395" cy="2540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547,139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87439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4395" cy="260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1,638,164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8,466</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81,235</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22,960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455,824</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87439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4395" cy="26035"/>
                    </a:xfrm>
                    <a:prstGeom prst="rect">
                      <a:avLst/>
                    </a:prstGeom>
                    <a:noFill/>
                  </pic:spPr>
                </pic:pic>
              </a:graphicData>
            </a:graphic>
          </wp:anchor>
        </w:drawing>
      </w:r>
    </w:p>
    <w:p>
      <w:pPr>
        <w:spacing w:after="0" w:line="18" w:lineRule="exact"/>
        <w:rPr>
          <w:sz w:val="20"/>
          <w:szCs w:val="20"/>
          <w:color w:val="auto"/>
        </w:rPr>
      </w:pPr>
    </w:p>
    <w:p>
      <w:pPr>
        <w:ind w:left="705" w:hanging="705"/>
        <w:spacing w:after="0"/>
        <w:tabs>
          <w:tab w:leader="none" w:pos="705"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2,770,859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74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43815</wp:posOffset>
            </wp:positionV>
            <wp:extent cx="874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3,172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635</wp:posOffset>
            </wp:positionV>
            <wp:extent cx="96837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442,727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6837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2603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1,616,539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68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80,637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387,898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19,510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8572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0" cy="26035"/>
                    </a:xfrm>
                    <a:prstGeom prst="rect">
                      <a:avLst/>
                    </a:prstGeom>
                    <a:noFill/>
                  </pic:spPr>
                </pic:pic>
              </a:graphicData>
            </a:graphic>
          </wp:anchor>
        </w:drawing>
      </w:r>
    </w:p>
    <w:p>
      <w:pPr>
        <w:spacing w:after="0" w:line="18" w:lineRule="exact"/>
        <w:rPr>
          <w:sz w:val="20"/>
          <w:szCs w:val="20"/>
          <w:color w:val="auto"/>
        </w:rPr>
      </w:pPr>
    </w:p>
    <w:p>
      <w:pPr>
        <w:ind w:left="685" w:hanging="685"/>
        <w:spacing w:after="0"/>
        <w:tabs>
          <w:tab w:leader="none" w:pos="685"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2,579,652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-101600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26670</wp:posOffset>
            </wp:positionV>
            <wp:extent cx="96837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172085</wp:posOffset>
            </wp:positionV>
            <wp:extent cx="968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3">
            <w:col w:w="7415" w:space="720"/>
            <w:col w:w="1345" w:space="315"/>
            <w:col w:w="1445"/>
          </w:cols>
          <w:pgMar w:left="320" w:top="33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2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w:t>
            </w:r>
          </w:p>
        </w:tc>
        <w:tc>
          <w:tcPr>
            <w:tcW w:w="400" w:type="dxa"/>
            <w:vAlign w:val="bottom"/>
            <w:tcBorders>
              <w:top w:val="single" w:sz="8" w:color="A6A6A6"/>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108,578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Accrued Liabilities</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88,280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 Payable</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24,999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Operating Lease Liabilities</w:t>
            </w:r>
          </w:p>
        </w:tc>
        <w:tc>
          <w:tcPr>
            <w:tcW w:w="40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12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Current Liabilities</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228,635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Long-term Debt</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1,119,582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28,074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Other Long-term Liabilities</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35,871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Deferred Income Taxes</w:t>
            </w:r>
          </w:p>
        </w:tc>
        <w:tc>
          <w:tcPr>
            <w:tcW w:w="40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234,916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Liabilities</w:t>
            </w:r>
          </w:p>
        </w:tc>
        <w:tc>
          <w:tcPr>
            <w:tcW w:w="40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1,647,078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Stockholders’ Equity</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Preferred Stock, Par Value $0.01; Authorized 5,000,000 Shares; None Issued</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120" w:type="dxa"/>
            <w:vAlign w:val="bottom"/>
          </w:tcPr>
          <w:p>
            <w:pPr>
              <w:ind w:left="200"/>
              <w:spacing w:after="0" w:line="146" w:lineRule="exact"/>
              <w:rPr>
                <w:sz w:val="20"/>
                <w:szCs w:val="20"/>
                <w:color w:val="auto"/>
              </w:rPr>
            </w:pPr>
            <w:r>
              <w:rPr>
                <w:rFonts w:ascii="Arial" w:cs="Arial" w:eastAsia="Arial" w:hAnsi="Arial"/>
                <w:sz w:val="16"/>
                <w:szCs w:val="16"/>
                <w:color w:val="004483"/>
              </w:rPr>
              <w:t>Common Stock, Par Value $0.01; Authorized 100,000,000 Shares;</w:t>
            </w:r>
          </w:p>
        </w:tc>
        <w:tc>
          <w:tcPr>
            <w:tcW w:w="4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120" w:type="dxa"/>
            <w:vAlign w:val="bottom"/>
            <w:tcBorders>
              <w:bottom w:val="single" w:sz="8" w:color="A6A6A6"/>
            </w:tcBorders>
          </w:tcPr>
          <w:p>
            <w:pPr>
              <w:ind w:left="320"/>
              <w:spacing w:after="0"/>
              <w:rPr>
                <w:sz w:val="20"/>
                <w:szCs w:val="20"/>
                <w:color w:val="auto"/>
              </w:rPr>
            </w:pPr>
            <w:r>
              <w:rPr>
                <w:rFonts w:ascii="Arial" w:cs="Arial" w:eastAsia="Arial" w:hAnsi="Arial"/>
                <w:sz w:val="16"/>
                <w:szCs w:val="16"/>
                <w:color w:val="004483"/>
              </w:rPr>
              <w:t>Issued and Outstanding 37,894,704 and 38,710,929 Shares, respectively</w:t>
            </w:r>
          </w:p>
        </w:tc>
        <w:tc>
          <w:tcPr>
            <w:tcW w:w="4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Capital in Excess of Par Value</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Accumulated Other Comprehensive Losses</w:t>
            </w:r>
          </w:p>
        </w:tc>
        <w:tc>
          <w:tcPr>
            <w:tcW w:w="4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(3,152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Retained Earnings</w:t>
            </w:r>
          </w:p>
        </w:tc>
        <w:tc>
          <w:tcPr>
            <w:tcW w:w="40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1,126,553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80"/>
              <w:spacing w:after="0" w:line="183" w:lineRule="exact"/>
              <w:rPr>
                <w:sz w:val="20"/>
                <w:szCs w:val="20"/>
                <w:color w:val="auto"/>
              </w:rPr>
            </w:pPr>
            <w:r>
              <w:rPr>
                <w:rFonts w:ascii="Arial" w:cs="Arial" w:eastAsia="Arial" w:hAnsi="Arial"/>
                <w:sz w:val="16"/>
                <w:szCs w:val="16"/>
                <w:color w:val="004483"/>
              </w:rPr>
              <w:t>Total Stockholders’ Equity</w:t>
            </w:r>
          </w:p>
        </w:tc>
        <w:tc>
          <w:tcPr>
            <w:tcW w:w="400" w:type="dxa"/>
            <w:vAlign w:val="bottom"/>
            <w:tcBorders>
              <w:bottom w:val="single" w:sz="8" w:color="004483"/>
            </w:tcBorders>
          </w:tcPr>
          <w:p>
            <w:pPr>
              <w:spacing w:after="0"/>
              <w:rPr>
                <w:sz w:val="17"/>
                <w:szCs w:val="17"/>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1,123,781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2,770,859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-12700</wp:posOffset>
            </wp:positionV>
            <wp:extent cx="8743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-127635</wp:posOffset>
            </wp:positionV>
            <wp:extent cx="8743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805" w:hanging="805"/>
        <w:spacing w:after="0"/>
        <w:tabs>
          <w:tab w:leader="none" w:pos="805" w:val="left"/>
        </w:tabs>
        <w:numPr>
          <w:ilvl w:val="0"/>
          <w:numId w:val="4"/>
        </w:numPr>
        <w:rPr>
          <w:rFonts w:ascii="Arial" w:cs="Arial" w:eastAsia="Arial" w:hAnsi="Arial"/>
          <w:sz w:val="16"/>
          <w:szCs w:val="16"/>
          <w:color w:val="auto"/>
        </w:rPr>
      </w:pPr>
      <w:r>
        <w:rPr>
          <w:rFonts w:ascii="Arial" w:cs="Arial" w:eastAsia="Arial" w:hAnsi="Arial"/>
          <w:sz w:val="16"/>
          <w:szCs w:val="16"/>
          <w:color w:val="auto"/>
        </w:rPr>
        <w:t>113,679</w:t>
      </w:r>
    </w:p>
    <w:p>
      <w:pPr>
        <w:spacing w:after="0" w:line="22" w:lineRule="exact"/>
        <w:rPr>
          <w:rFonts w:ascii="Arial" w:cs="Arial" w:eastAsia="Arial" w:hAnsi="Arial"/>
          <w:sz w:val="16"/>
          <w:szCs w:val="16"/>
          <w:color w:val="auto"/>
        </w:rPr>
      </w:pPr>
    </w:p>
    <w:p>
      <w:pPr>
        <w:ind w:left="885"/>
        <w:spacing w:after="0"/>
        <w:rPr>
          <w:rFonts w:ascii="Arial" w:cs="Arial" w:eastAsia="Arial" w:hAnsi="Arial"/>
          <w:sz w:val="16"/>
          <w:szCs w:val="16"/>
          <w:color w:val="auto"/>
        </w:rPr>
      </w:pPr>
      <w:r>
        <w:rPr>
          <w:rFonts w:ascii="Arial" w:cs="Arial" w:eastAsia="Arial" w:hAnsi="Arial"/>
          <w:sz w:val="16"/>
          <w:szCs w:val="16"/>
          <w:color w:val="auto"/>
        </w:rPr>
        <w:t>86,754</w:t>
      </w:r>
    </w:p>
    <w:p>
      <w:pPr>
        <w:spacing w:after="0" w:line="18"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8" w:lineRule="exact"/>
        <w:rPr>
          <w:rFonts w:ascii="Arial" w:cs="Arial" w:eastAsia="Arial" w:hAnsi="Arial"/>
          <w:sz w:val="16"/>
          <w:szCs w:val="16"/>
          <w:color w:val="auto"/>
        </w:rPr>
      </w:pPr>
    </w:p>
    <w:p>
      <w:pPr>
        <w:ind w:left="965"/>
        <w:spacing w:after="0"/>
        <w:rPr>
          <w:rFonts w:ascii="Arial" w:cs="Arial" w:eastAsia="Arial" w:hAnsi="Arial"/>
          <w:sz w:val="16"/>
          <w:szCs w:val="16"/>
          <w:color w:val="auto"/>
        </w:rPr>
      </w:pPr>
      <w:r>
        <w:rPr>
          <w:rFonts w:ascii="Arial" w:cs="Arial" w:eastAsia="Arial" w:hAnsi="Arial"/>
          <w:sz w:val="16"/>
          <w:szCs w:val="16"/>
          <w:color w:val="auto"/>
        </w:rPr>
        <w:t>7,118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-506730</wp:posOffset>
            </wp:positionV>
            <wp:extent cx="968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-377825</wp:posOffset>
            </wp:positionV>
            <wp:extent cx="968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-249555</wp:posOffset>
            </wp:positionV>
            <wp:extent cx="968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-120650</wp:posOffset>
            </wp:positionV>
            <wp:extent cx="968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26035"/>
                    </a:xfrm>
                    <a:prstGeom prst="rect">
                      <a:avLst/>
                    </a:prstGeom>
                    <a:noFill/>
                  </pic:spPr>
                </pic:pic>
              </a:graphicData>
            </a:graphic>
          </wp:anchor>
        </w:drawing>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207,551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68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938,265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38,699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232,369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22" w:lineRule="exact"/>
        <w:rPr>
          <w:sz w:val="20"/>
          <w:szCs w:val="20"/>
          <w:color w:val="auto"/>
        </w:rPr>
      </w:pPr>
    </w:p>
    <w:p>
      <w:pPr>
        <w:ind w:left="685"/>
        <w:spacing w:after="0"/>
        <w:rPr>
          <w:sz w:val="20"/>
          <w:szCs w:val="20"/>
          <w:color w:val="auto"/>
        </w:rPr>
      </w:pPr>
      <w:r>
        <w:rPr>
          <w:rFonts w:ascii="Arial" w:cs="Arial" w:eastAsia="Arial" w:hAnsi="Arial"/>
          <w:sz w:val="16"/>
          <w:szCs w:val="16"/>
          <w:color w:val="auto"/>
        </w:rPr>
        <w:t>1,446,096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6837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154940</wp:posOffset>
            </wp:positionV>
            <wp:extent cx="968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28"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68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61" w:lineRule="exact"/>
        <w:rPr>
          <w:sz w:val="20"/>
          <w:szCs w:val="20"/>
          <w:color w:val="auto"/>
        </w:rPr>
      </w:pPr>
    </w:p>
    <w:p>
      <w:pPr>
        <w:ind w:left="1085"/>
        <w:spacing w:after="0"/>
        <w:rPr>
          <w:sz w:val="20"/>
          <w:szCs w:val="20"/>
          <w:color w:val="auto"/>
        </w:rPr>
      </w:pPr>
      <w:r>
        <w:rPr>
          <w:rFonts w:ascii="Arial" w:cs="Arial" w:eastAsia="Arial" w:hAnsi="Arial"/>
          <w:sz w:val="16"/>
          <w:szCs w:val="16"/>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68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6"/>
          <w:szCs w:val="16"/>
          <w:color w:val="auto"/>
        </w:rPr>
        <w:t>(3,175 )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85"/>
        <w:spacing w:after="0"/>
        <w:rPr>
          <w:sz w:val="20"/>
          <w:szCs w:val="20"/>
          <w:color w:val="auto"/>
        </w:rPr>
      </w:pPr>
      <w:r>
        <w:rPr>
          <w:rFonts w:ascii="Arial" w:cs="Arial" w:eastAsia="Arial" w:hAnsi="Arial"/>
          <w:sz w:val="16"/>
          <w:szCs w:val="16"/>
          <w:color w:val="auto"/>
        </w:rPr>
        <w:t>1,136,344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6837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22" w:lineRule="exact"/>
        <w:rPr>
          <w:sz w:val="20"/>
          <w:szCs w:val="20"/>
          <w:color w:val="auto"/>
        </w:rPr>
      </w:pPr>
    </w:p>
    <w:p>
      <w:pPr>
        <w:ind w:left="685"/>
        <w:spacing w:after="0"/>
        <w:rPr>
          <w:sz w:val="20"/>
          <w:szCs w:val="20"/>
          <w:color w:val="auto"/>
        </w:rPr>
      </w:pPr>
      <w:r>
        <w:rPr>
          <w:rFonts w:ascii="Arial" w:cs="Arial" w:eastAsia="Arial" w:hAnsi="Arial"/>
          <w:sz w:val="16"/>
          <w:szCs w:val="16"/>
          <w:color w:val="auto"/>
        </w:rPr>
        <w:t>1,133,556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8572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0" cy="25400"/>
                    </a:xfrm>
                    <a:prstGeom prst="rect">
                      <a:avLst/>
                    </a:prstGeom>
                    <a:noFill/>
                  </pic:spPr>
                </pic:pic>
              </a:graphicData>
            </a:graphic>
          </wp:anchor>
        </w:drawing>
      </w:r>
    </w:p>
    <w:p>
      <w:pPr>
        <w:spacing w:after="0" w:line="22" w:lineRule="exact"/>
        <w:rPr>
          <w:sz w:val="20"/>
          <w:szCs w:val="20"/>
          <w:color w:val="auto"/>
        </w:rPr>
      </w:pPr>
    </w:p>
    <w:p>
      <w:pPr>
        <w:ind w:left="685" w:hanging="685"/>
        <w:spacing w:after="0"/>
        <w:tabs>
          <w:tab w:leader="none" w:pos="68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2,579,652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8572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8572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9560" w:space="235"/>
            <w:col w:w="1445"/>
          </w:cols>
          <w:pgMar w:left="320" w:top="333"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03"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FFFFFF"/>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-82550</wp:posOffset>
            </wp:positionV>
            <wp:extent cx="240030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0" cy="94615"/>
                    </a:xfrm>
                    <a:prstGeom prst="rect">
                      <a:avLst/>
                    </a:prstGeom>
                    <a:noFill/>
                  </pic:spPr>
                </pic:pic>
              </a:graphicData>
            </a:graphic>
          </wp:anchor>
        </w:drawing>
      </w:r>
    </w:p>
    <w:p>
      <w:pPr>
        <w:ind w:left="8820"/>
        <w:spacing w:after="0"/>
        <w:tabs>
          <w:tab w:leader="none" w:pos="1084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p>
    <w:p>
      <w:pPr>
        <w:spacing w:after="0" w:line="34" w:lineRule="exact"/>
        <w:rPr>
          <w:sz w:val="20"/>
          <w:szCs w:val="20"/>
          <w:color w:val="auto"/>
        </w:rPr>
      </w:pPr>
    </w:p>
    <w:p>
      <w:pPr>
        <w:ind w:left="876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6374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560" w:type="dxa"/>
            <w:vAlign w:val="bottom"/>
            <w:tcBorders>
              <w:top w:val="single" w:sz="8" w:color="A6A6A6"/>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105,005</w:t>
            </w:r>
          </w:p>
        </w:tc>
        <w:tc>
          <w:tcPr>
            <w:tcW w:w="60" w:type="dxa"/>
            <w:vAlign w:val="bottom"/>
          </w:tcPr>
          <w:p>
            <w:pPr>
              <w:spacing w:after="0"/>
              <w:rPr>
                <w:sz w:val="15"/>
                <w:szCs w:val="15"/>
                <w:color w:val="auto"/>
              </w:rPr>
            </w:pPr>
          </w:p>
        </w:tc>
      </w:tr>
      <w:tr>
        <w:trPr>
          <w:trHeight w:val="146"/>
        </w:trPr>
        <w:tc>
          <w:tcPr>
            <w:tcW w:w="7460" w:type="dxa"/>
            <w:vAlign w:val="bottom"/>
          </w:tcPr>
          <w:p>
            <w:pPr>
              <w:ind w:left="20"/>
              <w:spacing w:after="0" w:line="146" w:lineRule="exact"/>
              <w:rPr>
                <w:sz w:val="20"/>
                <w:szCs w:val="20"/>
                <w:color w:val="auto"/>
              </w:rPr>
            </w:pPr>
            <w:r>
              <w:rPr>
                <w:rFonts w:ascii="Arial" w:cs="Arial" w:eastAsia="Arial" w:hAnsi="Arial"/>
                <w:sz w:val="16"/>
                <w:szCs w:val="16"/>
                <w:color w:val="004483"/>
              </w:rPr>
              <w:t>Adjustments to Reconcile Net Earnings to Net Cash Provided</w:t>
            </w: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9"/>
        </w:trPr>
        <w:tc>
          <w:tcPr>
            <w:tcW w:w="7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56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Depreciation, Depletion, and Amortization</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34,229</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Deferred Income Tax Provision</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2,547</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Stock Compensation Expense</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5,146</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(5,098</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Distributions from Joint Venture</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4,500</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Changes in Operating Assets and Liabilities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(51,478</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9,085</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 and Accrued Liabilities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(6,389</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2"/>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Assets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(1,109</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 Payable (Receivable)</w:t>
            </w: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28,364</w:t>
            </w:r>
          </w:p>
        </w:tc>
        <w:tc>
          <w:tcPr>
            <w:tcW w:w="60" w:type="dxa"/>
            <w:vAlign w:val="bottom"/>
          </w:tcPr>
          <w:p>
            <w:pPr>
              <w:spacing w:after="0"/>
              <w:rPr>
                <w:sz w:val="18"/>
                <w:szCs w:val="18"/>
                <w:color w:val="auto"/>
              </w:rPr>
            </w:pPr>
          </w:p>
        </w:tc>
      </w:tr>
      <w:tr>
        <w:trPr>
          <w:trHeight w:val="209"/>
        </w:trPr>
        <w:tc>
          <w:tcPr>
            <w:tcW w:w="74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Operating Activities</w:t>
            </w: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124,802</w:t>
            </w:r>
          </w:p>
        </w:tc>
        <w:tc>
          <w:tcPr>
            <w:tcW w:w="60" w:type="dxa"/>
            <w:vAlign w:val="bottom"/>
          </w:tcPr>
          <w:p>
            <w:pPr>
              <w:spacing w:after="0"/>
              <w:rPr>
                <w:sz w:val="18"/>
                <w:szCs w:val="18"/>
                <w:color w:val="auto"/>
              </w:rPr>
            </w:pP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Additions to Property, Plant, and Equipment</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(14,914</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Acquisition Spending</w:t>
            </w: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(121,162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74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Investing Activities</w:t>
            </w: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(136,076</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Increase (Decrease) in Credit Facility</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(19,000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Term Loan</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200,000</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(9,642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(109,612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667</w:t>
            </w:r>
          </w:p>
        </w:tc>
        <w:tc>
          <w:tcPr>
            <w:tcW w:w="6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Debt Issuance Costs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7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(1,497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74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(Used in) Financing Activities</w:t>
            </w: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60,139</w:t>
            </w:r>
          </w:p>
        </w:tc>
        <w:tc>
          <w:tcPr>
            <w:tcW w:w="60" w:type="dxa"/>
            <w:vAlign w:val="bottom"/>
          </w:tcPr>
          <w:p>
            <w:pPr>
              <w:spacing w:after="0"/>
              <w:rPr>
                <w:sz w:val="18"/>
                <w:szCs w:val="18"/>
                <w:color w:val="auto"/>
              </w:rPr>
            </w:pP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INCREASE IN CASH AND CASH EQUIVALENTS</w:t>
            </w: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48,865</w:t>
            </w:r>
          </w:p>
        </w:tc>
        <w:tc>
          <w:tcPr>
            <w:tcW w:w="60" w:type="dxa"/>
            <w:vAlign w:val="bottom"/>
          </w:tcPr>
          <w:p>
            <w:pPr>
              <w:spacing w:after="0"/>
              <w:rPr>
                <w:sz w:val="15"/>
                <w:szCs w:val="15"/>
                <w:color w:val="auto"/>
              </w:rPr>
            </w:pPr>
          </w:p>
        </w:tc>
      </w:tr>
      <w:tr>
        <w:trPr>
          <w:trHeight w:val="183"/>
        </w:trPr>
        <w:tc>
          <w:tcPr>
            <w:tcW w:w="74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BEGINNING OF PERIOD</w:t>
            </w:r>
          </w:p>
        </w:tc>
        <w:tc>
          <w:tcPr>
            <w:tcW w:w="56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19,416</w:t>
            </w:r>
          </w:p>
        </w:tc>
        <w:tc>
          <w:tcPr>
            <w:tcW w:w="60" w:type="dxa"/>
            <w:vAlign w:val="bottom"/>
          </w:tcPr>
          <w:p>
            <w:pPr>
              <w:spacing w:after="0"/>
              <w:rPr>
                <w:sz w:val="15"/>
                <w:szCs w:val="15"/>
                <w:color w:val="auto"/>
              </w:rPr>
            </w:pPr>
          </w:p>
        </w:tc>
      </w:tr>
      <w:tr>
        <w:trPr>
          <w:trHeight w:val="27"/>
        </w:trPr>
        <w:tc>
          <w:tcPr>
            <w:tcW w:w="746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68,281</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-12700</wp:posOffset>
            </wp:positionV>
            <wp:extent cx="1028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-127635</wp:posOffset>
            </wp:positionV>
            <wp:extent cx="1028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303" w:hanging="1303"/>
        <w:spacing w:after="0"/>
        <w:tabs>
          <w:tab w:leader="none" w:pos="1303" w:val="left"/>
        </w:tabs>
        <w:numPr>
          <w:ilvl w:val="0"/>
          <w:numId w:val="6"/>
        </w:numPr>
        <w:rPr>
          <w:rFonts w:ascii="Arial" w:cs="Arial" w:eastAsia="Arial" w:hAnsi="Arial"/>
          <w:sz w:val="16"/>
          <w:szCs w:val="16"/>
          <w:color w:val="auto"/>
        </w:rPr>
      </w:pPr>
      <w:r>
        <w:rPr>
          <w:rFonts w:ascii="Arial" w:cs="Arial" w:eastAsia="Arial" w:hAnsi="Arial"/>
          <w:sz w:val="16"/>
          <w:szCs w:val="16"/>
          <w:color w:val="auto"/>
        </w:rPr>
        <w:t>95,327</w:t>
      </w:r>
    </w:p>
    <w:p>
      <w:pPr>
        <w:spacing w:after="0" w:line="383" w:lineRule="exact"/>
        <w:rPr>
          <w:rFonts w:ascii="Arial" w:cs="Arial" w:eastAsia="Arial" w:hAnsi="Arial"/>
          <w:sz w:val="16"/>
          <w:szCs w:val="16"/>
          <w:color w:val="auto"/>
        </w:rPr>
      </w:pPr>
    </w:p>
    <w:p>
      <w:pPr>
        <w:ind w:left="1303"/>
        <w:spacing w:after="0"/>
        <w:rPr>
          <w:rFonts w:ascii="Arial" w:cs="Arial" w:eastAsia="Arial" w:hAnsi="Arial"/>
          <w:sz w:val="16"/>
          <w:szCs w:val="16"/>
          <w:color w:val="auto"/>
        </w:rPr>
      </w:pPr>
      <w:r>
        <w:rPr>
          <w:rFonts w:ascii="Arial" w:cs="Arial" w:eastAsia="Arial" w:hAnsi="Arial"/>
          <w:sz w:val="16"/>
          <w:szCs w:val="16"/>
          <w:color w:val="auto"/>
        </w:rPr>
        <w:t>31,944</w:t>
      </w:r>
    </w:p>
    <w:p>
      <w:pPr>
        <w:spacing w:after="0" w:line="22" w:lineRule="exact"/>
        <w:rPr>
          <w:rFonts w:ascii="Arial" w:cs="Arial" w:eastAsia="Arial" w:hAnsi="Arial"/>
          <w:sz w:val="16"/>
          <w:szCs w:val="16"/>
          <w:color w:val="auto"/>
        </w:rPr>
      </w:pPr>
    </w:p>
    <w:p>
      <w:pPr>
        <w:ind w:left="1383"/>
        <w:spacing w:after="0"/>
        <w:rPr>
          <w:rFonts w:ascii="Arial" w:cs="Arial" w:eastAsia="Arial" w:hAnsi="Arial"/>
          <w:sz w:val="16"/>
          <w:szCs w:val="16"/>
          <w:color w:val="auto"/>
        </w:rPr>
      </w:pPr>
      <w:r>
        <w:rPr>
          <w:rFonts w:ascii="Arial" w:cs="Arial" w:eastAsia="Arial" w:hAnsi="Arial"/>
          <w:sz w:val="16"/>
          <w:szCs w:val="16"/>
          <w:color w:val="auto"/>
        </w:rPr>
        <w:t>1,799</w:t>
      </w:r>
    </w:p>
    <w:p>
      <w:pPr>
        <w:spacing w:after="0" w:line="18" w:lineRule="exact"/>
        <w:rPr>
          <w:rFonts w:ascii="Arial" w:cs="Arial" w:eastAsia="Arial" w:hAnsi="Arial"/>
          <w:sz w:val="16"/>
          <w:szCs w:val="16"/>
          <w:color w:val="auto"/>
        </w:rPr>
      </w:pPr>
    </w:p>
    <w:p>
      <w:pPr>
        <w:ind w:left="1383"/>
        <w:spacing w:after="0"/>
        <w:rPr>
          <w:rFonts w:ascii="Arial" w:cs="Arial" w:eastAsia="Arial" w:hAnsi="Arial"/>
          <w:sz w:val="16"/>
          <w:szCs w:val="16"/>
          <w:color w:val="auto"/>
        </w:rPr>
      </w:pPr>
      <w:r>
        <w:rPr>
          <w:rFonts w:ascii="Arial" w:cs="Arial" w:eastAsia="Arial" w:hAnsi="Arial"/>
          <w:sz w:val="16"/>
          <w:szCs w:val="16"/>
          <w:color w:val="auto"/>
        </w:rPr>
        <w:t>2,456</w:t>
      </w:r>
    </w:p>
    <w:p>
      <w:pPr>
        <w:spacing w:after="0" w:line="18" w:lineRule="exact"/>
        <w:rPr>
          <w:rFonts w:ascii="Arial" w:cs="Arial" w:eastAsia="Arial" w:hAnsi="Arial"/>
          <w:sz w:val="16"/>
          <w:szCs w:val="16"/>
          <w:color w:val="auto"/>
        </w:rPr>
      </w:pPr>
    </w:p>
    <w:p>
      <w:pPr>
        <w:ind w:left="1323"/>
        <w:spacing w:after="0"/>
        <w:rPr>
          <w:rFonts w:ascii="Arial" w:cs="Arial" w:eastAsia="Arial" w:hAnsi="Arial"/>
          <w:sz w:val="16"/>
          <w:szCs w:val="16"/>
          <w:color w:val="auto"/>
        </w:rPr>
      </w:pPr>
      <w:r>
        <w:rPr>
          <w:rFonts w:ascii="Arial" w:cs="Arial" w:eastAsia="Arial" w:hAnsi="Arial"/>
          <w:sz w:val="14"/>
          <w:szCs w:val="14"/>
          <w:color w:val="auto"/>
        </w:rPr>
        <w:t>(7,970 )</w:t>
      </w:r>
    </w:p>
    <w:p>
      <w:pPr>
        <w:spacing w:after="0" w:line="41" w:lineRule="exact"/>
        <w:rPr>
          <w:rFonts w:ascii="Arial" w:cs="Arial" w:eastAsia="Arial" w:hAnsi="Arial"/>
          <w:sz w:val="16"/>
          <w:szCs w:val="16"/>
          <w:color w:val="auto"/>
        </w:rPr>
      </w:pPr>
    </w:p>
    <w:p>
      <w:pPr>
        <w:ind w:left="1383"/>
        <w:spacing w:after="0"/>
        <w:rPr>
          <w:rFonts w:ascii="Arial" w:cs="Arial" w:eastAsia="Arial" w:hAnsi="Arial"/>
          <w:sz w:val="16"/>
          <w:szCs w:val="16"/>
          <w:color w:val="auto"/>
        </w:rPr>
      </w:pPr>
      <w:r>
        <w:rPr>
          <w:rFonts w:ascii="Arial" w:cs="Arial" w:eastAsia="Arial" w:hAnsi="Arial"/>
          <w:sz w:val="16"/>
          <w:szCs w:val="16"/>
          <w:color w:val="auto"/>
        </w:rPr>
        <w:t>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-995045</wp:posOffset>
            </wp:positionV>
            <wp:extent cx="123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-866775</wp:posOffset>
            </wp:positionV>
            <wp:extent cx="1234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-635000</wp:posOffset>
            </wp:positionV>
            <wp:extent cx="1234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-506730</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-377825</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-249555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-120650</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135890</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7" w:lineRule="exact"/>
        <w:rPr>
          <w:sz w:val="20"/>
          <w:szCs w:val="20"/>
          <w:color w:val="auto"/>
        </w:rPr>
      </w:pPr>
    </w:p>
    <w:p>
      <w:pPr>
        <w:ind w:left="1243"/>
        <w:spacing w:after="0"/>
        <w:rPr>
          <w:sz w:val="20"/>
          <w:szCs w:val="20"/>
          <w:color w:val="auto"/>
        </w:rPr>
      </w:pPr>
      <w:r>
        <w:rPr>
          <w:rFonts w:ascii="Arial" w:cs="Arial" w:eastAsia="Arial" w:hAnsi="Arial"/>
          <w:sz w:val="14"/>
          <w:szCs w:val="14"/>
          <w:color w:val="auto"/>
        </w:rPr>
        <w:t>(40,344 )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1234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 w:lineRule="exact"/>
        <w:rPr>
          <w:sz w:val="20"/>
          <w:szCs w:val="20"/>
          <w:color w:val="auto"/>
        </w:rPr>
      </w:pPr>
    </w:p>
    <w:p>
      <w:pPr>
        <w:ind w:left="1303"/>
        <w:spacing w:after="0"/>
        <w:rPr>
          <w:sz w:val="20"/>
          <w:szCs w:val="20"/>
          <w:color w:val="auto"/>
        </w:rPr>
      </w:pPr>
      <w:r>
        <w:rPr>
          <w:rFonts w:ascii="Arial" w:cs="Arial" w:eastAsia="Arial" w:hAnsi="Arial"/>
          <w:sz w:val="16"/>
          <w:szCs w:val="16"/>
          <w:color w:val="auto"/>
        </w:rPr>
        <w:t>18,697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1323"/>
        <w:spacing w:after="0"/>
        <w:rPr>
          <w:sz w:val="20"/>
          <w:szCs w:val="20"/>
          <w:color w:val="auto"/>
        </w:rPr>
      </w:pPr>
      <w:r>
        <w:rPr>
          <w:rFonts w:ascii="Arial" w:cs="Arial" w:eastAsia="Arial" w:hAnsi="Arial"/>
          <w:sz w:val="14"/>
          <w:szCs w:val="14"/>
          <w:color w:val="auto"/>
        </w:rPr>
        <w:t>(2,938 )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21590</wp:posOffset>
            </wp:positionV>
            <wp:extent cx="1234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 w:lineRule="exact"/>
        <w:rPr>
          <w:sz w:val="20"/>
          <w:szCs w:val="20"/>
          <w:color w:val="auto"/>
        </w:rPr>
      </w:pPr>
    </w:p>
    <w:p>
      <w:pPr>
        <w:ind w:left="1323"/>
        <w:spacing w:after="0"/>
        <w:rPr>
          <w:sz w:val="20"/>
          <w:szCs w:val="20"/>
          <w:color w:val="auto"/>
        </w:rPr>
      </w:pPr>
      <w:r>
        <w:rPr>
          <w:rFonts w:ascii="Arial" w:cs="Arial" w:eastAsia="Arial" w:hAnsi="Arial"/>
          <w:sz w:val="14"/>
          <w:szCs w:val="14"/>
          <w:color w:val="auto"/>
        </w:rPr>
        <w:t>(8,704 )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21590</wp:posOffset>
            </wp:positionV>
            <wp:extent cx="12344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 w:lineRule="exact"/>
        <w:rPr>
          <w:sz w:val="20"/>
          <w:szCs w:val="20"/>
          <w:color w:val="auto"/>
        </w:rPr>
      </w:pPr>
    </w:p>
    <w:p>
      <w:pPr>
        <w:ind w:left="1303"/>
        <w:spacing w:after="0"/>
        <w:rPr>
          <w:sz w:val="20"/>
          <w:szCs w:val="20"/>
          <w:color w:val="auto"/>
        </w:rPr>
      </w:pPr>
      <w:r>
        <w:rPr>
          <w:rFonts w:ascii="Arial" w:cs="Arial" w:eastAsia="Arial" w:hAnsi="Arial"/>
          <w:sz w:val="16"/>
          <w:szCs w:val="16"/>
          <w:color w:val="auto"/>
        </w:rPr>
        <w:t>13,854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26035"/>
                    </a:xfrm>
                    <a:prstGeom prst="rect">
                      <a:avLst/>
                    </a:prstGeom>
                    <a:noFill/>
                  </pic:spPr>
                </pic:pic>
              </a:graphicData>
            </a:graphic>
          </wp:anchor>
        </w:drawing>
      </w:r>
    </w:p>
    <w:p>
      <w:pPr>
        <w:spacing w:after="0" w:line="22" w:lineRule="exact"/>
        <w:rPr>
          <w:sz w:val="20"/>
          <w:szCs w:val="20"/>
          <w:color w:val="auto"/>
        </w:rPr>
      </w:pPr>
    </w:p>
    <w:p>
      <w:pPr>
        <w:ind w:left="1223"/>
        <w:spacing w:after="0"/>
        <w:rPr>
          <w:sz w:val="20"/>
          <w:szCs w:val="20"/>
          <w:color w:val="auto"/>
        </w:rPr>
      </w:pPr>
      <w:r>
        <w:rPr>
          <w:rFonts w:ascii="Arial" w:cs="Arial" w:eastAsia="Arial" w:hAnsi="Arial"/>
          <w:sz w:val="16"/>
          <w:szCs w:val="16"/>
          <w:color w:val="auto"/>
        </w:rPr>
        <w:t>111,121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123444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154940</wp:posOffset>
            </wp:positionV>
            <wp:extent cx="1234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2603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123444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154940</wp:posOffset>
            </wp:positionV>
            <wp:extent cx="1234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8"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1234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 w:lineRule="exact"/>
        <w:rPr>
          <w:sz w:val="20"/>
          <w:szCs w:val="20"/>
          <w:color w:val="auto"/>
        </w:rPr>
      </w:pPr>
    </w:p>
    <w:p>
      <w:pPr>
        <w:ind w:left="158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158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(61,929 )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1383"/>
        <w:spacing w:after="0"/>
        <w:rPr>
          <w:sz w:val="20"/>
          <w:szCs w:val="20"/>
          <w:color w:val="auto"/>
        </w:rPr>
      </w:pPr>
      <w:r>
        <w:rPr>
          <w:rFonts w:ascii="Arial" w:cs="Arial" w:eastAsia="Arial" w:hAnsi="Arial"/>
          <w:sz w:val="16"/>
          <w:szCs w:val="16"/>
          <w:color w:val="auto"/>
        </w:rPr>
        <w:t>8,222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(1,243 )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(1,214 )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123444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4440" cy="25400"/>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(56,164 )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123444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26035"/>
                    </a:xfrm>
                    <a:prstGeom prst="rect">
                      <a:avLst/>
                    </a:prstGeom>
                    <a:noFill/>
                  </pic:spPr>
                </pic:pic>
              </a:graphicData>
            </a:graphic>
          </wp:anchor>
        </w:drawing>
      </w:r>
    </w:p>
    <w:p>
      <w:pPr>
        <w:spacing w:after="0" w:line="26" w:lineRule="exact"/>
        <w:rPr>
          <w:sz w:val="20"/>
          <w:szCs w:val="20"/>
          <w:color w:val="auto"/>
        </w:rPr>
      </w:pPr>
    </w:p>
    <w:p>
      <w:pPr>
        <w:ind w:left="1303"/>
        <w:spacing w:after="0"/>
        <w:rPr>
          <w:sz w:val="20"/>
          <w:szCs w:val="20"/>
          <w:color w:val="auto"/>
        </w:rPr>
      </w:pPr>
      <w:r>
        <w:rPr>
          <w:rFonts w:ascii="Arial" w:cs="Arial" w:eastAsia="Arial" w:hAnsi="Arial"/>
          <w:sz w:val="16"/>
          <w:szCs w:val="16"/>
          <w:color w:val="auto"/>
        </w:rPr>
        <w:t>43,022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123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 w:lineRule="exact"/>
        <w:rPr>
          <w:sz w:val="20"/>
          <w:szCs w:val="20"/>
          <w:color w:val="auto"/>
        </w:rPr>
      </w:pPr>
    </w:p>
    <w:p>
      <w:pPr>
        <w:ind w:left="1223"/>
        <w:spacing w:after="0"/>
        <w:rPr>
          <w:sz w:val="20"/>
          <w:szCs w:val="20"/>
          <w:color w:val="auto"/>
        </w:rPr>
      </w:pPr>
      <w:r>
        <w:rPr>
          <w:rFonts w:ascii="Arial" w:cs="Arial" w:eastAsia="Arial" w:hAnsi="Arial"/>
          <w:sz w:val="16"/>
          <w:szCs w:val="16"/>
          <w:color w:val="auto"/>
        </w:rPr>
        <w:t>268,520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112268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22680" cy="25400"/>
                    </a:xfrm>
                    <a:prstGeom prst="rect">
                      <a:avLst/>
                    </a:prstGeom>
                    <a:noFill/>
                  </pic:spPr>
                </pic:pic>
              </a:graphicData>
            </a:graphic>
          </wp:anchor>
        </w:drawing>
      </w:r>
    </w:p>
    <w:p>
      <w:pPr>
        <w:spacing w:after="0" w:line="18" w:lineRule="exact"/>
        <w:rPr>
          <w:sz w:val="20"/>
          <w:szCs w:val="20"/>
          <w:color w:val="auto"/>
        </w:rPr>
      </w:pPr>
    </w:p>
    <w:p>
      <w:pPr>
        <w:ind w:left="1223" w:hanging="1223"/>
        <w:spacing w:after="0"/>
        <w:tabs>
          <w:tab w:leader="none" w:pos="122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311,542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-116205</wp:posOffset>
            </wp:positionV>
            <wp:extent cx="111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12065</wp:posOffset>
            </wp:positionV>
            <wp:extent cx="1122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11226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447" w:lineRule="exact"/>
        <w:rPr>
          <w:sz w:val="20"/>
          <w:szCs w:val="20"/>
          <w:color w:val="auto"/>
        </w:rPr>
      </w:pPr>
    </w:p>
    <w:p>
      <w:pPr>
        <w:sectPr>
          <w:pgSz w:w="11900" w:h="16838" w:orient="portrait"/>
          <w:cols w:equalWidth="0" w:num="2">
            <w:col w:w="9140" w:space="237"/>
            <w:col w:w="1823"/>
          </w:cols>
          <w:pgMar w:left="320" w:top="319" w:right="379" w:bottom="1440" w:gutter="0" w:footer="0" w:header="0"/>
          <w:type w:val="continuous"/>
        </w:sectPr>
      </w:pP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20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80" w:type="dxa"/>
            <w:vAlign w:val="bottom"/>
            <w:tcBorders>
              <w:bottom w:val="single" w:sz="8" w:color="004483"/>
            </w:tcBorders>
            <w:gridSpan w:val="4"/>
          </w:tcPr>
          <w:p>
            <w:pPr>
              <w:spacing w:after="0"/>
              <w:rPr>
                <w:sz w:val="20"/>
                <w:szCs w:val="20"/>
                <w:color w:val="auto"/>
              </w:rPr>
            </w:pPr>
            <w:r>
              <w:rPr>
                <w:rFonts w:ascii="Arial" w:cs="Arial" w:eastAsia="Arial" w:hAnsi="Arial"/>
                <w:sz w:val="13"/>
                <w:szCs w:val="13"/>
                <w:color w:val="auto"/>
                <w:w w:val="93"/>
              </w:rPr>
              <w:t>(dollars in thousands)</w:t>
            </w:r>
          </w:p>
        </w:tc>
        <w:tc>
          <w:tcPr>
            <w:tcW w:w="22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6"/>
                <w:szCs w:val="16"/>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62,497</w:t>
            </w:r>
          </w:p>
        </w:tc>
        <w:tc>
          <w:tcPr>
            <w:tcW w:w="100" w:type="dxa"/>
            <w:vAlign w:val="bottom"/>
          </w:tcPr>
          <w:p>
            <w:pPr>
              <w:spacing w:after="0"/>
              <w:rPr>
                <w:sz w:val="16"/>
                <w:szCs w:val="16"/>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1,299,509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(3,440 )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1,358,990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30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95,327</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95,327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2,455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Issuances</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8,222</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(1,214</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(61,925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(61,929</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Shareholders</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(10,547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(10,547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3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6A6A6"/>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22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June 30, 2021</w:t>
            </w: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004483"/>
            </w:tcBorders>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10,035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004483"/>
            </w:tcBorders>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1,384,289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004483"/>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(3,413</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1,391,332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20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80" w:type="dxa"/>
            <w:vAlign w:val="bottom"/>
            <w:tcBorders>
              <w:bottom w:val="single" w:sz="8" w:color="004483"/>
            </w:tcBorders>
            <w:gridSpan w:val="4"/>
          </w:tcPr>
          <w:p>
            <w:pPr>
              <w:spacing w:after="0"/>
              <w:rPr>
                <w:sz w:val="20"/>
                <w:szCs w:val="20"/>
                <w:color w:val="auto"/>
              </w:rPr>
            </w:pPr>
            <w:r>
              <w:rPr>
                <w:rFonts w:ascii="Arial" w:cs="Arial" w:eastAsia="Arial" w:hAnsi="Arial"/>
                <w:sz w:val="13"/>
                <w:szCs w:val="13"/>
                <w:color w:val="auto"/>
                <w:w w:val="93"/>
              </w:rPr>
              <w:t>(dollars in thousands)</w:t>
            </w:r>
          </w:p>
        </w:tc>
        <w:tc>
          <w:tcPr>
            <w:tcW w:w="22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6"/>
                <w:szCs w:val="16"/>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1,136,344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(3,175 )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1,133,556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30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105,005</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2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5,146</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Issuances</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666</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(4,315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(105,289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(109,612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Shareholders</w:t>
            </w:r>
          </w:p>
        </w:tc>
        <w:tc>
          <w:tcPr>
            <w:tcW w:w="30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(9,507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(9,507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3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6A6A6"/>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22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1,126,553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(3,152</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1,123,781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-12700</wp:posOffset>
            </wp:positionV>
            <wp:extent cx="39604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39604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34"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The accompanying unaudited consolidated financial statements as of and for the three-month period ended June 30, 2022,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20, 2022.</w:t>
      </w:r>
    </w:p>
    <w:p>
      <w:pPr>
        <w:spacing w:after="0" w:line="9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98"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 accounting pronouncements that are expected to materially affect the Company.</w:t>
      </w:r>
    </w:p>
    <w:p>
      <w:pPr>
        <w:spacing w:after="0" w:line="21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34"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480" w:type="dxa"/>
            <w:vAlign w:val="bottom"/>
            <w:shd w:val="clear" w:color="auto" w:fill="004483"/>
          </w:tcPr>
          <w:p>
            <w:pPr>
              <w:spacing w:after="0"/>
              <w:rPr>
                <w:sz w:val="17"/>
                <w:szCs w:val="17"/>
                <w:color w:val="auto"/>
              </w:rPr>
            </w:pPr>
          </w:p>
        </w:tc>
        <w:tc>
          <w:tcPr>
            <w:tcW w:w="2640" w:type="dxa"/>
            <w:vAlign w:val="bottom"/>
            <w:gridSpan w:val="3"/>
            <w:shd w:val="clear" w:color="auto" w:fill="004483"/>
          </w:tcPr>
          <w:p>
            <w:pPr>
              <w:jc w:val="center"/>
              <w:ind w:left="108"/>
              <w:spacing w:after="0"/>
              <w:rPr>
                <w:sz w:val="20"/>
                <w:szCs w:val="20"/>
                <w:color w:val="auto"/>
              </w:rPr>
            </w:pPr>
            <w:r>
              <w:rPr>
                <w:rFonts w:ascii="Arial" w:cs="Arial" w:eastAsia="Arial" w:hAnsi="Arial"/>
                <w:sz w:val="13"/>
                <w:szCs w:val="13"/>
                <w:b w:val="1"/>
                <w:bCs w:val="1"/>
                <w:color w:val="FFFFFF"/>
                <w:w w:val="88"/>
              </w:rPr>
              <w:t>For the Three Months Ended June 30,</w:t>
            </w:r>
          </w:p>
        </w:tc>
        <w:tc>
          <w:tcPr>
            <w:tcW w:w="660" w:type="dxa"/>
            <w:vAlign w:val="bottom"/>
            <w:shd w:val="clear" w:color="auto" w:fill="004483"/>
          </w:tcPr>
          <w:p>
            <w:pPr>
              <w:spacing w:after="0"/>
              <w:rPr>
                <w:sz w:val="17"/>
                <w:szCs w:val="17"/>
                <w:color w:val="auto"/>
              </w:rPr>
            </w:pPr>
          </w:p>
        </w:tc>
        <w:tc>
          <w:tcPr>
            <w:tcW w:w="100" w:type="dxa"/>
            <w:vAlign w:val="bottom"/>
            <w:shd w:val="clear" w:color="auto" w:fill="004483"/>
          </w:tcPr>
          <w:p>
            <w:pPr>
              <w:spacing w:after="0"/>
              <w:rPr>
                <w:sz w:val="17"/>
                <w:szCs w:val="17"/>
                <w:color w:val="auto"/>
              </w:rPr>
            </w:pPr>
          </w:p>
        </w:tc>
      </w:tr>
      <w:tr>
        <w:trPr>
          <w:trHeight w:val="134"/>
        </w:trPr>
        <w:tc>
          <w:tcPr>
            <w:tcW w:w="7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36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640" w:type="dxa"/>
            <w:vAlign w:val="bottom"/>
            <w:tcBorders>
              <w:bottom w:val="single" w:sz="8" w:color="004483"/>
            </w:tcBorders>
            <w:gridSpan w:val="3"/>
          </w:tcPr>
          <w:p>
            <w:pPr>
              <w:jc w:val="center"/>
              <w:ind w:left="108"/>
              <w:spacing w:after="0"/>
              <w:rPr>
                <w:sz w:val="20"/>
                <w:szCs w:val="20"/>
                <w:color w:val="auto"/>
              </w:rPr>
            </w:pPr>
            <w:r>
              <w:rPr>
                <w:rFonts w:ascii="Arial" w:cs="Arial" w:eastAsia="Arial" w:hAnsi="Arial"/>
                <w:sz w:val="13"/>
                <w:szCs w:val="13"/>
                <w:color w:val="auto"/>
                <w:w w:val="88"/>
              </w:rPr>
              <w:t>(dollars in thousands)</w:t>
            </w:r>
          </w:p>
        </w:tc>
        <w:tc>
          <w:tcPr>
            <w:tcW w:w="6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3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Payments</w:t>
            </w:r>
          </w:p>
        </w:tc>
        <w:tc>
          <w:tcPr>
            <w:tcW w:w="480" w:type="dxa"/>
            <w:vAlign w:val="bottom"/>
            <w:tcBorders>
              <w:bottom w:val="single" w:sz="8" w:color="A6A6A6"/>
            </w:tcBorders>
          </w:tcPr>
          <w:p>
            <w:pPr>
              <w:spacing w:after="0"/>
              <w:rPr>
                <w:sz w:val="17"/>
                <w:szCs w:val="17"/>
                <w:color w:val="auto"/>
              </w:rPr>
            </w:pPr>
          </w:p>
        </w:tc>
        <w:tc>
          <w:tcPr>
            <w:tcW w:w="11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36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1,005</w:t>
            </w:r>
          </w:p>
        </w:tc>
        <w:tc>
          <w:tcPr>
            <w:tcW w:w="1460" w:type="dxa"/>
            <w:vAlign w:val="bottom"/>
            <w:gridSpan w:val="2"/>
          </w:tcPr>
          <w:p>
            <w:pPr>
              <w:jc w:val="right"/>
              <w:ind w:right="10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2,945</w:t>
            </w:r>
          </w:p>
        </w:tc>
        <w:tc>
          <w:tcPr>
            <w:tcW w:w="100" w:type="dxa"/>
            <w:vAlign w:val="bottom"/>
          </w:tcPr>
          <w:p>
            <w:pPr>
              <w:spacing w:after="0"/>
              <w:rPr>
                <w:sz w:val="17"/>
                <w:szCs w:val="17"/>
                <w:color w:val="auto"/>
              </w:rPr>
            </w:pPr>
          </w:p>
        </w:tc>
      </w:tr>
      <w:tr>
        <w:trPr>
          <w:trHeight w:val="196"/>
        </w:trPr>
        <w:tc>
          <w:tcPr>
            <w:tcW w:w="73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480" w:type="dxa"/>
            <w:vAlign w:val="bottom"/>
            <w:tcBorders>
              <w:top w:val="single" w:sz="8" w:color="A6A6A6"/>
              <w:bottom w:val="single" w:sz="8" w:color="A6A6A6"/>
            </w:tcBorders>
          </w:tcPr>
          <w:p>
            <w:pPr>
              <w:spacing w:after="0"/>
              <w:rPr>
                <w:sz w:val="17"/>
                <w:szCs w:val="17"/>
                <w:color w:val="auto"/>
              </w:rPr>
            </w:pPr>
          </w:p>
        </w:tc>
        <w:tc>
          <w:tcPr>
            <w:tcW w:w="11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7"/>
                <w:szCs w:val="17"/>
                <w:color w:val="auto"/>
              </w:rPr>
            </w:pPr>
          </w:p>
        </w:tc>
        <w:tc>
          <w:tcPr>
            <w:tcW w:w="1340" w:type="dxa"/>
            <w:vAlign w:val="bottom"/>
            <w:tcBorders>
              <w:top w:val="single" w:sz="8" w:color="A6A6A6"/>
              <w:bottom w:val="single" w:sz="8" w:color="A6A6A6"/>
            </w:tcBorders>
          </w:tcPr>
          <w:p>
            <w:pPr>
              <w:spacing w:after="0"/>
              <w:rPr>
                <w:sz w:val="17"/>
                <w:szCs w:val="17"/>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10,010</w:t>
            </w:r>
          </w:p>
        </w:tc>
        <w:tc>
          <w:tcPr>
            <w:tcW w:w="100" w:type="dxa"/>
            <w:vAlign w:val="bottom"/>
          </w:tcPr>
          <w:p>
            <w:pPr>
              <w:spacing w:after="0"/>
              <w:rPr>
                <w:sz w:val="17"/>
                <w:szCs w:val="17"/>
                <w:color w:val="auto"/>
              </w:rPr>
            </w:pPr>
          </w:p>
        </w:tc>
      </w:tr>
      <w:tr>
        <w:trPr>
          <w:trHeight w:val="196"/>
        </w:trPr>
        <w:tc>
          <w:tcPr>
            <w:tcW w:w="73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480" w:type="dxa"/>
            <w:vAlign w:val="bottom"/>
            <w:tcBorders>
              <w:bottom w:val="single" w:sz="8" w:color="A6A6A6"/>
            </w:tcBorders>
          </w:tcPr>
          <w:p>
            <w:pPr>
              <w:spacing w:after="0"/>
              <w:rPr>
                <w:sz w:val="17"/>
                <w:szCs w:val="17"/>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 ACQUISITION</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On April 22, 2022, we purchased the assets of a readymix concrete and aggregates business (the ConAgg Acquisition). The purchase price (Purchase Price) of the ConAgg Acquisition was approximately $121.2 million. The purchase price allocation has not yet been finalized. The Purchase Price and expenses incurred in connection with the ConAgg Acquisition were funded through borrowings under our revolving credit facility. Operations related to the ConAgg Acquisition are included in the Concrete and Aggregates business in our segment reporting from April 22, 2022 through June 30, 2022.</w:t>
      </w:r>
    </w:p>
    <w:p>
      <w:pPr>
        <w:spacing w:after="0" w:line="206"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The following table summarizes the preliminary allocation of the Purchase Price to assets acquired and liabilities assumed as of June 30,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80" w:type="dxa"/>
            <w:vAlign w:val="bottom"/>
            <w:tcBorders>
              <w:bottom w:val="single" w:sz="8" w:color="004483"/>
            </w:tcBorders>
          </w:tcPr>
          <w:p>
            <w:pPr>
              <w:spacing w:after="0"/>
              <w:rPr>
                <w:sz w:val="16"/>
                <w:szCs w:val="16"/>
                <w:color w:val="auto"/>
              </w:rPr>
            </w:pPr>
          </w:p>
        </w:tc>
        <w:tc>
          <w:tcPr>
            <w:tcW w:w="600" w:type="dxa"/>
            <w:vAlign w:val="bottom"/>
            <w:tcBorders>
              <w:bottom w:val="single" w:sz="8" w:color="004483"/>
            </w:tcBorders>
          </w:tcPr>
          <w:p>
            <w:pPr>
              <w:spacing w:after="0"/>
              <w:rPr>
                <w:sz w:val="16"/>
                <w:szCs w:val="16"/>
                <w:color w:val="auto"/>
              </w:rPr>
            </w:pPr>
          </w:p>
        </w:tc>
        <w:tc>
          <w:tcPr>
            <w:tcW w:w="16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Estimated Fair Value</w:t>
            </w:r>
          </w:p>
        </w:tc>
      </w:tr>
      <w:tr>
        <w:trPr>
          <w:trHeight w:val="189"/>
        </w:trPr>
        <w:tc>
          <w:tcPr>
            <w:tcW w:w="88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Working Capital</w:t>
            </w:r>
          </w:p>
        </w:tc>
        <w:tc>
          <w:tcPr>
            <w:tcW w:w="60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12,130</w:t>
            </w:r>
          </w:p>
        </w:tc>
      </w:tr>
      <w:tr>
        <w:trPr>
          <w:trHeight w:val="183"/>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Property, Plant, and Equipment</w:t>
            </w:r>
          </w:p>
        </w:tc>
        <w:tc>
          <w:tcPr>
            <w:tcW w:w="600" w:type="dxa"/>
            <w:vAlign w:val="bottom"/>
            <w:tcBorders>
              <w:bottom w:val="single" w:sz="8" w:color="A6A6A6"/>
            </w:tcBorders>
          </w:tcPr>
          <w:p>
            <w:pPr>
              <w:spacing w:after="0"/>
              <w:rPr>
                <w:sz w:val="15"/>
                <w:szCs w:val="15"/>
                <w:color w:val="auto"/>
              </w:rPr>
            </w:pPr>
          </w:p>
        </w:tc>
        <w:tc>
          <w:tcPr>
            <w:tcW w:w="1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39,489</w:t>
            </w:r>
          </w:p>
        </w:tc>
      </w:tr>
      <w:tr>
        <w:trPr>
          <w:trHeight w:val="183"/>
        </w:trPr>
        <w:tc>
          <w:tcPr>
            <w:tcW w:w="8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Intangible Assets</w:t>
            </w:r>
          </w:p>
        </w:tc>
        <w:tc>
          <w:tcPr>
            <w:tcW w:w="600" w:type="dxa"/>
            <w:vAlign w:val="bottom"/>
            <w:tcBorders>
              <w:bottom w:val="single" w:sz="8" w:color="A6A6A6"/>
            </w:tcBorders>
          </w:tcPr>
          <w:p>
            <w:pPr>
              <w:spacing w:after="0"/>
              <w:rPr>
                <w:sz w:val="15"/>
                <w:szCs w:val="15"/>
                <w:color w:val="auto"/>
              </w:rPr>
            </w:pPr>
          </w:p>
        </w:tc>
        <w:tc>
          <w:tcPr>
            <w:tcW w:w="1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30,800</w:t>
            </w:r>
          </w:p>
        </w:tc>
      </w:tr>
      <w:tr>
        <w:trPr>
          <w:trHeight w:val="183"/>
        </w:trPr>
        <w:tc>
          <w:tcPr>
            <w:tcW w:w="88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Goodwill</w:t>
            </w:r>
          </w:p>
        </w:tc>
        <w:tc>
          <w:tcPr>
            <w:tcW w:w="600" w:type="dxa"/>
            <w:vAlign w:val="bottom"/>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Arial" w:cs="Arial" w:eastAsia="Arial" w:hAnsi="Arial"/>
                <w:sz w:val="16"/>
                <w:szCs w:val="16"/>
                <w:color w:val="auto"/>
              </w:rPr>
              <w:t>38,743</w:t>
            </w:r>
          </w:p>
        </w:tc>
      </w:tr>
      <w:tr>
        <w:trPr>
          <w:trHeight w:val="27"/>
        </w:trPr>
        <w:tc>
          <w:tcPr>
            <w:tcW w:w="888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1660" w:type="dxa"/>
            <w:vAlign w:val="bottom"/>
            <w:tcBorders>
              <w:bottom w:val="single" w:sz="8" w:color="004483"/>
            </w:tcBorders>
            <w:shd w:val="clear" w:color="auto" w:fill="004483"/>
          </w:tcPr>
          <w:p>
            <w:pPr>
              <w:spacing w:after="0"/>
              <w:rPr>
                <w:sz w:val="2"/>
                <w:szCs w:val="2"/>
                <w:color w:val="auto"/>
              </w:rPr>
            </w:pPr>
          </w:p>
        </w:tc>
      </w:tr>
      <w:tr>
        <w:trPr>
          <w:trHeight w:val="183"/>
        </w:trPr>
        <w:tc>
          <w:tcPr>
            <w:tcW w:w="888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Estimated Purchase Price</w:t>
            </w:r>
          </w:p>
        </w:tc>
        <w:tc>
          <w:tcPr>
            <w:tcW w:w="600" w:type="dxa"/>
            <w:vAlign w:val="bottom"/>
            <w:tcBorders>
              <w:bottom w:val="single" w:sz="8" w:color="004483"/>
            </w:tcBorders>
          </w:tcPr>
          <w:p>
            <w:pPr>
              <w:jc w:val="right"/>
              <w:ind w:right="419"/>
              <w:spacing w:after="0" w:line="183" w:lineRule="exact"/>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121,162</w:t>
            </w:r>
          </w:p>
        </w:tc>
      </w:tr>
      <w:tr>
        <w:trPr>
          <w:trHeight w:val="20"/>
        </w:trPr>
        <w:tc>
          <w:tcPr>
            <w:tcW w:w="888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66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60"/>
        <w:spacing w:after="0" w:line="293"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range from 2 to 15 years.</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following table presents the Revenue and Operating Loss related to the ConAgg Acquisition that has been included in our Consolidated Statement of Earnings from April 22, 2022 through June 30, 2022.</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gridSpan w:val="2"/>
          </w:tcPr>
          <w:p>
            <w:pPr>
              <w:jc w:val="right"/>
              <w:ind w:right="599"/>
              <w:spacing w:after="0"/>
              <w:rPr>
                <w:sz w:val="20"/>
                <w:szCs w:val="20"/>
                <w:color w:val="auto"/>
              </w:rPr>
            </w:pPr>
            <w:r>
              <w:rPr>
                <w:rFonts w:ascii="Arial" w:cs="Arial" w:eastAsia="Arial" w:hAnsi="Arial"/>
                <w:sz w:val="13"/>
                <w:szCs w:val="13"/>
                <w:color w:val="auto"/>
              </w:rPr>
              <w:t>(dollars in thousands)</w:t>
            </w:r>
          </w:p>
        </w:tc>
      </w:tr>
      <w:tr>
        <w:trPr>
          <w:trHeight w:val="189"/>
        </w:trPr>
        <w:tc>
          <w:tcPr>
            <w:tcW w:w="49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4220" w:type="dxa"/>
            <w:vAlign w:val="bottom"/>
            <w:tcBorders>
              <w:top w:val="single" w:sz="8" w:color="004483"/>
              <w:bottom w:val="single" w:sz="8" w:color="A6A6A6"/>
            </w:tcBorders>
          </w:tcPr>
          <w:p>
            <w:pPr>
              <w:jc w:val="right"/>
              <w:ind w:right="179"/>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11,030</w:t>
            </w:r>
          </w:p>
        </w:tc>
        <w:tc>
          <w:tcPr>
            <w:tcW w:w="60" w:type="dxa"/>
            <w:vAlign w:val="bottom"/>
          </w:tcPr>
          <w:p>
            <w:pPr>
              <w:spacing w:after="0"/>
              <w:rPr>
                <w:sz w:val="16"/>
                <w:szCs w:val="16"/>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Operating Loss</w:t>
            </w:r>
          </w:p>
        </w:tc>
        <w:tc>
          <w:tcPr>
            <w:tcW w:w="4220" w:type="dxa"/>
            <w:vAlign w:val="bottom"/>
            <w:tcBorders>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pacing w:after="0" w:line="231"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Included in Operating Loss shown above is approximately $2.0 million and $1.2 million related to depreciation and amortization and the recording of acquired inventories at fair value,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48"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is originated by purchase orders from our customers, who are mostly third-party contractors and suppliers. Revenue from our Recycled Paperboard segment is generated mainly through long-term supply agreements that mature in 2025. We invoice customers upon shipment, and our collection terms range from 30-75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10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9" w:name="page10"/>
    <w:bookmarkEnd w:id="9"/>
    <w:p>
      <w:pPr>
        <w:ind w:right="20"/>
        <w:spacing w:after="0" w:line="285"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97"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4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Accounts Receivable are shown net of the allowance for doubtful accounts totaling $6.7 million at both June 30, 2022 and March 31, 2022.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9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We had Notes Receivable totaling approximately $8.5 million at June 30, 2022, none of which was classified as current. We lend funds to certain companies in the ordinary course of business, and the notes bear interest, on average, at 3.1%. Remaining unpaid amounts, plus accrued interest, mature in fiscal 2025.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34"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100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7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00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77,652</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81,308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Finished Cement</w:t>
            </w:r>
          </w:p>
        </w:tc>
        <w:tc>
          <w:tcPr>
            <w:tcW w:w="58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34,653</w:t>
            </w:r>
          </w:p>
        </w:tc>
        <w:tc>
          <w:tcPr>
            <w:tcW w:w="12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38,769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Aggregates</w:t>
            </w:r>
          </w:p>
        </w:tc>
        <w:tc>
          <w:tcPr>
            <w:tcW w:w="58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7,436</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Gypsum Wallboard</w:t>
            </w:r>
          </w:p>
        </w:tc>
        <w:tc>
          <w:tcPr>
            <w:tcW w:w="58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3,665</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Paperboard</w:t>
            </w:r>
          </w:p>
        </w:tc>
        <w:tc>
          <w:tcPr>
            <w:tcW w:w="58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5,051</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Repair Parts and Supplies</w:t>
            </w:r>
          </w:p>
        </w:tc>
        <w:tc>
          <w:tcPr>
            <w:tcW w:w="58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92,123</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91,593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004483"/>
              </w:rPr>
              <w:t>Fuel and Coal</w:t>
            </w:r>
          </w:p>
        </w:tc>
        <w:tc>
          <w:tcPr>
            <w:tcW w:w="5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12,963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10,519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233,543</w:t>
            </w:r>
          </w:p>
        </w:tc>
        <w:tc>
          <w:tcPr>
            <w:tcW w:w="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236,661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(G) ACCRUED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9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7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004483"/>
            </w:tcBorders>
          </w:tcPr>
          <w:p>
            <w:pPr>
              <w:spacing w:after="0"/>
              <w:rPr>
                <w:sz w:val="15"/>
                <w:szCs w:val="15"/>
                <w:color w:val="auto"/>
              </w:rPr>
            </w:pPr>
          </w:p>
        </w:tc>
        <w:tc>
          <w:tcPr>
            <w:tcW w:w="620" w:type="dxa"/>
            <w:vAlign w:val="bottom"/>
            <w:tcBorders>
              <w:bottom w:val="single" w:sz="8" w:color="004483"/>
            </w:tcBorders>
          </w:tcPr>
          <w:p>
            <w:pPr>
              <w:spacing w:after="0"/>
              <w:rPr>
                <w:sz w:val="15"/>
                <w:szCs w:val="15"/>
                <w:color w:val="auto"/>
              </w:rPr>
            </w:pPr>
          </w:p>
        </w:tc>
        <w:tc>
          <w:tcPr>
            <w:tcW w:w="196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26,564</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37,262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w:t>
            </w:r>
          </w:p>
        </w:tc>
        <w:tc>
          <w:tcPr>
            <w:tcW w:w="620" w:type="dxa"/>
            <w:vAlign w:val="bottom"/>
            <w:tcBorders>
              <w:top w:val="single" w:sz="8" w:color="A6A6A6"/>
              <w:bottom w:val="single" w:sz="8" w:color="A6A6A6"/>
            </w:tcBorders>
          </w:tcPr>
          <w:p>
            <w:pPr>
              <w:spacing w:after="0"/>
              <w:rPr>
                <w:sz w:val="15"/>
                <w:szCs w:val="15"/>
                <w:color w:val="auto"/>
              </w:rPr>
            </w:pPr>
          </w:p>
        </w:tc>
        <w:tc>
          <w:tcPr>
            <w:tcW w:w="9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14,922</w:t>
            </w:r>
          </w:p>
        </w:tc>
        <w:tc>
          <w:tcPr>
            <w:tcW w:w="12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9,559</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9,756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10,928</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Taxes</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8,383</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Power and Fuel</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5,297</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2,138</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Legal and Professional</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1,369</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and Use Tax</w:t>
            </w:r>
          </w:p>
        </w:tc>
        <w:tc>
          <w:tcPr>
            <w:tcW w:w="6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2,051</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004483"/>
              </w:rPr>
              <w:t>Other</w:t>
            </w:r>
          </w:p>
        </w:tc>
        <w:tc>
          <w:tcPr>
            <w:tcW w:w="6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7,069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A6A6A6"/>
            </w:tcBorders>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620" w:type="dxa"/>
            <w:vAlign w:val="bottom"/>
            <w:tcBorders>
              <w:bottom w:val="single" w:sz="8" w:color="004483"/>
            </w:tcBorders>
          </w:tcPr>
          <w:p>
            <w:pPr>
              <w:jc w:val="right"/>
              <w:ind w:right="43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88,280</w:t>
            </w:r>
          </w:p>
        </w:tc>
        <w:tc>
          <w:tcPr>
            <w:tcW w:w="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86,754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LEASES</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440" w:type="dxa"/>
            <w:vAlign w:val="bottom"/>
            <w:shd w:val="clear" w:color="auto" w:fill="004483"/>
          </w:tcPr>
          <w:p>
            <w:pPr>
              <w:spacing w:after="0"/>
              <w:rPr>
                <w:sz w:val="17"/>
                <w:szCs w:val="17"/>
                <w:color w:val="auto"/>
              </w:rPr>
            </w:pPr>
          </w:p>
        </w:tc>
        <w:tc>
          <w:tcPr>
            <w:tcW w:w="2720" w:type="dxa"/>
            <w:vAlign w:val="bottom"/>
            <w:gridSpan w:val="4"/>
            <w:shd w:val="clear" w:color="auto" w:fill="004483"/>
          </w:tcPr>
          <w:p>
            <w:pPr>
              <w:jc w:val="right"/>
              <w:ind w:right="99"/>
              <w:spacing w:after="0"/>
              <w:rPr>
                <w:sz w:val="20"/>
                <w:szCs w:val="20"/>
                <w:color w:val="auto"/>
              </w:rPr>
            </w:pPr>
            <w:r>
              <w:rPr>
                <w:rFonts w:ascii="Arial" w:cs="Arial" w:eastAsia="Arial" w:hAnsi="Arial"/>
                <w:sz w:val="13"/>
                <w:szCs w:val="13"/>
                <w:b w:val="1"/>
                <w:bCs w:val="1"/>
                <w:color w:val="FFFFFF"/>
              </w:rPr>
              <w:t>For the Three Months Ended June 30,</w:t>
            </w:r>
          </w:p>
        </w:tc>
        <w:tc>
          <w:tcPr>
            <w:tcW w:w="740" w:type="dxa"/>
            <w:vAlign w:val="bottom"/>
            <w:shd w:val="clear" w:color="auto" w:fill="004483"/>
          </w:tcPr>
          <w:p>
            <w:pPr>
              <w:spacing w:after="0"/>
              <w:rPr>
                <w:sz w:val="17"/>
                <w:szCs w:val="17"/>
                <w:color w:val="auto"/>
              </w:rPr>
            </w:pPr>
          </w:p>
        </w:tc>
        <w:tc>
          <w:tcPr>
            <w:tcW w:w="100" w:type="dxa"/>
            <w:vAlign w:val="bottom"/>
            <w:shd w:val="clear" w:color="auto" w:fill="004483"/>
          </w:tcPr>
          <w:p>
            <w:pPr>
              <w:spacing w:after="0"/>
              <w:rPr>
                <w:sz w:val="17"/>
                <w:szCs w:val="17"/>
                <w:color w:val="auto"/>
              </w:rPr>
            </w:pPr>
          </w:p>
        </w:tc>
      </w:tr>
      <w:tr>
        <w:trPr>
          <w:trHeight w:val="141"/>
        </w:trPr>
        <w:tc>
          <w:tcPr>
            <w:tcW w:w="7240" w:type="dxa"/>
            <w:vAlign w:val="bottom"/>
          </w:tcPr>
          <w:p>
            <w:pPr>
              <w:spacing w:after="0"/>
              <w:rPr>
                <w:sz w:val="12"/>
                <w:szCs w:val="12"/>
                <w:color w:val="auto"/>
              </w:rPr>
            </w:pPr>
          </w:p>
        </w:tc>
        <w:tc>
          <w:tcPr>
            <w:tcW w:w="440" w:type="dxa"/>
            <w:vAlign w:val="bottom"/>
            <w:tcBorders>
              <w:top w:val="single" w:sz="8" w:color="A6A6A6"/>
            </w:tcBorders>
          </w:tcPr>
          <w:p>
            <w:pPr>
              <w:spacing w:after="0"/>
              <w:rPr>
                <w:sz w:val="12"/>
                <w:szCs w:val="12"/>
                <w:color w:val="auto"/>
              </w:rPr>
            </w:pPr>
          </w:p>
        </w:tc>
        <w:tc>
          <w:tcPr>
            <w:tcW w:w="1300" w:type="dxa"/>
            <w:vAlign w:val="bottom"/>
            <w:tcBorders>
              <w:top w:val="single" w:sz="8" w:color="A6A6A6"/>
            </w:tcBorders>
          </w:tcPr>
          <w:p>
            <w:pPr>
              <w:jc w:val="right"/>
              <w:spacing w:after="0" w:line="141"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right"/>
              <w:ind w:right="579"/>
              <w:spacing w:after="0"/>
              <w:rPr>
                <w:sz w:val="20"/>
                <w:szCs w:val="20"/>
                <w:color w:val="auto"/>
              </w:rPr>
            </w:pPr>
            <w:r>
              <w:rPr>
                <w:rFonts w:ascii="Arial" w:cs="Arial" w:eastAsia="Arial" w:hAnsi="Arial"/>
                <w:sz w:val="13"/>
                <w:szCs w:val="13"/>
                <w:color w:val="auto"/>
              </w:rPr>
              <w:t>(dollars in thousands)</w:t>
            </w:r>
          </w:p>
        </w:tc>
        <w:tc>
          <w:tcPr>
            <w:tcW w:w="7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 Cost</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ind w:right="9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7"/>
                <w:szCs w:val="17"/>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color w:val="004483"/>
              </w:rPr>
              <w:t>Short-term Lease Cost</w:t>
            </w:r>
          </w:p>
        </w:tc>
        <w:tc>
          <w:tcPr>
            <w:tcW w:w="4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149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502</w:t>
            </w:r>
          </w:p>
        </w:tc>
        <w:tc>
          <w:tcPr>
            <w:tcW w:w="100" w:type="dxa"/>
            <w:vAlign w:val="bottom"/>
          </w:tcPr>
          <w:p>
            <w:pPr>
              <w:spacing w:after="0"/>
              <w:rPr>
                <w:sz w:val="15"/>
                <w:szCs w:val="15"/>
                <w:color w:val="auto"/>
              </w:rPr>
            </w:pPr>
          </w:p>
        </w:tc>
      </w:tr>
      <w:tr>
        <w:trPr>
          <w:trHeight w:val="27"/>
        </w:trPr>
        <w:tc>
          <w:tcPr>
            <w:tcW w:w="724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3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2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Lease Cost</w:t>
            </w:r>
          </w:p>
        </w:tc>
        <w:tc>
          <w:tcPr>
            <w:tcW w:w="440" w:type="dxa"/>
            <w:vAlign w:val="bottom"/>
            <w:tcBorders>
              <w:bottom w:val="single" w:sz="8" w:color="004483"/>
            </w:tcBorders>
          </w:tcPr>
          <w:p>
            <w:pPr>
              <w:jc w:val="right"/>
              <w:ind w:right="25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004483"/>
            </w:tcBorders>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5"/>
                <w:szCs w:val="15"/>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680" w:type="dxa"/>
            <w:vAlign w:val="bottom"/>
            <w:gridSpan w:val="2"/>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7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gridSpan w:val="3"/>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r>
      <w:tr>
        <w:trPr>
          <w:trHeight w:val="203"/>
        </w:trPr>
        <w:tc>
          <w:tcPr>
            <w:tcW w:w="7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140" w:type="dxa"/>
            <w:vAlign w:val="bottom"/>
            <w:shd w:val="clear" w:color="auto" w:fill="004483"/>
          </w:tcPr>
          <w:p>
            <w:pPr>
              <w:spacing w:after="0"/>
              <w:rPr>
                <w:sz w:val="17"/>
                <w:szCs w:val="17"/>
                <w:color w:val="auto"/>
              </w:rPr>
            </w:pPr>
          </w:p>
        </w:tc>
        <w:tc>
          <w:tcPr>
            <w:tcW w:w="840" w:type="dxa"/>
            <w:vAlign w:val="bottom"/>
            <w:gridSpan w:val="2"/>
            <w:shd w:val="clear" w:color="auto" w:fill="004483"/>
          </w:tcPr>
          <w:p>
            <w:pPr>
              <w:ind w:left="160"/>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7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right"/>
              <w:ind w:right="359"/>
              <w:spacing w:after="0"/>
              <w:rPr>
                <w:sz w:val="20"/>
                <w:szCs w:val="20"/>
                <w:color w:val="auto"/>
              </w:rPr>
            </w:pPr>
            <w:r>
              <w:rPr>
                <w:rFonts w:ascii="Arial" w:cs="Arial" w:eastAsia="Arial" w:hAnsi="Arial"/>
                <w:sz w:val="13"/>
                <w:szCs w:val="13"/>
                <w:color w:val="auto"/>
              </w:rPr>
              <w:t>(dollars in thousands)</w:t>
            </w:r>
          </w:p>
        </w:tc>
        <w:tc>
          <w:tcPr>
            <w:tcW w:w="7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382"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Borders>
              <w:top w:val="single" w:sz="8" w:color="A6A6A6"/>
            </w:tcBorders>
          </w:tcPr>
          <w:p>
            <w:pPr>
              <w:ind w:left="120"/>
              <w:spacing w:after="0" w:line="183" w:lineRule="exact"/>
              <w:rPr>
                <w:sz w:val="20"/>
                <w:szCs w:val="20"/>
                <w:color w:val="auto"/>
              </w:rPr>
            </w:pPr>
            <w:r>
              <w:rPr>
                <w:rFonts w:ascii="Arial" w:cs="Arial" w:eastAsia="Arial" w:hAnsi="Arial"/>
                <w:sz w:val="16"/>
                <w:szCs w:val="16"/>
                <w:color w:val="004483"/>
              </w:rPr>
              <w:t>Operating Lease Right-of-Use Assets</w:t>
            </w:r>
          </w:p>
        </w:tc>
        <w:tc>
          <w:tcPr>
            <w:tcW w:w="620" w:type="dxa"/>
            <w:vAlign w:val="bottom"/>
            <w:tcBorders>
              <w:top w:val="single" w:sz="8" w:color="A6A6A6"/>
              <w:bottom w:val="single" w:sz="8" w:color="004483"/>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22,960</w:t>
            </w:r>
          </w:p>
        </w:tc>
      </w:tr>
      <w:tr>
        <w:trPr>
          <w:trHeight w:val="20"/>
        </w:trPr>
        <w:tc>
          <w:tcPr>
            <w:tcW w:w="768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169"/>
        </w:trPr>
        <w:tc>
          <w:tcPr>
            <w:tcW w:w="7680" w:type="dxa"/>
            <w:vAlign w:val="bottom"/>
            <w:tcBorders>
              <w:bottom w:val="single" w:sz="8" w:color="A6A6A6"/>
            </w:tcBorders>
          </w:tcPr>
          <w:p>
            <w:pPr>
              <w:spacing w:after="0"/>
              <w:rPr>
                <w:sz w:val="14"/>
                <w:szCs w:val="14"/>
                <w:color w:val="auto"/>
              </w:rPr>
            </w:pPr>
          </w:p>
        </w:tc>
        <w:tc>
          <w:tcPr>
            <w:tcW w:w="620" w:type="dxa"/>
            <w:vAlign w:val="bottom"/>
            <w:tcBorders>
              <w:bottom w:val="single" w:sz="8" w:color="A6A6A6"/>
            </w:tcBorders>
          </w:tcPr>
          <w:p>
            <w:pPr>
              <w:spacing w:after="0"/>
              <w:rPr>
                <w:sz w:val="14"/>
                <w:szCs w:val="14"/>
                <w:color w:val="auto"/>
              </w:rPr>
            </w:pPr>
          </w:p>
        </w:tc>
        <w:tc>
          <w:tcPr>
            <w:tcW w:w="960" w:type="dxa"/>
            <w:vAlign w:val="bottom"/>
            <w:tcBorders>
              <w:bottom w:val="single" w:sz="8" w:color="A6A6A6"/>
            </w:tcBorders>
          </w:tcPr>
          <w:p>
            <w:pPr>
              <w:spacing w:after="0"/>
              <w:rPr>
                <w:sz w:val="14"/>
                <w:szCs w:val="14"/>
                <w:color w:val="auto"/>
              </w:rPr>
            </w:pPr>
          </w:p>
        </w:tc>
      </w:tr>
      <w:tr>
        <w:trPr>
          <w:trHeight w:val="183"/>
        </w:trPr>
        <w:tc>
          <w:tcPr>
            <w:tcW w:w="768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Current Operating Lease Liabilities</w:t>
            </w:r>
          </w:p>
        </w:tc>
        <w:tc>
          <w:tcPr>
            <w:tcW w:w="62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6,778</w:t>
            </w:r>
          </w:p>
        </w:tc>
      </w:tr>
      <w:tr>
        <w:trPr>
          <w:trHeight w:val="210"/>
        </w:trPr>
        <w:tc>
          <w:tcPr>
            <w:tcW w:w="768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6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28,074</w:t>
            </w: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101" w:hanging="1101"/>
        <w:spacing w:after="0"/>
        <w:tabs>
          <w:tab w:leader="none" w:pos="1101" w:val="left"/>
        </w:tabs>
        <w:numPr>
          <w:ilvl w:val="0"/>
          <w:numId w:val="9"/>
        </w:numPr>
        <w:rPr>
          <w:rFonts w:ascii="Arial" w:cs="Arial" w:eastAsia="Arial" w:hAnsi="Arial"/>
          <w:sz w:val="14"/>
          <w:szCs w:val="14"/>
          <w:color w:val="auto"/>
        </w:rPr>
      </w:pPr>
      <w:r>
        <w:rPr>
          <w:rFonts w:ascii="Arial" w:cs="Arial" w:eastAsia="Arial" w:hAnsi="Arial"/>
          <w:sz w:val="14"/>
          <w:szCs w:val="14"/>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-104140</wp:posOffset>
            </wp:positionV>
            <wp:extent cx="11144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24130</wp:posOffset>
            </wp:positionV>
            <wp:extent cx="111442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4425" cy="2540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169545</wp:posOffset>
            </wp:positionV>
            <wp:extent cx="11144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51" w:lineRule="exact"/>
        <w:rPr>
          <w:sz w:val="20"/>
          <w:szCs w:val="20"/>
          <w:color w:val="auto"/>
        </w:rPr>
      </w:pPr>
    </w:p>
    <w:p>
      <w:pPr>
        <w:ind w:left="1181" w:hanging="1181"/>
        <w:spacing w:after="0"/>
        <w:tabs>
          <w:tab w:leader="none" w:pos="1181" w:val="left"/>
        </w:tabs>
        <w:numPr>
          <w:ilvl w:val="0"/>
          <w:numId w:val="10"/>
        </w:numPr>
        <w:rPr>
          <w:rFonts w:ascii="Arial" w:cs="Arial" w:eastAsia="Arial" w:hAnsi="Arial"/>
          <w:sz w:val="14"/>
          <w:szCs w:val="14"/>
          <w:color w:val="auto"/>
        </w:rPr>
      </w:pPr>
      <w:r>
        <w:rPr>
          <w:rFonts w:ascii="Arial" w:cs="Arial" w:eastAsia="Arial" w:hAnsi="Arial"/>
          <w:sz w:val="14"/>
          <w:szCs w:val="14"/>
          <w:color w:val="auto"/>
        </w:rPr>
        <w:t>7,118</w:t>
      </w:r>
    </w:p>
    <w:p>
      <w:pPr>
        <w:spacing w:after="0" w:line="45" w:lineRule="exact"/>
        <w:rPr>
          <w:rFonts w:ascii="Arial" w:cs="Arial" w:eastAsia="Arial" w:hAnsi="Arial"/>
          <w:sz w:val="14"/>
          <w:szCs w:val="14"/>
          <w:color w:val="auto"/>
        </w:rPr>
      </w:pPr>
    </w:p>
    <w:p>
      <w:pPr>
        <w:ind w:left="1101"/>
        <w:spacing w:after="0"/>
        <w:rPr>
          <w:rFonts w:ascii="Arial" w:cs="Arial" w:eastAsia="Arial" w:hAnsi="Arial"/>
          <w:sz w:val="14"/>
          <w:szCs w:val="14"/>
          <w:color w:val="auto"/>
        </w:rPr>
      </w:pPr>
      <w:r>
        <w:rPr>
          <w:rFonts w:ascii="Arial" w:cs="Arial" w:eastAsia="Arial" w:hAnsi="Arial"/>
          <w:sz w:val="14"/>
          <w:szCs w:val="14"/>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-106045</wp:posOffset>
            </wp:positionV>
            <wp:extent cx="11144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21590</wp:posOffset>
            </wp:positionV>
            <wp:extent cx="111442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4425" cy="2540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9260" w:space="319"/>
            <w:col w:w="1661"/>
          </w:cols>
          <w:pgMar w:left="320" w:top="382" w:right="339" w:bottom="1440" w:gutter="0" w:footer="0" w:header="0"/>
          <w:type w:val="continuous"/>
        </w:sectPr>
      </w:pPr>
    </w:p>
    <w:p>
      <w:pPr>
        <w:ind w:left="20"/>
        <w:spacing w:after="0"/>
        <w:tabs>
          <w:tab w:leader="none" w:pos="7680" w:val="left"/>
          <w:tab w:leader="none" w:pos="8800" w:val="left"/>
          <w:tab w:leader="none" w:pos="9560" w:val="left"/>
          <w:tab w:leader="none" w:pos="10660" w:val="left"/>
        </w:tabs>
        <w:rPr>
          <w:sz w:val="20"/>
          <w:szCs w:val="20"/>
          <w:color w:val="auto"/>
        </w:rPr>
      </w:pPr>
      <w:r>
        <w:rPr>
          <w:rFonts w:ascii="Arial" w:cs="Arial" w:eastAsia="Arial" w:hAnsi="Arial"/>
          <w:sz w:val="16"/>
          <w:szCs w:val="16"/>
          <w:b w:val="1"/>
          <w:bCs w:val="1"/>
          <w:color w:val="auto"/>
        </w:rPr>
        <w:t>Total Operating Lease Liabilities</w:t>
      </w:r>
      <w:r>
        <w:rPr>
          <w:sz w:val="20"/>
          <w:szCs w:val="20"/>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32"/>
          <w:szCs w:val="32"/>
          <w:b w:val="1"/>
          <w:bCs w:val="1"/>
          <w:color w:val="auto"/>
          <w:vertAlign w:val="superscript"/>
        </w:rPr>
        <w:t>34,852</w:t>
      </w:r>
      <w:r>
        <w:rPr>
          <w:rFonts w:ascii="Arial" w:cs="Arial" w:eastAsia="Arial" w:hAnsi="Arial"/>
          <w:sz w:val="32"/>
          <w:szCs w:val="32"/>
          <w:b w:val="1"/>
          <w:bCs w:val="1"/>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1"/>
          <w:szCs w:val="21"/>
          <w:b w:val="1"/>
          <w:bCs w:val="1"/>
          <w:color w:val="auto"/>
          <w:vertAlign w:val="superscript"/>
        </w:rPr>
        <w:t>36,330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-113030</wp:posOffset>
            </wp:positionV>
            <wp:extent cx="218567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85670" cy="2540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420" w:type="dxa"/>
            <w:vAlign w:val="bottom"/>
          </w:tcPr>
          <w:p>
            <w:pPr>
              <w:spacing w:after="0"/>
              <w:rPr>
                <w:sz w:val="14"/>
                <w:szCs w:val="14"/>
                <w:color w:val="auto"/>
              </w:rPr>
            </w:pPr>
          </w:p>
        </w:tc>
        <w:tc>
          <w:tcPr>
            <w:tcW w:w="1660" w:type="dxa"/>
            <w:vAlign w:val="bottom"/>
            <w:gridSpan w:val="2"/>
          </w:tcPr>
          <w:p>
            <w:pPr>
              <w:ind w:left="3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3"/>
        </w:trPr>
        <w:tc>
          <w:tcPr>
            <w:tcW w:w="9220" w:type="dxa"/>
            <w:vAlign w:val="bottom"/>
            <w:tcBorders>
              <w:top w:val="single" w:sz="8" w:color="004483"/>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2023 (remaining nine months)</w:t>
            </w:r>
          </w:p>
        </w:tc>
        <w:tc>
          <w:tcPr>
            <w:tcW w:w="420" w:type="dxa"/>
            <w:vAlign w:val="bottom"/>
            <w:tcBorders>
              <w:top w:val="single" w:sz="8" w:color="004483"/>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2024</w:t>
            </w:r>
          </w:p>
        </w:tc>
        <w:tc>
          <w:tcPr>
            <w:tcW w:w="42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6,363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2025</w:t>
            </w:r>
          </w:p>
        </w:tc>
        <w:tc>
          <w:tcPr>
            <w:tcW w:w="42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2026</w:t>
            </w:r>
          </w:p>
        </w:tc>
        <w:tc>
          <w:tcPr>
            <w:tcW w:w="42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4,279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2027</w:t>
            </w:r>
          </w:p>
        </w:tc>
        <w:tc>
          <w:tcPr>
            <w:tcW w:w="42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Thereafter</w:t>
            </w:r>
          </w:p>
        </w:tc>
        <w:tc>
          <w:tcPr>
            <w:tcW w:w="420" w:type="dxa"/>
            <w:vAlign w:val="bottom"/>
            <w:tcBorders>
              <w:bottom w:val="single" w:sz="8" w:color="004483"/>
            </w:tcBorders>
          </w:tcPr>
          <w:p>
            <w:pPr>
              <w:spacing w:after="0"/>
              <w:rPr>
                <w:sz w:val="18"/>
                <w:szCs w:val="18"/>
                <w:color w:val="auto"/>
              </w:rPr>
            </w:pPr>
          </w:p>
        </w:tc>
        <w:tc>
          <w:tcPr>
            <w:tcW w:w="15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16,934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Total Lease Payments</w:t>
            </w: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43,130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20" w:type="dxa"/>
            <w:vAlign w:val="bottom"/>
          </w:tcPr>
          <w:p>
            <w:pPr>
              <w:ind w:left="20"/>
              <w:spacing w:after="0" w:line="183" w:lineRule="exact"/>
              <w:rPr>
                <w:sz w:val="20"/>
                <w:szCs w:val="20"/>
                <w:color w:val="auto"/>
              </w:rPr>
            </w:pPr>
            <w:r>
              <w:rPr>
                <w:rFonts w:ascii="Arial" w:cs="Arial" w:eastAsia="Arial" w:hAnsi="Arial"/>
                <w:sz w:val="16"/>
                <w:szCs w:val="16"/>
                <w:color w:val="004483"/>
              </w:rPr>
              <w:t>Less: Imputed Interest</w:t>
            </w:r>
          </w:p>
        </w:tc>
        <w:tc>
          <w:tcPr>
            <w:tcW w:w="42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(8,278</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922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500" w:type="dxa"/>
            <w:vAlign w:val="bottom"/>
            <w:tcBorders>
              <w:bottom w:val="single" w:sz="8" w:color="004483"/>
            </w:tcBorders>
            <w:shd w:val="clear" w:color="auto" w:fill="00448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2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Present Value of Lease Liabilities</w:t>
            </w:r>
          </w:p>
        </w:tc>
        <w:tc>
          <w:tcPr>
            <w:tcW w:w="420" w:type="dxa"/>
            <w:vAlign w:val="bottom"/>
            <w:tcBorders>
              <w:bottom w:val="single" w:sz="8" w:color="004483"/>
            </w:tcBorders>
          </w:tcPr>
          <w:p>
            <w:pPr>
              <w:jc w:val="right"/>
              <w:ind w:right="239"/>
              <w:spacing w:after="0" w:line="169" w:lineRule="exact"/>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rPr>
              <w:t>34,852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5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220" w:type="dxa"/>
            <w:vAlign w:val="bottom"/>
            <w:tcBorders>
              <w:bottom w:val="single" w:sz="8" w:color="A6A6A6"/>
            </w:tcBorders>
          </w:tcPr>
          <w:p>
            <w:pPr>
              <w:spacing w:after="0"/>
              <w:rPr>
                <w:sz w:val="14"/>
                <w:szCs w:val="14"/>
                <w:color w:val="auto"/>
              </w:rPr>
            </w:pPr>
          </w:p>
        </w:tc>
        <w:tc>
          <w:tcPr>
            <w:tcW w:w="420" w:type="dxa"/>
            <w:vAlign w:val="bottom"/>
            <w:tcBorders>
              <w:bottom w:val="single" w:sz="8" w:color="A6A6A6"/>
            </w:tcBorders>
          </w:tcPr>
          <w:p>
            <w:pPr>
              <w:spacing w:after="0"/>
              <w:rPr>
                <w:sz w:val="14"/>
                <w:szCs w:val="14"/>
                <w:color w:val="auto"/>
              </w:rPr>
            </w:pPr>
          </w:p>
        </w:tc>
        <w:tc>
          <w:tcPr>
            <w:tcW w:w="1500" w:type="dxa"/>
            <w:vAlign w:val="bottom"/>
            <w:tcBorders>
              <w:bottom w:val="single" w:sz="8" w:color="A6A6A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Remaining Lease Term (in years)</w:t>
            </w:r>
          </w:p>
        </w:tc>
        <w:tc>
          <w:tcPr>
            <w:tcW w:w="42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10.1</w:t>
            </w: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83"/>
        </w:trPr>
        <w:tc>
          <w:tcPr>
            <w:tcW w:w="9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Discount Rate</w:t>
            </w:r>
          </w:p>
        </w:tc>
        <w:tc>
          <w:tcPr>
            <w:tcW w:w="42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3.70</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34"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restricted stock, and stock appreciation rights, to employees of the Company and members of the Board of Directors. The Compensation Committee of our Board of Directors specifies grant terms for awards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In May 2022, the Compensation Committee of the Board of Directors approved the granting to certain officers and key employees an aggregate of 25,192 performance-vesting stock options that will be earned only if certain performance conditions are satisfied (the Fiscal 2023 Employee Performance Stock Option Grant). The performance criteria for the Fiscal 2023 Employee Performance Stock Option Grant are based upon the achievement of certain levels of return on equity (as defined in the option agreements), ranging from 10.0% to 20.0%, for the fiscal year ending March 31, 2023.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2024 through 2026. The stock options have a term of 10 years from the grant date. The Compensation Committee also approved the granting of 20,994 time-vesting stock options to the same officers and key employees, which vest ratably over four years (the Fiscal 2023 Employee Time-Vesting Stock Option Grant).</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3" w:right="279" w:bottom="1440" w:gutter="0" w:footer="0" w:header="0"/>
        </w:sectPr>
      </w:pPr>
    </w:p>
    <w:bookmarkStart w:id="12" w:name="page13"/>
    <w:bookmarkEnd w:id="12"/>
    <w:p>
      <w:pPr>
        <w:jc w:val="both"/>
        <w:ind w:right="120"/>
        <w:spacing w:after="0" w:line="287" w:lineRule="auto"/>
        <w:rPr>
          <w:sz w:val="20"/>
          <w:szCs w:val="20"/>
          <w:color w:val="auto"/>
        </w:rPr>
      </w:pPr>
      <w:r>
        <w:rPr>
          <w:rFonts w:ascii="Arial" w:cs="Arial" w:eastAsia="Arial" w:hAnsi="Arial"/>
          <w:sz w:val="18"/>
          <w:szCs w:val="18"/>
          <w:color w:val="auto"/>
        </w:rPr>
        <w:t>The Fiscal 2023 Employee Performance Stock Option Grant and the Fiscal 2023 Employee Time-Vesting Stock Option Grant were valued at their grant date using the Black-Scholes option pricing model. The weighted-average assumptions used in the Black-Scholes model to value the option awards in fiscal 2023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20" w:type="dxa"/>
            <w:vAlign w:val="bottom"/>
            <w:shd w:val="clear" w:color="auto" w:fill="004483"/>
          </w:tcPr>
          <w:p>
            <w:pPr>
              <w:spacing w:after="0"/>
              <w:rPr>
                <w:sz w:val="3"/>
                <w:szCs w:val="3"/>
                <w:color w:val="auto"/>
              </w:rPr>
            </w:pPr>
          </w:p>
        </w:tc>
        <w:tc>
          <w:tcPr>
            <w:tcW w:w="5120" w:type="dxa"/>
            <w:vAlign w:val="bottom"/>
            <w:shd w:val="clear" w:color="auto" w:fill="004483"/>
          </w:tcPr>
          <w:p>
            <w:pPr>
              <w:spacing w:after="0"/>
              <w:rPr>
                <w:sz w:val="3"/>
                <w:szCs w:val="3"/>
                <w:color w:val="auto"/>
              </w:rPr>
            </w:pPr>
          </w:p>
        </w:tc>
        <w:tc>
          <w:tcPr>
            <w:tcW w:w="140" w:type="dxa"/>
            <w:vAlign w:val="bottom"/>
          </w:tcPr>
          <w:p>
            <w:pPr>
              <w:spacing w:after="0"/>
              <w:rPr>
                <w:sz w:val="3"/>
                <w:szCs w:val="3"/>
                <w:color w:val="auto"/>
              </w:rPr>
            </w:pPr>
          </w:p>
        </w:tc>
      </w:tr>
      <w:tr>
        <w:trPr>
          <w:trHeight w:val="189"/>
        </w:trPr>
        <w:tc>
          <w:tcPr>
            <w:tcW w:w="602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6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183"/>
        </w:trPr>
        <w:tc>
          <w:tcPr>
            <w:tcW w:w="602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Volatility</w:t>
            </w:r>
          </w:p>
        </w:tc>
        <w:tc>
          <w:tcPr>
            <w:tcW w:w="5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38.2</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183"/>
        </w:trPr>
        <w:tc>
          <w:tcPr>
            <w:tcW w:w="60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Risk-Free Interest Rate</w:t>
            </w:r>
          </w:p>
        </w:tc>
        <w:tc>
          <w:tcPr>
            <w:tcW w:w="5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183"/>
        </w:trPr>
        <w:tc>
          <w:tcPr>
            <w:tcW w:w="60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Life</w:t>
            </w:r>
          </w:p>
        </w:tc>
        <w:tc>
          <w:tcPr>
            <w:tcW w:w="5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5"/>
                <w:szCs w:val="15"/>
                <w:color w:val="auto"/>
              </w:rPr>
            </w:pPr>
          </w:p>
        </w:tc>
      </w:tr>
    </w:tbl>
    <w:p>
      <w:pPr>
        <w:spacing w:after="0" w:line="121"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color w:val="auto"/>
        </w:rPr>
        <w:t>In addition to the stock options described above, from time to time we issue stock options to certain employees. Any options issued are valued using the Black-Scholes options pricing model on the grant date, and expensed over the vesting period.</w:t>
      </w:r>
    </w:p>
    <w:p>
      <w:pPr>
        <w:spacing w:after="0" w:line="89"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Stock option expense for all outstanding stock option awards totaled approximately $0.8 million and $0.7 million for the three months ended June 30, 2022 and 2021, respectively. At June 30, 2022, there was approximately $5.7 million of unrecognized compensation cost related to outstanding stock options, which is expected to be recognized over a weighted-average period of 2.5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three months ended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22"/>
        </w:trPr>
        <w:tc>
          <w:tcPr>
            <w:tcW w:w="7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74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2"/>
        </w:trPr>
        <w:tc>
          <w:tcPr>
            <w:tcW w:w="7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of Shares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9"/>
        </w:trPr>
        <w:tc>
          <w:tcPr>
            <w:tcW w:w="76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2022</w:t>
            </w:r>
          </w:p>
        </w:tc>
        <w:tc>
          <w:tcPr>
            <w:tcW w:w="600" w:type="dxa"/>
            <w:vAlign w:val="bottom"/>
            <w:tcBorders>
              <w:top w:val="single" w:sz="8" w:color="004483"/>
              <w:bottom w:val="single" w:sz="8" w:color="A6A6A6"/>
            </w:tcBorders>
          </w:tcPr>
          <w:p>
            <w:pPr>
              <w:spacing w:after="0"/>
              <w:rPr>
                <w:sz w:val="16"/>
                <w:szCs w:val="16"/>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456,849</w:t>
            </w:r>
          </w:p>
        </w:tc>
        <w:tc>
          <w:tcPr>
            <w:tcW w:w="120" w:type="dxa"/>
            <w:vAlign w:val="bottom"/>
          </w:tcPr>
          <w:p>
            <w:pPr>
              <w:spacing w:after="0"/>
              <w:rPr>
                <w:sz w:val="16"/>
                <w:szCs w:val="16"/>
                <w:color w:val="auto"/>
              </w:rPr>
            </w:pPr>
          </w:p>
        </w:tc>
        <w:tc>
          <w:tcPr>
            <w:tcW w:w="740" w:type="dxa"/>
            <w:vAlign w:val="bottom"/>
            <w:tcBorders>
              <w:top w:val="single" w:sz="8" w:color="004483"/>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83.81</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Granted</w:t>
            </w:r>
          </w:p>
        </w:tc>
        <w:tc>
          <w:tcPr>
            <w:tcW w:w="6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51,522</w:t>
            </w:r>
          </w:p>
        </w:tc>
        <w:tc>
          <w:tcPr>
            <w:tcW w:w="120" w:type="dxa"/>
            <w:vAlign w:val="bottom"/>
          </w:tcPr>
          <w:p>
            <w:pPr>
              <w:spacing w:after="0"/>
              <w:rPr>
                <w:sz w:val="15"/>
                <w:szCs w:val="15"/>
                <w:color w:val="auto"/>
              </w:rPr>
            </w:pPr>
          </w:p>
        </w:tc>
        <w:tc>
          <w:tcPr>
            <w:tcW w:w="74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125.88</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Exercised</w:t>
            </w:r>
          </w:p>
        </w:tc>
        <w:tc>
          <w:tcPr>
            <w:tcW w:w="6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(17,159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125.12</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Cancelled</w:t>
            </w:r>
          </w:p>
        </w:tc>
        <w:tc>
          <w:tcPr>
            <w:tcW w:w="60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Outstanding Options at June 30, 2022</w:t>
            </w:r>
          </w:p>
        </w:tc>
        <w:tc>
          <w:tcPr>
            <w:tcW w:w="60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491,212</w:t>
            </w:r>
          </w:p>
        </w:tc>
        <w:tc>
          <w:tcPr>
            <w:tcW w:w="120" w:type="dxa"/>
            <w:vAlign w:val="bottom"/>
          </w:tcPr>
          <w:p>
            <w:pPr>
              <w:spacing w:after="0"/>
              <w:rPr>
                <w:sz w:val="15"/>
                <w:szCs w:val="15"/>
                <w:color w:val="auto"/>
              </w:rPr>
            </w:pPr>
          </w:p>
        </w:tc>
        <w:tc>
          <w:tcPr>
            <w:tcW w:w="74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88.85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Options Exercisable at June 30, 2022</w:t>
            </w:r>
          </w:p>
        </w:tc>
        <w:tc>
          <w:tcPr>
            <w:tcW w:w="600" w:type="dxa"/>
            <w:vAlign w:val="bottom"/>
            <w:tcBorders>
              <w:bottom w:val="single" w:sz="8" w:color="004483"/>
            </w:tcBorders>
          </w:tcPr>
          <w:p>
            <w:pPr>
              <w:spacing w:after="0"/>
              <w:rPr>
                <w:sz w:val="14"/>
                <w:szCs w:val="14"/>
                <w:color w:val="auto"/>
              </w:rPr>
            </w:pPr>
          </w:p>
        </w:tc>
        <w:tc>
          <w:tcPr>
            <w:tcW w:w="10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298,520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Weighted-Average Fair Value of Options Granted</w:t>
            </w: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125.88</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600" w:type="dxa"/>
            <w:vAlign w:val="bottom"/>
            <w:tcBorders>
              <w:bottom w:val="single" w:sz="8" w:color="A6A6A6"/>
            </w:tcBorders>
            <w:vMerge w:val="continue"/>
          </w:tcPr>
          <w:p>
            <w:pPr>
              <w:spacing w:after="0"/>
              <w:rPr>
                <w:sz w:val="17"/>
                <w:szCs w:val="17"/>
                <w:color w:val="auto"/>
              </w:rPr>
            </w:pPr>
          </w:p>
        </w:tc>
        <w:tc>
          <w:tcPr>
            <w:tcW w:w="1020" w:type="dxa"/>
            <w:vAlign w:val="bottom"/>
            <w:tcBorders>
              <w:bottom w:val="single" w:sz="8" w:color="A6A6A6"/>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June 30,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280" w:type="dxa"/>
            <w:vAlign w:val="bottom"/>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w w:val="92"/>
              </w:rPr>
              <w:t>Options Outstanding</w:t>
            </w:r>
          </w:p>
        </w:tc>
        <w:tc>
          <w:tcPr>
            <w:tcW w:w="100" w:type="dxa"/>
            <w:vAlign w:val="bottom"/>
            <w:shd w:val="clear" w:color="auto" w:fill="004483"/>
          </w:tcPr>
          <w:p>
            <w:pPr>
              <w:spacing w:after="0"/>
              <w:rPr>
                <w:sz w:val="13"/>
                <w:szCs w:val="13"/>
                <w:color w:val="auto"/>
              </w:rPr>
            </w:pPr>
          </w:p>
        </w:tc>
        <w:tc>
          <w:tcPr>
            <w:tcW w:w="360" w:type="dxa"/>
            <w:vAlign w:val="bottom"/>
            <w:shd w:val="clear" w:color="auto" w:fill="004483"/>
          </w:tcPr>
          <w:p>
            <w:pPr>
              <w:spacing w:after="0"/>
              <w:rPr>
                <w:sz w:val="13"/>
                <w:szCs w:val="13"/>
                <w:color w:val="auto"/>
              </w:rPr>
            </w:pPr>
          </w:p>
        </w:tc>
        <w:tc>
          <w:tcPr>
            <w:tcW w:w="7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Options Exercisable</w:t>
            </w:r>
          </w:p>
        </w:tc>
        <w:tc>
          <w:tcPr>
            <w:tcW w:w="5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Weighted-</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Remaining</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2"/>
        </w:trPr>
        <w:tc>
          <w:tcPr>
            <w:tcW w:w="5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Contractual</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Life (in years)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3"/>
        </w:trPr>
        <w:tc>
          <w:tcPr>
            <w:tcW w:w="480" w:type="dxa"/>
            <w:vAlign w:val="bottom"/>
            <w:tcBorders>
              <w:top w:val="single" w:sz="8" w:color="004483"/>
              <w:bottom w:val="single" w:sz="8" w:color="A6A6A6"/>
            </w:tcBorders>
          </w:tcPr>
          <w:p>
            <w:pPr>
              <w:ind w:left="20"/>
              <w:spacing w:after="0" w:line="183" w:lineRule="exact"/>
              <w:rPr>
                <w:sz w:val="20"/>
                <w:szCs w:val="20"/>
                <w:color w:val="auto"/>
              </w:rPr>
            </w:pPr>
            <w:r>
              <w:rPr>
                <w:rFonts w:ascii="Arial" w:cs="Arial" w:eastAsia="Arial" w:hAnsi="Arial"/>
                <w:sz w:val="16"/>
                <w:szCs w:val="16"/>
                <w:color w:val="004483"/>
                <w:w w:val="89"/>
              </w:rPr>
              <w:t>$59.32</w:t>
            </w:r>
          </w:p>
        </w:tc>
        <w:tc>
          <w:tcPr>
            <w:tcW w:w="4540" w:type="dxa"/>
            <w:vAlign w:val="bottom"/>
            <w:tcBorders>
              <w:top w:val="single" w:sz="8" w:color="004483"/>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$81.56</w:t>
            </w:r>
          </w:p>
        </w:tc>
        <w:tc>
          <w:tcPr>
            <w:tcW w:w="10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172,395</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1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7.08</w:t>
            </w:r>
          </w:p>
        </w:tc>
        <w:tc>
          <w:tcPr>
            <w:tcW w:w="100" w:type="dxa"/>
            <w:vAlign w:val="bottom"/>
          </w:tcPr>
          <w:p>
            <w:pPr>
              <w:spacing w:after="0"/>
              <w:rPr>
                <w:sz w:val="15"/>
                <w:szCs w:val="15"/>
                <w:color w:val="auto"/>
              </w:rPr>
            </w:pPr>
          </w:p>
        </w:tc>
        <w:tc>
          <w:tcPr>
            <w:tcW w:w="360" w:type="dxa"/>
            <w:vAlign w:val="bottom"/>
            <w:tcBorders>
              <w:top w:val="single" w:sz="8" w:color="004483"/>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62.87</w:t>
            </w:r>
          </w:p>
        </w:tc>
        <w:tc>
          <w:tcPr>
            <w:tcW w:w="100" w:type="dxa"/>
            <w:vAlign w:val="bottom"/>
          </w:tcPr>
          <w:p>
            <w:pPr>
              <w:spacing w:after="0"/>
              <w:rPr>
                <w:sz w:val="15"/>
                <w:szCs w:val="15"/>
                <w:color w:val="auto"/>
              </w:rPr>
            </w:pPr>
          </w:p>
        </w:tc>
        <w:tc>
          <w:tcPr>
            <w:tcW w:w="1160" w:type="dxa"/>
            <w:vAlign w:val="bottom"/>
            <w:tcBorders>
              <w:top w:val="single" w:sz="8" w:color="004483"/>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85,585</w:t>
            </w:r>
          </w:p>
        </w:tc>
        <w:tc>
          <w:tcPr>
            <w:tcW w:w="200" w:type="dxa"/>
            <w:vAlign w:val="bottom"/>
          </w:tcPr>
          <w:p>
            <w:pPr>
              <w:spacing w:after="0"/>
              <w:rPr>
                <w:sz w:val="15"/>
                <w:szCs w:val="15"/>
                <w:color w:val="auto"/>
              </w:rPr>
            </w:pPr>
          </w:p>
        </w:tc>
        <w:tc>
          <w:tcPr>
            <w:tcW w:w="420" w:type="dxa"/>
            <w:vAlign w:val="bottom"/>
            <w:tcBorders>
              <w:top w:val="single" w:sz="8" w:color="004483"/>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64.96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w w:val="89"/>
              </w:rPr>
              <w:t>$87.37</w:t>
            </w:r>
          </w:p>
        </w:tc>
        <w:tc>
          <w:tcPr>
            <w:tcW w:w="4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$93.03</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151,569</w:t>
            </w:r>
          </w:p>
        </w:tc>
        <w:tc>
          <w:tcPr>
            <w:tcW w:w="120" w:type="dxa"/>
            <w:vAlign w:val="bottom"/>
          </w:tcPr>
          <w:p>
            <w:pPr>
              <w:spacing w:after="0"/>
              <w:rPr>
                <w:sz w:val="15"/>
                <w:szCs w:val="15"/>
                <w:color w:val="auto"/>
              </w:rPr>
            </w:pPr>
          </w:p>
        </w:tc>
        <w:tc>
          <w:tcPr>
            <w:tcW w:w="12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6.58</w:t>
            </w:r>
          </w:p>
        </w:tc>
        <w:tc>
          <w:tcPr>
            <w:tcW w:w="100" w:type="dxa"/>
            <w:vAlign w:val="bottom"/>
          </w:tcPr>
          <w:p>
            <w:pPr>
              <w:spacing w:after="0"/>
              <w:rPr>
                <w:sz w:val="15"/>
                <w:szCs w:val="15"/>
                <w:color w:val="auto"/>
              </w:rPr>
            </w:pPr>
          </w:p>
        </w:tc>
        <w:tc>
          <w:tcPr>
            <w:tcW w:w="360" w:type="dxa"/>
            <w:vAlign w:val="bottom"/>
            <w:tcBorders>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91.57</w:t>
            </w:r>
          </w:p>
        </w:tc>
        <w:tc>
          <w:tcPr>
            <w:tcW w:w="100" w:type="dxa"/>
            <w:vAlign w:val="bottom"/>
          </w:tcPr>
          <w:p>
            <w:pPr>
              <w:spacing w:after="0"/>
              <w:rPr>
                <w:sz w:val="15"/>
                <w:szCs w:val="15"/>
                <w:color w:val="auto"/>
              </w:rPr>
            </w:pPr>
          </w:p>
        </w:tc>
        <w:tc>
          <w:tcPr>
            <w:tcW w:w="11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109,241</w:t>
            </w:r>
          </w:p>
        </w:tc>
        <w:tc>
          <w:tcPr>
            <w:tcW w:w="200" w:type="dxa"/>
            <w:vAlign w:val="bottom"/>
          </w:tcPr>
          <w:p>
            <w:pPr>
              <w:spacing w:after="0"/>
              <w:rPr>
                <w:sz w:val="15"/>
                <w:szCs w:val="15"/>
                <w:color w:val="auto"/>
              </w:rPr>
            </w:pP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tcPr>
          <w:p>
            <w:pPr>
              <w:ind w:left="20"/>
              <w:spacing w:after="0" w:line="183" w:lineRule="exact"/>
              <w:rPr>
                <w:sz w:val="20"/>
                <w:szCs w:val="20"/>
                <w:color w:val="auto"/>
              </w:rPr>
            </w:pPr>
            <w:r>
              <w:rPr>
                <w:rFonts w:ascii="Arial" w:cs="Arial" w:eastAsia="Arial" w:hAnsi="Arial"/>
                <w:sz w:val="16"/>
                <w:szCs w:val="16"/>
                <w:color w:val="004483"/>
                <w:w w:val="89"/>
              </w:rPr>
              <w:t>$99.37</w:t>
            </w:r>
          </w:p>
        </w:tc>
        <w:tc>
          <w:tcPr>
            <w:tcW w:w="4540" w:type="dxa"/>
            <w:vAlign w:val="bottom"/>
          </w:tcPr>
          <w:p>
            <w:pPr>
              <w:ind w:left="20"/>
              <w:spacing w:after="0" w:line="183" w:lineRule="exact"/>
              <w:rPr>
                <w:sz w:val="20"/>
                <w:szCs w:val="20"/>
                <w:color w:val="auto"/>
              </w:rPr>
            </w:pPr>
            <w:r>
              <w:rPr>
                <w:rFonts w:ascii="Arial" w:cs="Arial" w:eastAsia="Arial" w:hAnsi="Arial"/>
                <w:sz w:val="16"/>
                <w:szCs w:val="16"/>
                <w:color w:val="004483"/>
              </w:rPr>
              <w:t>- $143.09</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167,248</w:t>
            </w:r>
          </w:p>
        </w:tc>
        <w:tc>
          <w:tcPr>
            <w:tcW w:w="14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7.18</w:t>
            </w:r>
          </w:p>
        </w:tc>
        <w:tc>
          <w:tcPr>
            <w:tcW w:w="46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113.16</w:t>
            </w:r>
          </w:p>
        </w:tc>
        <w:tc>
          <w:tcPr>
            <w:tcW w:w="100" w:type="dxa"/>
            <w:vAlign w:val="bottom"/>
          </w:tcPr>
          <w:p>
            <w:pPr>
              <w:spacing w:after="0"/>
              <w:rPr>
                <w:sz w:val="15"/>
                <w:szCs w:val="15"/>
                <w:color w:val="auto"/>
              </w:rPr>
            </w:pP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103,694</w:t>
            </w:r>
          </w:p>
        </w:tc>
        <w:tc>
          <w:tcPr>
            <w:tcW w:w="620" w:type="dxa"/>
            <w:vAlign w:val="bottom"/>
            <w:gridSpan w:val="2"/>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106.15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6A6A6"/>
            </w:tcBorders>
          </w:tcPr>
          <w:p>
            <w:pPr>
              <w:spacing w:after="0"/>
              <w:rPr>
                <w:sz w:val="2"/>
                <w:szCs w:val="2"/>
                <w:color w:val="auto"/>
              </w:rPr>
            </w:pPr>
          </w:p>
        </w:tc>
        <w:tc>
          <w:tcPr>
            <w:tcW w:w="4540" w:type="dxa"/>
            <w:vAlign w:val="bottom"/>
            <w:tcBorders>
              <w:bottom w:val="single" w:sz="8" w:color="A6A6A6"/>
            </w:tcBorders>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16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6A6A6"/>
            </w:tcBorders>
          </w:tcPr>
          <w:p>
            <w:pPr>
              <w:spacing w:after="0"/>
              <w:rPr>
                <w:sz w:val="2"/>
                <w:szCs w:val="2"/>
                <w:color w:val="auto"/>
              </w:rPr>
            </w:pPr>
          </w:p>
        </w:tc>
        <w:tc>
          <w:tcPr>
            <w:tcW w:w="74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6A6A6"/>
            </w:tcBorders>
          </w:tcPr>
          <w:p>
            <w:pPr>
              <w:spacing w:after="0"/>
              <w:rPr>
                <w:sz w:val="2"/>
                <w:szCs w:val="2"/>
                <w:color w:val="auto"/>
              </w:rPr>
            </w:pPr>
          </w:p>
        </w:tc>
        <w:tc>
          <w:tcPr>
            <w:tcW w:w="58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491,212</w:t>
            </w:r>
          </w:p>
        </w:tc>
        <w:tc>
          <w:tcPr>
            <w:tcW w:w="140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6.96</w:t>
            </w:r>
          </w:p>
        </w:tc>
        <w:tc>
          <w:tcPr>
            <w:tcW w:w="460" w:type="dxa"/>
            <w:vAlign w:val="bottom"/>
            <w:gridSpan w:val="2"/>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88.85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298,520</w:t>
            </w:r>
          </w:p>
        </w:tc>
        <w:tc>
          <w:tcPr>
            <w:tcW w:w="620" w:type="dxa"/>
            <w:vAlign w:val="bottom"/>
            <w:gridSpan w:val="2"/>
          </w:tcPr>
          <w:p>
            <w:pPr>
              <w:jc w:val="right"/>
              <w:ind w:right="239"/>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89.00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6A6A6"/>
            </w:tcBorders>
          </w:tcPr>
          <w:p>
            <w:pPr>
              <w:spacing w:after="0" w:line="20" w:lineRule="exact"/>
              <w:rPr>
                <w:sz w:val="1"/>
                <w:szCs w:val="1"/>
                <w:color w:val="auto"/>
              </w:rPr>
            </w:pPr>
          </w:p>
        </w:tc>
        <w:tc>
          <w:tcPr>
            <w:tcW w:w="45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1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At June 30, 2022, the aggregate intrinsic value for both the outstanding and exercisable options was approximately $10.4 million and $6.3 million, respectively. The total intrinsic value of options exercised during the three months ended June 30, 2022 was approximately $1.0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6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In May 2022, the Compensation Committee approved the granting to certain officers and key employees an aggregate of 50,783 shares of performance-vesting restricted stock that will be earned if certain performance conditions are satisfied (the Fiscal 2023 Employee Restricted Stock Performance Award). The performance criteria for the Fiscal 2023 Employee Restricted Stock Performance Award are based upon the achievement of certain levels of return on equity (as defined in the award agreement), ranging from 10.0% to 20.0%, for the fiscal</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63" w:right="299" w:bottom="1440" w:gutter="0" w:footer="0" w:header="0"/>
        </w:sectPr>
      </w:pPr>
    </w:p>
    <w:bookmarkStart w:id="13" w:name="page14"/>
    <w:bookmarkEnd w:id="13"/>
    <w:p>
      <w:pPr>
        <w:ind w:right="100"/>
        <w:spacing w:after="0" w:line="283" w:lineRule="auto"/>
        <w:rPr>
          <w:sz w:val="20"/>
          <w:szCs w:val="20"/>
          <w:color w:val="auto"/>
        </w:rPr>
      </w:pPr>
      <w:r>
        <w:rPr>
          <w:rFonts w:ascii="Arial" w:cs="Arial" w:eastAsia="Arial" w:hAnsi="Arial"/>
          <w:sz w:val="18"/>
          <w:szCs w:val="18"/>
          <w:color w:val="auto"/>
        </w:rPr>
        <w:t>year ending March 31, 2023.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2024 through 2026. The Compensation Committee also approved the granting of 42,545 shares of time-vesting restricted stock to the same officers and key employees, which vest ratably over four years (the Fiscal 2023 Employee Restricted Stock Time-Vesting Award). The Fiscal 2023 Employee Restricted Stock Performance Award and the Fiscal 2023 Employee Restricted Stock Time-Vesting Award were valued at the closing price of the stock on the grant date and are being expensed over a four-year period.</w:t>
      </w:r>
    </w:p>
    <w:p>
      <w:pPr>
        <w:spacing w:after="0" w:line="99"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In addition to the restricted stock described above, from time to time we issue restricted stock to certain employees. These awards are valued at the closing price of the stock on the grant date, and expensed over the vesting period.</w:t>
      </w:r>
    </w:p>
    <w:p>
      <w:pPr>
        <w:spacing w:after="0" w:line="8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three months ended June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7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Number of Shares</w:t>
            </w:r>
          </w:p>
        </w:tc>
        <w:tc>
          <w:tcPr>
            <w:tcW w:w="280" w:type="dxa"/>
            <w:vAlign w:val="bottom"/>
          </w:tcPr>
          <w:p>
            <w:pPr>
              <w:spacing w:after="0"/>
              <w:rPr>
                <w:sz w:val="13"/>
                <w:szCs w:val="13"/>
                <w:color w:val="auto"/>
              </w:rPr>
            </w:pPr>
          </w:p>
        </w:tc>
        <w:tc>
          <w:tcPr>
            <w:tcW w:w="1520" w:type="dxa"/>
            <w:vAlign w:val="bottom"/>
          </w:tcPr>
          <w:p>
            <w:pPr>
              <w:jc w:val="right"/>
              <w:ind w:right="84"/>
              <w:spacing w:after="0"/>
              <w:rPr>
                <w:sz w:val="20"/>
                <w:szCs w:val="20"/>
                <w:color w:val="auto"/>
              </w:rPr>
            </w:pPr>
            <w:r>
              <w:rPr>
                <w:rFonts w:ascii="Arial" w:cs="Arial" w:eastAsia="Arial" w:hAnsi="Arial"/>
                <w:sz w:val="13"/>
                <w:szCs w:val="13"/>
                <w:b w:val="1"/>
                <w:bCs w:val="1"/>
                <w:color w:val="auto"/>
                <w:w w:val="87"/>
              </w:rPr>
              <w:t>Weighted-Average Grant</w:t>
            </w: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304"/>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03"/>
        </w:trPr>
        <w:tc>
          <w:tcPr>
            <w:tcW w:w="76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March 31, 2022</w:t>
            </w:r>
          </w:p>
        </w:tc>
        <w:tc>
          <w:tcPr>
            <w:tcW w:w="16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258,779</w:t>
            </w:r>
          </w:p>
        </w:tc>
        <w:tc>
          <w:tcPr>
            <w:tcW w:w="120" w:type="dxa"/>
            <w:vAlign w:val="bottom"/>
          </w:tcPr>
          <w:p>
            <w:pPr>
              <w:spacing w:after="0"/>
              <w:rPr>
                <w:sz w:val="17"/>
                <w:szCs w:val="17"/>
                <w:color w:val="auto"/>
              </w:rPr>
            </w:pPr>
          </w:p>
        </w:tc>
        <w:tc>
          <w:tcPr>
            <w:tcW w:w="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85.34</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Granted</w:t>
            </w:r>
          </w:p>
        </w:tc>
        <w:tc>
          <w:tcPr>
            <w:tcW w:w="1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96,135</w:t>
            </w:r>
          </w:p>
        </w:tc>
        <w:tc>
          <w:tcPr>
            <w:tcW w:w="120" w:type="dxa"/>
            <w:vAlign w:val="bottom"/>
          </w:tcPr>
          <w:p>
            <w:pPr>
              <w:spacing w:after="0"/>
              <w:rPr>
                <w:sz w:val="17"/>
                <w:szCs w:val="17"/>
                <w:color w:val="auto"/>
              </w:rPr>
            </w:pPr>
          </w:p>
        </w:tc>
        <w:tc>
          <w:tcPr>
            <w:tcW w:w="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196"/>
        </w:trPr>
        <w:tc>
          <w:tcPr>
            <w:tcW w:w="7620" w:type="dxa"/>
            <w:vAlign w:val="bottom"/>
          </w:tcPr>
          <w:p>
            <w:pPr>
              <w:ind w:left="120"/>
              <w:spacing w:after="0"/>
              <w:rPr>
                <w:sz w:val="20"/>
                <w:szCs w:val="20"/>
                <w:color w:val="auto"/>
              </w:rPr>
            </w:pPr>
            <w:r>
              <w:rPr>
                <w:rFonts w:ascii="Arial" w:cs="Arial" w:eastAsia="Arial" w:hAnsi="Arial"/>
                <w:sz w:val="16"/>
                <w:szCs w:val="16"/>
                <w:color w:val="004483"/>
              </w:rPr>
              <w:t>Vested</w:t>
            </w: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(28,746 )</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133.85</w:t>
            </w:r>
          </w:p>
        </w:tc>
        <w:tc>
          <w:tcPr>
            <w:tcW w:w="0" w:type="dxa"/>
            <w:vAlign w:val="bottom"/>
          </w:tcPr>
          <w:p>
            <w:pPr>
              <w:spacing w:after="0"/>
              <w:rPr>
                <w:sz w:val="1"/>
                <w:szCs w:val="1"/>
                <w:color w:val="auto"/>
              </w:rPr>
            </w:pPr>
          </w:p>
        </w:tc>
      </w:tr>
      <w:tr>
        <w:trPr>
          <w:trHeight w:val="183"/>
        </w:trPr>
        <w:tc>
          <w:tcPr>
            <w:tcW w:w="7620" w:type="dxa"/>
            <w:vAlign w:val="bottom"/>
            <w:tcBorders>
              <w:top w:val="single" w:sz="8" w:color="A6A6A6"/>
            </w:tcBorders>
          </w:tcPr>
          <w:p>
            <w:pPr>
              <w:ind w:left="120"/>
              <w:spacing w:after="0" w:line="183" w:lineRule="exact"/>
              <w:rPr>
                <w:sz w:val="20"/>
                <w:szCs w:val="20"/>
                <w:color w:val="auto"/>
              </w:rPr>
            </w:pPr>
            <w:r>
              <w:rPr>
                <w:rFonts w:ascii="Arial" w:cs="Arial" w:eastAsia="Arial" w:hAnsi="Arial"/>
                <w:sz w:val="16"/>
                <w:szCs w:val="16"/>
                <w:color w:val="004483"/>
              </w:rPr>
              <w:t>Forfeited</w:t>
            </w:r>
          </w:p>
        </w:tc>
        <w:tc>
          <w:tcPr>
            <w:tcW w:w="160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7620" w:type="dxa"/>
            <w:vAlign w:val="bottom"/>
            <w:tcBorders>
              <w:bottom w:val="single" w:sz="8" w:color="A6A6A6"/>
            </w:tcBorders>
          </w:tcPr>
          <w:p>
            <w:pPr>
              <w:spacing w:after="0"/>
              <w:rPr>
                <w:sz w:val="2"/>
                <w:szCs w:val="2"/>
                <w:color w:val="auto"/>
              </w:rPr>
            </w:pPr>
          </w:p>
        </w:tc>
        <w:tc>
          <w:tcPr>
            <w:tcW w:w="16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6A6A6"/>
            </w:tcBorders>
          </w:tcPr>
          <w:p>
            <w:pPr>
              <w:spacing w:after="0"/>
              <w:rPr>
                <w:sz w:val="2"/>
                <w:szCs w:val="2"/>
                <w:color w:val="auto"/>
              </w:rPr>
            </w:pPr>
          </w:p>
        </w:tc>
        <w:tc>
          <w:tcPr>
            <w:tcW w:w="152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2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Nonvested Restricted Stock at June 30, 2022</w:t>
            </w:r>
          </w:p>
        </w:tc>
        <w:tc>
          <w:tcPr>
            <w:tcW w:w="160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rPr>
              <w:t>326,168</w:t>
            </w:r>
          </w:p>
        </w:tc>
        <w:tc>
          <w:tcPr>
            <w:tcW w:w="120" w:type="dxa"/>
            <w:vAlign w:val="bottom"/>
          </w:tcPr>
          <w:p>
            <w:pPr>
              <w:spacing w:after="0"/>
              <w:rPr>
                <w:sz w:val="15"/>
                <w:szCs w:val="15"/>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94.66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Expense related to restricted shares was approximately $4.3 million and $1.8 million for the three months ended June 30, 2022, and 2021, respectively. At June 30, 2022, there was approximately $25.6 million of unearned compensation from restricted stock, which will be recognized over a weighted-average period of 2.7 years.</w:t>
      </w:r>
    </w:p>
    <w:p>
      <w:pPr>
        <w:spacing w:after="0" w:line="94"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3,271,524 at June 30, 2022.</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00" w:type="dxa"/>
            <w:vAlign w:val="bottom"/>
          </w:tcPr>
          <w:p>
            <w:pPr>
              <w:spacing w:after="0"/>
              <w:rPr>
                <w:sz w:val="13"/>
                <w:szCs w:val="13"/>
                <w:color w:val="auto"/>
              </w:rPr>
            </w:pPr>
          </w:p>
        </w:tc>
        <w:tc>
          <w:tcPr>
            <w:tcW w:w="3100" w:type="dxa"/>
            <w:vAlign w:val="bottom"/>
            <w:gridSpan w:val="4"/>
            <w:shd w:val="clear" w:color="auto" w:fill="004483"/>
          </w:tcPr>
          <w:p>
            <w:pPr>
              <w:ind w:left="940"/>
              <w:spacing w:after="0"/>
              <w:rPr>
                <w:sz w:val="20"/>
                <w:szCs w:val="20"/>
                <w:color w:val="auto"/>
              </w:rPr>
            </w:pPr>
            <w:r>
              <w:rPr>
                <w:rFonts w:ascii="Arial" w:cs="Arial" w:eastAsia="Arial" w:hAnsi="Arial"/>
                <w:sz w:val="13"/>
                <w:szCs w:val="13"/>
                <w:b w:val="1"/>
                <w:bCs w:val="1"/>
                <w:color w:val="FFFFFF"/>
                <w:w w:val="92"/>
              </w:rPr>
              <w:t>For the Three Months Ended June 30,</w:t>
            </w:r>
          </w:p>
        </w:tc>
        <w:tc>
          <w:tcPr>
            <w:tcW w:w="8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69"/>
        </w:trPr>
        <w:tc>
          <w:tcPr>
            <w:tcW w:w="7200" w:type="dxa"/>
            <w:vAlign w:val="bottom"/>
            <w:tcBorders>
              <w:bottom w:val="single" w:sz="8" w:color="004483"/>
            </w:tcBorders>
          </w:tcPr>
          <w:p>
            <w:pPr>
              <w:spacing w:after="0"/>
              <w:rPr>
                <w:sz w:val="14"/>
                <w:szCs w:val="14"/>
                <w:color w:val="auto"/>
              </w:rPr>
            </w:pPr>
          </w:p>
        </w:tc>
        <w:tc>
          <w:tcPr>
            <w:tcW w:w="1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Borders>
              <w:bottom w:val="single" w:sz="8" w:color="004483"/>
            </w:tcBorders>
          </w:tcPr>
          <w:p>
            <w:pPr>
              <w:spacing w:after="0"/>
              <w:rPr>
                <w:sz w:val="14"/>
                <w:szCs w:val="14"/>
                <w:color w:val="auto"/>
              </w:rPr>
            </w:pPr>
          </w:p>
        </w:tc>
        <w:tc>
          <w:tcPr>
            <w:tcW w:w="980" w:type="dxa"/>
            <w:vAlign w:val="bottom"/>
            <w:tcBorders>
              <w:bottom w:val="single" w:sz="8" w:color="004483"/>
            </w:tcBorders>
          </w:tcPr>
          <w:p>
            <w:pPr>
              <w:spacing w:after="0"/>
              <w:rPr>
                <w:sz w:val="14"/>
                <w:szCs w:val="14"/>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89"/>
        </w:trPr>
        <w:tc>
          <w:tcPr>
            <w:tcW w:w="7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37,982,580</w:t>
            </w:r>
          </w:p>
        </w:tc>
        <w:tc>
          <w:tcPr>
            <w:tcW w:w="100" w:type="dxa"/>
            <w:vAlign w:val="bottom"/>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980" w:type="dxa"/>
            <w:vAlign w:val="bottom"/>
            <w:tcBorders>
              <w:bottom w:val="single" w:sz="8" w:color="A6A6A6"/>
            </w:tcBorders>
          </w:tcPr>
          <w:p>
            <w:pPr>
              <w:spacing w:after="0"/>
              <w:rPr>
                <w:sz w:val="16"/>
                <w:szCs w:val="16"/>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99"/>
              </w:rPr>
              <w:t>42,028,619</w:t>
            </w:r>
          </w:p>
        </w:tc>
        <w:tc>
          <w:tcPr>
            <w:tcW w:w="100" w:type="dxa"/>
            <w:vAlign w:val="bottom"/>
          </w:tcPr>
          <w:p>
            <w:pPr>
              <w:spacing w:after="0"/>
              <w:rPr>
                <w:sz w:val="16"/>
                <w:szCs w:val="16"/>
                <w:color w:val="auto"/>
              </w:rPr>
            </w:pPr>
          </w:p>
        </w:tc>
      </w:tr>
      <w:tr>
        <w:trPr>
          <w:trHeight w:val="183"/>
        </w:trPr>
        <w:tc>
          <w:tcPr>
            <w:tcW w:w="7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Effect of Dilutive Shares</w:t>
            </w:r>
          </w:p>
        </w:tc>
        <w:tc>
          <w:tcPr>
            <w:tcW w:w="1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2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Assumed Exercise of Outstanding Dilutive Options</w:t>
            </w:r>
          </w:p>
        </w:tc>
        <w:tc>
          <w:tcPr>
            <w:tcW w:w="1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428,779</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652,877</w:t>
            </w:r>
          </w:p>
        </w:tc>
        <w:tc>
          <w:tcPr>
            <w:tcW w:w="100" w:type="dxa"/>
            <w:vAlign w:val="bottom"/>
          </w:tcPr>
          <w:p>
            <w:pPr>
              <w:spacing w:after="0"/>
              <w:rPr>
                <w:sz w:val="15"/>
                <w:szCs w:val="15"/>
                <w:color w:val="auto"/>
              </w:rPr>
            </w:pPr>
          </w:p>
        </w:tc>
      </w:tr>
      <w:tr>
        <w:trPr>
          <w:trHeight w:val="183"/>
        </w:trPr>
        <w:tc>
          <w:tcPr>
            <w:tcW w:w="72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Less Shares Repurchased from Proceeds of Assumed Exercised Options</w:t>
            </w:r>
          </w:p>
        </w:tc>
        <w:tc>
          <w:tcPr>
            <w:tcW w:w="1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(311,790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(425,147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72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Restricted Stock</w:t>
            </w:r>
          </w:p>
        </w:tc>
        <w:tc>
          <w:tcPr>
            <w:tcW w:w="1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123,380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181,017</w:t>
            </w:r>
          </w:p>
        </w:tc>
        <w:tc>
          <w:tcPr>
            <w:tcW w:w="100" w:type="dxa"/>
            <w:vAlign w:val="bottom"/>
          </w:tcPr>
          <w:p>
            <w:pPr>
              <w:spacing w:after="0"/>
              <w:rPr>
                <w:sz w:val="18"/>
                <w:szCs w:val="18"/>
                <w:color w:val="auto"/>
              </w:rPr>
            </w:pPr>
          </w:p>
        </w:tc>
      </w:tr>
      <w:tr>
        <w:trPr>
          <w:trHeight w:val="183"/>
        </w:trPr>
        <w:tc>
          <w:tcPr>
            <w:tcW w:w="72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Weighted-Average Common Stock and Dilutive Securities Outstanding</w:t>
            </w:r>
          </w:p>
        </w:tc>
        <w:tc>
          <w:tcPr>
            <w:tcW w:w="1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38,222,949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99"/>
              </w:rPr>
              <w:t>42,437,366</w:t>
            </w:r>
          </w:p>
        </w:tc>
        <w:tc>
          <w:tcPr>
            <w:tcW w:w="100" w:type="dxa"/>
            <w:vAlign w:val="bottom"/>
          </w:tcPr>
          <w:p>
            <w:pPr>
              <w:spacing w:after="0"/>
              <w:rPr>
                <w:sz w:val="15"/>
                <w:szCs w:val="15"/>
                <w:color w:val="auto"/>
              </w:rPr>
            </w:pPr>
          </w:p>
        </w:tc>
      </w:tr>
      <w:tr>
        <w:trPr>
          <w:trHeight w:val="20"/>
        </w:trPr>
        <w:tc>
          <w:tcPr>
            <w:tcW w:w="7200" w:type="dxa"/>
            <w:vAlign w:val="bottom"/>
            <w:tcBorders>
              <w:bottom w:val="single" w:sz="8" w:color="A6A6A6"/>
            </w:tcBorders>
          </w:tcPr>
          <w:p>
            <w:pPr>
              <w:spacing w:after="0" w:line="20" w:lineRule="exact"/>
              <w:rPr>
                <w:sz w:val="1"/>
                <w:szCs w:val="1"/>
                <w:color w:val="auto"/>
              </w:rPr>
            </w:pPr>
          </w:p>
        </w:tc>
        <w:tc>
          <w:tcPr>
            <w:tcW w:w="1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2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Shares Excluded Due to Anti-Dilution Effects</w:t>
            </w:r>
          </w:p>
        </w:tc>
        <w:tc>
          <w:tcPr>
            <w:tcW w:w="18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32,656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004483"/>
            </w:tcBorders>
          </w:tcPr>
          <w:p>
            <w:pPr>
              <w:spacing w:after="0"/>
              <w:rPr>
                <w:sz w:val="14"/>
                <w:szCs w:val="14"/>
                <w:color w:val="auto"/>
              </w:rPr>
            </w:pPr>
          </w:p>
        </w:tc>
        <w:tc>
          <w:tcPr>
            <w:tcW w:w="8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3,578</w:t>
            </w:r>
          </w:p>
        </w:tc>
        <w:tc>
          <w:tcPr>
            <w:tcW w:w="100" w:type="dxa"/>
            <w:vAlign w:val="bottom"/>
          </w:tcPr>
          <w:p>
            <w:pPr>
              <w:spacing w:after="0"/>
              <w:rPr>
                <w:sz w:val="14"/>
                <w:szCs w:val="14"/>
                <w:color w:val="auto"/>
              </w:rPr>
            </w:pPr>
          </w:p>
        </w:tc>
      </w:tr>
      <w:tr>
        <w:trPr>
          <w:trHeight w:val="20"/>
        </w:trPr>
        <w:tc>
          <w:tcPr>
            <w:tcW w:w="7200" w:type="dxa"/>
            <w:vAlign w:val="bottom"/>
            <w:tcBorders>
              <w:bottom w:val="single" w:sz="8" w:color="A6A6A6"/>
            </w:tcBorders>
          </w:tcPr>
          <w:p>
            <w:pPr>
              <w:spacing w:after="0" w:line="20" w:lineRule="exact"/>
              <w:rPr>
                <w:sz w:val="1"/>
                <w:szCs w:val="1"/>
                <w:color w:val="auto"/>
              </w:rPr>
            </w:pPr>
          </w:p>
        </w:tc>
        <w:tc>
          <w:tcPr>
            <w:tcW w:w="1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2022. Due to the frozen status, and current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funding of the single-employer pension plans, our expected pension expense for fiscal 2023 is less than $0.1 million.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INCOME TAXES</w:t>
      </w:r>
    </w:p>
    <w:p>
      <w:pPr>
        <w:spacing w:after="0" w:line="14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2022 was approximately 23%, which was higher than the effective tax rate of 22% for the three months ended June 30, 2021. The effective tax rate was higher than the U.S. Statutory rate of 21% mainly due to state income taxes, partially offset by a benefit recognized related to percentage depletion.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June 30, 2022 was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118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June 30,</w:t>
            </w:r>
          </w:p>
        </w:tc>
        <w:tc>
          <w:tcPr>
            <w:tcW w:w="1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6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7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r>
      <w:tr>
        <w:trPr>
          <w:trHeight w:val="183"/>
        </w:trPr>
        <w:tc>
          <w:tcPr>
            <w:tcW w:w="772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181,000</w:t>
            </w:r>
          </w:p>
        </w:tc>
        <w:tc>
          <w:tcPr>
            <w:tcW w:w="100" w:type="dxa"/>
            <w:vAlign w:val="bottom"/>
          </w:tcPr>
          <w:p>
            <w:pPr>
              <w:spacing w:after="0"/>
              <w:rPr>
                <w:sz w:val="16"/>
                <w:szCs w:val="16"/>
                <w:color w:val="auto"/>
              </w:rPr>
            </w:pPr>
          </w:p>
        </w:tc>
        <w:tc>
          <w:tcPr>
            <w:tcW w:w="880" w:type="dxa"/>
            <w:vAlign w:val="bottom"/>
            <w:tcBorders>
              <w:bottom w:val="single" w:sz="8" w:color="A6A6A6"/>
            </w:tcBorders>
            <w:gridSpan w:val="2"/>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6"/>
                <w:szCs w:val="16"/>
                <w:color w:val="auto"/>
              </w:rPr>
            </w:pPr>
          </w:p>
        </w:tc>
      </w:tr>
      <w:tr>
        <w:trPr>
          <w:trHeight w:val="183"/>
        </w:trPr>
        <w:tc>
          <w:tcPr>
            <w:tcW w:w="7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2.500% Senior Unsecured Notes Due 2031</w:t>
            </w:r>
          </w:p>
        </w:tc>
        <w:tc>
          <w:tcPr>
            <w:tcW w:w="5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5"/>
                <w:szCs w:val="15"/>
                <w:color w:val="auto"/>
              </w:rPr>
            </w:pPr>
          </w:p>
        </w:tc>
      </w:tr>
      <w:tr>
        <w:trPr>
          <w:trHeight w:val="209"/>
        </w:trPr>
        <w:tc>
          <w:tcPr>
            <w:tcW w:w="7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Term Loan</w:t>
            </w:r>
          </w:p>
        </w:tc>
        <w:tc>
          <w:tcPr>
            <w:tcW w:w="50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183"/>
        </w:trPr>
        <w:tc>
          <w:tcPr>
            <w:tcW w:w="7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Total Debt</w:t>
            </w:r>
          </w:p>
        </w:tc>
        <w:tc>
          <w:tcPr>
            <w:tcW w:w="5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1,131,000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950,000</w:t>
            </w:r>
          </w:p>
        </w:tc>
        <w:tc>
          <w:tcPr>
            <w:tcW w:w="100" w:type="dxa"/>
            <w:vAlign w:val="bottom"/>
          </w:tcPr>
          <w:p>
            <w:pPr>
              <w:spacing w:after="0"/>
              <w:rPr>
                <w:sz w:val="15"/>
                <w:szCs w:val="15"/>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color w:val="004483"/>
              </w:rPr>
              <w:t>Less: Unamortized Discounts and Debt Issuance Costs</w:t>
            </w:r>
          </w:p>
        </w:tc>
        <w:tc>
          <w:tcPr>
            <w:tcW w:w="5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(11,418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(11,735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7"/>
        </w:trPr>
        <w:tc>
          <w:tcPr>
            <w:tcW w:w="772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Long-term Debt</w:t>
            </w: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1,119,582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938,265</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On May 5, 2022, we amended the revolving credit facility (such facility, as amended, the Revolving Credit Facility). The Revolving Credit Facility includes a $200.0 million term loan facility (the Term Loan) and also provides the Company the option to increase the borrowing capacity by up to $375.0 million (for a total borrowing capacity of $1,125 million), provided that the existing lenders, or new lenders, agree to such increase. The Revolving Credit Facility includes a $40.0 million letter of credit facility and a swingline loan sub-facility of $25.0 million, and expires on May 5, 2027.</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98"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color w:val="auto"/>
        </w:rPr>
        <w:t>At the Company’s option, outstanding loans under the Revolving Credit Facility bear interest, at a variable rate equal to either (i) the adjusted term SOFR rate (secured overnight financing rate), plus 10 bps,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bps, plus an agreed spread (ranging from 100 to 162.5 basis points, which is established based on the Company's credit rating) or</w:t>
      </w:r>
    </w:p>
    <w:p>
      <w:pPr>
        <w:spacing w:after="0" w:line="1" w:lineRule="exact"/>
        <w:rPr>
          <w:sz w:val="20"/>
          <w:szCs w:val="20"/>
          <w:color w:val="auto"/>
        </w:rPr>
      </w:pPr>
    </w:p>
    <w:p>
      <w:pPr>
        <w:ind w:right="20" w:firstLine="8"/>
        <w:spacing w:after="0" w:line="284" w:lineRule="auto"/>
        <w:tabs>
          <w:tab w:leader="none" w:pos="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under the Revolving Credit Facility ranging from 9 to 22.5 basis points which is established based on the Company's then credit rating.</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9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was $181.0 million of outstanding borrowings under the Revolving Credit Facility, plus $6.4 million outstanding letters of credit as of June 30, 2022, leaving us with $562.6 million of available borrowings under the Revolving Credit Facility, net of the outstanding letters of credit. We were in compliance with all Financial Covenants on June 30, 2022; therefore, all $562.6 million is available for future borrowings.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principle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Retirement of Debt</w:t>
      </w:r>
    </w:p>
    <w:p>
      <w:pPr>
        <w:spacing w:after="0" w:line="166"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under and terminated our $665.0 million term loan credit agreement (the Term Loan Credit Agreement). The Term Loan Credit Agreement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13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9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California, Colorado, Illinois, Indiana, Iowa, Kansas, Kentucky, Missouri, Nebraska, Nevada, Ohio, Oklahoma, and Texas. We operate 30 readymix concrete batch plants and five aggregates processing plants in markets that are complementary to our cement network.</w:t>
      </w:r>
    </w:p>
    <w:p>
      <w:pPr>
        <w:spacing w:after="0" w:line="98"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ind w:right="260"/>
        <w:spacing w:after="0" w:line="293"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6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640" w:type="dxa"/>
            <w:vAlign w:val="bottom"/>
            <w:gridSpan w:val="5"/>
            <w:shd w:val="clear" w:color="auto" w:fill="004483"/>
          </w:tcPr>
          <w:p>
            <w:pPr>
              <w:jc w:val="center"/>
              <w:ind w:left="144"/>
              <w:spacing w:after="0"/>
              <w:rPr>
                <w:sz w:val="20"/>
                <w:szCs w:val="20"/>
                <w:color w:val="auto"/>
              </w:rPr>
            </w:pPr>
            <w:r>
              <w:rPr>
                <w:rFonts w:ascii="Arial" w:cs="Arial" w:eastAsia="Arial" w:hAnsi="Arial"/>
                <w:sz w:val="13"/>
                <w:szCs w:val="13"/>
                <w:b w:val="1"/>
                <w:bCs w:val="1"/>
                <w:color w:val="FFFFFF"/>
                <w:w w:val="88"/>
              </w:rPr>
              <w:t>For the Three Months Ended June 30,</w:t>
            </w:r>
          </w:p>
        </w:tc>
        <w:tc>
          <w:tcPr>
            <w:tcW w:w="7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640" w:type="dxa"/>
            <w:vAlign w:val="bottom"/>
            <w:tcBorders>
              <w:bottom w:val="single" w:sz="8" w:color="004483"/>
            </w:tcBorders>
            <w:gridSpan w:val="5"/>
          </w:tcPr>
          <w:p>
            <w:pPr>
              <w:jc w:val="center"/>
              <w:ind w:left="144"/>
              <w:spacing w:after="0"/>
              <w:rPr>
                <w:sz w:val="20"/>
                <w:szCs w:val="20"/>
                <w:color w:val="auto"/>
              </w:rPr>
            </w:pPr>
            <w:r>
              <w:rPr>
                <w:rFonts w:ascii="Arial" w:cs="Arial" w:eastAsia="Arial" w:hAnsi="Arial"/>
                <w:sz w:val="13"/>
                <w:szCs w:val="13"/>
                <w:color w:val="auto"/>
                <w:w w:val="88"/>
              </w:rPr>
              <w:t>(dollars in thousands)</w:t>
            </w:r>
          </w:p>
        </w:tc>
        <w:tc>
          <w:tcPr>
            <w:tcW w:w="7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50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140" w:type="dxa"/>
            <w:vAlign w:val="bottom"/>
            <w:tcBorders>
              <w:bottom w:val="single" w:sz="8" w:color="A6A6A6"/>
            </w:tcBorders>
          </w:tcPr>
          <w:p>
            <w:pPr>
              <w:spacing w:after="0"/>
              <w:rPr>
                <w:sz w:val="16"/>
                <w:szCs w:val="16"/>
                <w:color w:val="auto"/>
              </w:rPr>
            </w:pPr>
          </w:p>
        </w:tc>
        <w:tc>
          <w:tcPr>
            <w:tcW w:w="7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500" w:type="dxa"/>
            <w:vAlign w:val="bottom"/>
            <w:tcBorders>
              <w:bottom w:val="single" w:sz="8" w:color="A6A6A6"/>
            </w:tcBorders>
          </w:tcPr>
          <w:p>
            <w:pPr>
              <w:jc w:val="right"/>
              <w:ind w:right="322"/>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284,516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6A6A6"/>
            </w:tcBorders>
            <w:gridSpan w:val="2"/>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270,255</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61,618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44,754</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216,327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166,267</w:t>
            </w:r>
          </w:p>
        </w:tc>
        <w:tc>
          <w:tcPr>
            <w:tcW w:w="100" w:type="dxa"/>
            <w:vAlign w:val="bottom"/>
          </w:tcPr>
          <w:p>
            <w:pPr>
              <w:spacing w:after="0"/>
              <w:rPr>
                <w:sz w:val="15"/>
                <w:szCs w:val="15"/>
                <w:color w:val="auto"/>
              </w:rPr>
            </w:pPr>
          </w:p>
        </w:tc>
      </w:tr>
      <w:tr>
        <w:trPr>
          <w:trHeight w:val="209"/>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54,073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4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43,267</w:t>
            </w:r>
          </w:p>
        </w:tc>
        <w:tc>
          <w:tcPr>
            <w:tcW w:w="100" w:type="dxa"/>
            <w:vAlign w:val="bottom"/>
          </w:tcPr>
          <w:p>
            <w:pPr>
              <w:spacing w:after="0"/>
              <w:rPr>
                <w:sz w:val="18"/>
                <w:szCs w:val="18"/>
                <w:color w:val="auto"/>
              </w:rPr>
            </w:pPr>
          </w:p>
        </w:tc>
      </w:tr>
      <w:tr>
        <w:trPr>
          <w:trHeight w:val="183"/>
        </w:trPr>
        <w:tc>
          <w:tcPr>
            <w:tcW w:w="726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616,534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524,543</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Less: Intersegment Revenue</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(28,832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(26,082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260" w:type="dxa"/>
            <w:vAlign w:val="bottom"/>
          </w:tcPr>
          <w:p>
            <w:pPr>
              <w:ind w:left="200"/>
              <w:spacing w:after="0" w:line="183" w:lineRule="exact"/>
              <w:rPr>
                <w:sz w:val="20"/>
                <w:szCs w:val="20"/>
                <w:color w:val="auto"/>
              </w:rPr>
            </w:pPr>
            <w:r>
              <w:rPr>
                <w:rFonts w:ascii="Arial" w:cs="Arial" w:eastAsia="Arial" w:hAnsi="Arial"/>
                <w:sz w:val="16"/>
                <w:szCs w:val="16"/>
                <w:color w:val="004483"/>
              </w:rPr>
              <w:t>Less: Joint Venture Revenue</w:t>
            </w:r>
          </w:p>
        </w:tc>
        <w:tc>
          <w:tcPr>
            <w:tcW w:w="5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(26,315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(22,691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7"/>
        </w:trPr>
        <w:tc>
          <w:tcPr>
            <w:tcW w:w="726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260" w:type="dxa"/>
            <w:vAlign w:val="bottom"/>
          </w:tcPr>
          <w:p>
            <w:pPr>
              <w:spacing w:after="0"/>
              <w:rPr>
                <w:sz w:val="15"/>
                <w:szCs w:val="15"/>
                <w:color w:val="auto"/>
              </w:rPr>
            </w:pPr>
          </w:p>
        </w:tc>
        <w:tc>
          <w:tcPr>
            <w:tcW w:w="500" w:type="dxa"/>
            <w:vAlign w:val="bottom"/>
            <w:tcBorders>
              <w:bottom w:val="single" w:sz="8" w:color="004483"/>
            </w:tcBorders>
          </w:tcPr>
          <w:p>
            <w:pPr>
              <w:jc w:val="right"/>
              <w:ind w:right="322"/>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561,387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bottom w:val="single" w:sz="8" w:color="004483"/>
            </w:tcBorders>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475,770</w:t>
            </w:r>
          </w:p>
        </w:tc>
        <w:tc>
          <w:tcPr>
            <w:tcW w:w="100" w:type="dxa"/>
            <w:vAlign w:val="bottom"/>
          </w:tcPr>
          <w:p>
            <w:pPr>
              <w:spacing w:after="0"/>
              <w:rPr>
                <w:sz w:val="15"/>
                <w:szCs w:val="15"/>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7260" w:type="dxa"/>
            <w:vAlign w:val="bottom"/>
            <w:tcBorders>
              <w:right w:val="single" w:sz="8" w:color="004483"/>
            </w:tcBorders>
          </w:tcPr>
          <w:p>
            <w:pPr>
              <w:spacing w:after="0"/>
              <w:rPr>
                <w:sz w:val="12"/>
                <w:szCs w:val="12"/>
                <w:color w:val="auto"/>
              </w:rPr>
            </w:pPr>
          </w:p>
        </w:tc>
        <w:tc>
          <w:tcPr>
            <w:tcW w:w="500" w:type="dxa"/>
            <w:vAlign w:val="bottom"/>
            <w:shd w:val="clear" w:color="auto" w:fill="004483"/>
          </w:tcPr>
          <w:p>
            <w:pPr>
              <w:spacing w:after="0"/>
              <w:rPr>
                <w:sz w:val="12"/>
                <w:szCs w:val="12"/>
                <w:color w:val="auto"/>
              </w:rPr>
            </w:pPr>
          </w:p>
        </w:tc>
        <w:tc>
          <w:tcPr>
            <w:tcW w:w="2640" w:type="dxa"/>
            <w:vAlign w:val="bottom"/>
            <w:gridSpan w:val="5"/>
            <w:shd w:val="clear" w:color="auto" w:fill="004483"/>
          </w:tcPr>
          <w:p>
            <w:pPr>
              <w:jc w:val="center"/>
              <w:ind w:left="144"/>
              <w:spacing w:after="0"/>
              <w:rPr>
                <w:sz w:val="20"/>
                <w:szCs w:val="20"/>
                <w:color w:val="auto"/>
              </w:rPr>
            </w:pPr>
            <w:r>
              <w:rPr>
                <w:rFonts w:ascii="Arial" w:cs="Arial" w:eastAsia="Arial" w:hAnsi="Arial"/>
                <w:sz w:val="13"/>
                <w:szCs w:val="13"/>
                <w:b w:val="1"/>
                <w:bCs w:val="1"/>
                <w:color w:val="FFFFFF"/>
                <w:w w:val="88"/>
              </w:rPr>
              <w:t>For the Three Months Ended June 30,</w:t>
            </w:r>
          </w:p>
        </w:tc>
        <w:tc>
          <w:tcPr>
            <w:tcW w:w="74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r>
      <w:tr>
        <w:trPr>
          <w:trHeight w:val="134"/>
        </w:trPr>
        <w:tc>
          <w:tcPr>
            <w:tcW w:w="7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640" w:type="dxa"/>
            <w:vAlign w:val="bottom"/>
            <w:tcBorders>
              <w:bottom w:val="single" w:sz="8" w:color="004483"/>
            </w:tcBorders>
            <w:gridSpan w:val="5"/>
          </w:tcPr>
          <w:p>
            <w:pPr>
              <w:jc w:val="center"/>
              <w:ind w:left="144"/>
              <w:spacing w:after="0"/>
              <w:rPr>
                <w:sz w:val="20"/>
                <w:szCs w:val="20"/>
                <w:color w:val="auto"/>
              </w:rPr>
            </w:pPr>
            <w:r>
              <w:rPr>
                <w:rFonts w:ascii="Arial" w:cs="Arial" w:eastAsia="Arial" w:hAnsi="Arial"/>
                <w:sz w:val="13"/>
                <w:szCs w:val="13"/>
                <w:color w:val="auto"/>
                <w:w w:val="88"/>
              </w:rPr>
              <w:t>(dollars in thousands)</w:t>
            </w:r>
          </w:p>
        </w:tc>
        <w:tc>
          <w:tcPr>
            <w:tcW w:w="7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50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140" w:type="dxa"/>
            <w:vAlign w:val="bottom"/>
            <w:tcBorders>
              <w:bottom w:val="single" w:sz="8" w:color="A6A6A6"/>
            </w:tcBorders>
          </w:tcPr>
          <w:p>
            <w:pPr>
              <w:spacing w:after="0"/>
              <w:rPr>
                <w:sz w:val="16"/>
                <w:szCs w:val="16"/>
                <w:color w:val="auto"/>
              </w:rPr>
            </w:pPr>
          </w:p>
        </w:tc>
        <w:tc>
          <w:tcPr>
            <w:tcW w:w="7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500" w:type="dxa"/>
            <w:vAlign w:val="bottom"/>
            <w:tcBorders>
              <w:bottom w:val="single" w:sz="8" w:color="A6A6A6"/>
            </w:tcBorders>
          </w:tcPr>
          <w:p>
            <w:pPr>
              <w:jc w:val="right"/>
              <w:ind w:right="342"/>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6,291</w:t>
            </w:r>
          </w:p>
        </w:tc>
        <w:tc>
          <w:tcPr>
            <w:tcW w:w="100" w:type="dxa"/>
            <w:vAlign w:val="bottom"/>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gridSpan w:val="2"/>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7,833</w:t>
            </w:r>
          </w:p>
        </w:tc>
        <w:tc>
          <w:tcPr>
            <w:tcW w:w="100" w:type="dxa"/>
            <w:vAlign w:val="bottom"/>
          </w:tcPr>
          <w:p>
            <w:pPr>
              <w:spacing w:after="0"/>
              <w:rPr>
                <w:sz w:val="15"/>
                <w:szCs w:val="15"/>
                <w:color w:val="auto"/>
              </w:rPr>
            </w:pPr>
          </w:p>
        </w:tc>
      </w:tr>
      <w:tr>
        <w:trPr>
          <w:trHeight w:val="183"/>
        </w:trPr>
        <w:tc>
          <w:tcPr>
            <w:tcW w:w="7260" w:type="dxa"/>
            <w:vAlign w:val="bottom"/>
          </w:tcPr>
          <w:p>
            <w:pPr>
              <w:ind w:left="200"/>
              <w:spacing w:after="0" w:line="183" w:lineRule="exact"/>
              <w:rPr>
                <w:sz w:val="20"/>
                <w:szCs w:val="20"/>
                <w:color w:val="auto"/>
              </w:rPr>
            </w:pPr>
            <w:r>
              <w:rPr>
                <w:rFonts w:ascii="Arial" w:cs="Arial" w:eastAsia="Arial" w:hAnsi="Arial"/>
                <w:sz w:val="16"/>
                <w:szCs w:val="16"/>
                <w:color w:val="004483"/>
              </w:rPr>
              <w:t>Paperboard</w:t>
            </w:r>
          </w:p>
        </w:tc>
        <w:tc>
          <w:tcPr>
            <w:tcW w:w="5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22,541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18,249</w:t>
            </w:r>
          </w:p>
        </w:tc>
        <w:tc>
          <w:tcPr>
            <w:tcW w:w="100" w:type="dxa"/>
            <w:vAlign w:val="bottom"/>
          </w:tcPr>
          <w:p>
            <w:pPr>
              <w:spacing w:after="0"/>
              <w:rPr>
                <w:sz w:val="15"/>
                <w:szCs w:val="15"/>
                <w:color w:val="auto"/>
              </w:rPr>
            </w:pPr>
          </w:p>
        </w:tc>
      </w:tr>
      <w:tr>
        <w:trPr>
          <w:trHeight w:val="27"/>
        </w:trPr>
        <w:tc>
          <w:tcPr>
            <w:tcW w:w="7260" w:type="dxa"/>
            <w:vAlign w:val="bottom"/>
            <w:tcBorders>
              <w:bottom w:val="single" w:sz="8" w:color="A6A6A6"/>
              <w:right w:val="single" w:sz="8" w:color="004483"/>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6A6A6"/>
            </w:tcBorders>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7260" w:type="dxa"/>
            <w:vAlign w:val="bottom"/>
          </w:tcPr>
          <w:p>
            <w:pPr>
              <w:spacing w:after="0"/>
              <w:rPr>
                <w:sz w:val="15"/>
                <w:szCs w:val="15"/>
                <w:color w:val="auto"/>
              </w:rPr>
            </w:pPr>
          </w:p>
        </w:tc>
        <w:tc>
          <w:tcPr>
            <w:tcW w:w="500" w:type="dxa"/>
            <w:vAlign w:val="bottom"/>
            <w:tcBorders>
              <w:bottom w:val="single" w:sz="8" w:color="004483"/>
            </w:tcBorders>
          </w:tcPr>
          <w:p>
            <w:pPr>
              <w:jc w:val="right"/>
              <w:ind w:right="342"/>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28,832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bottom w:val="single" w:sz="8" w:color="004483"/>
            </w:tcBorders>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26,082</w:t>
            </w:r>
          </w:p>
        </w:tc>
        <w:tc>
          <w:tcPr>
            <w:tcW w:w="100" w:type="dxa"/>
            <w:vAlign w:val="bottom"/>
          </w:tcPr>
          <w:p>
            <w:pPr>
              <w:spacing w:after="0"/>
              <w:rPr>
                <w:sz w:val="15"/>
                <w:szCs w:val="15"/>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26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Cement Sales Volume (M tons)</w:t>
            </w:r>
          </w:p>
        </w:tc>
        <w:tc>
          <w:tcPr>
            <w:tcW w:w="500" w:type="dxa"/>
            <w:vAlign w:val="bottom"/>
            <w:tcBorders>
              <w:bottom w:val="single" w:sz="8" w:color="A6A6A6"/>
            </w:tcBorders>
          </w:tcPr>
          <w:p>
            <w:pPr>
              <w:spacing w:after="0"/>
              <w:rPr>
                <w:sz w:val="14"/>
                <w:szCs w:val="14"/>
                <w:color w:val="auto"/>
              </w:rPr>
            </w:pPr>
          </w:p>
        </w:tc>
        <w:tc>
          <w:tcPr>
            <w:tcW w:w="122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7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1,805</w:t>
            </w:r>
          </w:p>
        </w:tc>
        <w:tc>
          <w:tcPr>
            <w:tcW w:w="100" w:type="dxa"/>
            <w:vAlign w:val="bottom"/>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1,852</w:t>
            </w:r>
          </w:p>
        </w:tc>
        <w:tc>
          <w:tcPr>
            <w:tcW w:w="100" w:type="dxa"/>
            <w:vAlign w:val="bottom"/>
          </w:tcPr>
          <w:p>
            <w:pPr>
              <w:spacing w:after="0"/>
              <w:rPr>
                <w:sz w:val="15"/>
                <w:szCs w:val="15"/>
                <w:color w:val="auto"/>
              </w:rPr>
            </w:pPr>
          </w:p>
        </w:tc>
      </w:tr>
      <w:tr>
        <w:trPr>
          <w:trHeight w:val="210"/>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4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r>
      <w:tr>
        <w:trPr>
          <w:trHeight w:val="183"/>
        </w:trPr>
        <w:tc>
          <w:tcPr>
            <w:tcW w:w="7260" w:type="dxa"/>
            <w:vAlign w:val="bottom"/>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1,993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2,036</w:t>
            </w:r>
          </w:p>
        </w:tc>
        <w:tc>
          <w:tcPr>
            <w:tcW w:w="100" w:type="dxa"/>
            <w:vAlign w:val="bottom"/>
          </w:tcPr>
          <w:p>
            <w:pPr>
              <w:spacing w:after="0"/>
              <w:rPr>
                <w:sz w:val="15"/>
                <w:szCs w:val="15"/>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3"/>
        </w:trPr>
        <w:tc>
          <w:tcPr>
            <w:tcW w:w="726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640" w:type="dxa"/>
            <w:vAlign w:val="bottom"/>
            <w:gridSpan w:val="4"/>
            <w:shd w:val="clear" w:color="auto" w:fill="004483"/>
          </w:tcPr>
          <w:p>
            <w:pPr>
              <w:jc w:val="right"/>
              <w:ind w:right="99"/>
              <w:spacing w:after="0"/>
              <w:rPr>
                <w:sz w:val="20"/>
                <w:szCs w:val="20"/>
                <w:color w:val="auto"/>
              </w:rPr>
            </w:pPr>
            <w:r>
              <w:rPr>
                <w:rFonts w:ascii="Arial" w:cs="Arial" w:eastAsia="Arial" w:hAnsi="Arial"/>
                <w:sz w:val="13"/>
                <w:szCs w:val="13"/>
                <w:b w:val="1"/>
                <w:bCs w:val="1"/>
                <w:color w:val="FFFFFF"/>
              </w:rPr>
              <w:t>For the Three Months Ended June 30,</w:t>
            </w:r>
          </w:p>
        </w:tc>
        <w:tc>
          <w:tcPr>
            <w:tcW w:w="7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640" w:type="dxa"/>
            <w:vAlign w:val="bottom"/>
            <w:tcBorders>
              <w:bottom w:val="single" w:sz="8" w:color="004483"/>
            </w:tcBorders>
            <w:gridSpan w:val="4"/>
          </w:tcPr>
          <w:p>
            <w:pPr>
              <w:jc w:val="right"/>
              <w:ind w:right="579"/>
              <w:spacing w:after="0"/>
              <w:rPr>
                <w:sz w:val="20"/>
                <w:szCs w:val="20"/>
                <w:color w:val="auto"/>
              </w:rPr>
            </w:pPr>
            <w:r>
              <w:rPr>
                <w:rFonts w:ascii="Arial" w:cs="Arial" w:eastAsia="Arial" w:hAnsi="Arial"/>
                <w:sz w:val="13"/>
                <w:szCs w:val="13"/>
                <w:color w:val="auto"/>
              </w:rPr>
              <w:t>(dollars in thousands)</w:t>
            </w:r>
          </w:p>
        </w:tc>
        <w:tc>
          <w:tcPr>
            <w:tcW w:w="7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Operating Earnings</w:t>
            </w:r>
          </w:p>
        </w:tc>
        <w:tc>
          <w:tcPr>
            <w:tcW w:w="50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140" w:type="dxa"/>
            <w:vAlign w:val="bottom"/>
            <w:tcBorders>
              <w:bottom w:val="single" w:sz="8" w:color="A6A6A6"/>
            </w:tcBorders>
          </w:tcPr>
          <w:p>
            <w:pPr>
              <w:spacing w:after="0"/>
              <w:rPr>
                <w:sz w:val="16"/>
                <w:szCs w:val="16"/>
                <w:color w:val="auto"/>
              </w:rPr>
            </w:pPr>
          </w:p>
        </w:tc>
        <w:tc>
          <w:tcPr>
            <w:tcW w:w="7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500" w:type="dxa"/>
            <w:vAlign w:val="bottom"/>
            <w:tcBorders>
              <w:bottom w:val="single" w:sz="8" w:color="A6A6A6"/>
            </w:tcBorders>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62,348</w:t>
            </w:r>
          </w:p>
        </w:tc>
        <w:tc>
          <w:tcPr>
            <w:tcW w:w="120" w:type="dxa"/>
            <w:vAlign w:val="bottom"/>
          </w:tcPr>
          <w:p>
            <w:pPr>
              <w:spacing w:after="0"/>
              <w:rPr>
                <w:sz w:val="15"/>
                <w:szCs w:val="15"/>
                <w:color w:val="auto"/>
              </w:rPr>
            </w:pPr>
          </w:p>
        </w:tc>
        <w:tc>
          <w:tcPr>
            <w:tcW w:w="1300" w:type="dxa"/>
            <w:vAlign w:val="bottom"/>
            <w:tcBorders>
              <w:bottom w:val="single" w:sz="8" w:color="A6A6A6"/>
            </w:tcBorders>
            <w:gridSpan w:val="2"/>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62,547</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5,732</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5,344</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84,068</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63,253</w:t>
            </w:r>
          </w:p>
        </w:tc>
        <w:tc>
          <w:tcPr>
            <w:tcW w:w="100" w:type="dxa"/>
            <w:vAlign w:val="bottom"/>
          </w:tcPr>
          <w:p>
            <w:pPr>
              <w:spacing w:after="0"/>
              <w:rPr>
                <w:sz w:val="15"/>
                <w:szCs w:val="15"/>
                <w:color w:val="auto"/>
              </w:rPr>
            </w:pPr>
          </w:p>
        </w:tc>
      </w:tr>
      <w:tr>
        <w:trPr>
          <w:trHeight w:val="210"/>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3,816</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4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3,337</w:t>
            </w:r>
          </w:p>
        </w:tc>
        <w:tc>
          <w:tcPr>
            <w:tcW w:w="100" w:type="dxa"/>
            <w:vAlign w:val="bottom"/>
          </w:tcPr>
          <w:p>
            <w:pPr>
              <w:spacing w:after="0"/>
              <w:rPr>
                <w:sz w:val="18"/>
                <w:szCs w:val="18"/>
                <w:color w:val="auto"/>
              </w:rPr>
            </w:pPr>
          </w:p>
        </w:tc>
      </w:tr>
      <w:tr>
        <w:trPr>
          <w:trHeight w:val="183"/>
        </w:trPr>
        <w:tc>
          <w:tcPr>
            <w:tcW w:w="72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Sub-Total</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155,964</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134,481</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(11,820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(9,468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Non-Operating Income (Loss)</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(635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14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3,678</w:t>
            </w:r>
          </w:p>
        </w:tc>
        <w:tc>
          <w:tcPr>
            <w:tcW w:w="100" w:type="dxa"/>
            <w:vAlign w:val="bottom"/>
          </w:tcPr>
          <w:p>
            <w:pPr>
              <w:spacing w:after="0"/>
              <w:rPr>
                <w:sz w:val="18"/>
                <w:szCs w:val="18"/>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Earnings Before Interest and Income Taxes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143,509</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128,691</w:t>
            </w:r>
          </w:p>
        </w:tc>
        <w:tc>
          <w:tcPr>
            <w:tcW w:w="100" w:type="dxa"/>
            <w:vAlign w:val="bottom"/>
          </w:tcPr>
          <w:p>
            <w:pPr>
              <w:spacing w:after="0"/>
              <w:rPr>
                <w:sz w:val="15"/>
                <w:szCs w:val="15"/>
                <w:color w:val="auto"/>
              </w:rPr>
            </w:pPr>
          </w:p>
        </w:tc>
      </w:tr>
      <w:tr>
        <w:trPr>
          <w:trHeight w:val="183"/>
        </w:trPr>
        <w:tc>
          <w:tcPr>
            <w:tcW w:w="7260" w:type="dxa"/>
            <w:vAlign w:val="bottom"/>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5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(7,330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(6,972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7"/>
        </w:trPr>
        <w:tc>
          <w:tcPr>
            <w:tcW w:w="726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260" w:type="dxa"/>
            <w:vAlign w:val="bottom"/>
          </w:tcPr>
          <w:p>
            <w:pPr>
              <w:ind w:left="200"/>
              <w:spacing w:after="0" w:line="183" w:lineRule="exact"/>
              <w:rPr>
                <w:sz w:val="20"/>
                <w:szCs w:val="20"/>
                <w:color w:val="auto"/>
              </w:rPr>
            </w:pPr>
            <w:r>
              <w:rPr>
                <w:rFonts w:ascii="Arial" w:cs="Arial" w:eastAsia="Arial" w:hAnsi="Arial"/>
                <w:sz w:val="16"/>
                <w:szCs w:val="16"/>
                <w:b w:val="1"/>
                <w:bCs w:val="1"/>
                <w:color w:val="004483"/>
              </w:rPr>
              <w:t>Earnings Before Income Taxes</w:t>
            </w: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136,179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bottom w:val="single" w:sz="8" w:color="004483"/>
            </w:tcBorders>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121,719</w:t>
            </w:r>
          </w:p>
        </w:tc>
        <w:tc>
          <w:tcPr>
            <w:tcW w:w="100" w:type="dxa"/>
            <w:vAlign w:val="bottom"/>
          </w:tcPr>
          <w:p>
            <w:pPr>
              <w:spacing w:after="0"/>
              <w:rPr>
                <w:sz w:val="15"/>
                <w:szCs w:val="15"/>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26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color w:val="004483"/>
              </w:rPr>
              <w:t>Cement Operating Earnings -</w:t>
            </w:r>
          </w:p>
        </w:tc>
        <w:tc>
          <w:tcPr>
            <w:tcW w:w="500" w:type="dxa"/>
            <w:vAlign w:val="bottom"/>
            <w:tcBorders>
              <w:bottom w:val="single" w:sz="8" w:color="A6A6A6"/>
            </w:tcBorders>
          </w:tcPr>
          <w:p>
            <w:pPr>
              <w:spacing w:after="0"/>
              <w:rPr>
                <w:sz w:val="14"/>
                <w:szCs w:val="14"/>
                <w:color w:val="auto"/>
              </w:rPr>
            </w:pPr>
          </w:p>
        </w:tc>
        <w:tc>
          <w:tcPr>
            <w:tcW w:w="122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7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500" w:type="dxa"/>
            <w:vAlign w:val="bottom"/>
            <w:tcBorders>
              <w:bottom w:val="single" w:sz="8" w:color="A6A6A6"/>
            </w:tcBorders>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57,250</w:t>
            </w:r>
          </w:p>
        </w:tc>
        <w:tc>
          <w:tcPr>
            <w:tcW w:w="120" w:type="dxa"/>
            <w:vAlign w:val="bottom"/>
          </w:tcPr>
          <w:p>
            <w:pPr>
              <w:spacing w:after="0"/>
              <w:rPr>
                <w:sz w:val="15"/>
                <w:szCs w:val="15"/>
                <w:color w:val="auto"/>
              </w:rPr>
            </w:pPr>
          </w:p>
        </w:tc>
        <w:tc>
          <w:tcPr>
            <w:tcW w:w="1300" w:type="dxa"/>
            <w:vAlign w:val="bottom"/>
            <w:tcBorders>
              <w:bottom w:val="single" w:sz="8" w:color="A6A6A6"/>
            </w:tcBorders>
            <w:gridSpan w:val="2"/>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54,577</w:t>
            </w:r>
          </w:p>
        </w:tc>
        <w:tc>
          <w:tcPr>
            <w:tcW w:w="100" w:type="dxa"/>
            <w:vAlign w:val="bottom"/>
          </w:tcPr>
          <w:p>
            <w:pPr>
              <w:spacing w:after="0"/>
              <w:rPr>
                <w:sz w:val="15"/>
                <w:szCs w:val="15"/>
                <w:color w:val="auto"/>
              </w:rPr>
            </w:pPr>
          </w:p>
        </w:tc>
      </w:tr>
      <w:tr>
        <w:trPr>
          <w:trHeight w:val="183"/>
        </w:trPr>
        <w:tc>
          <w:tcPr>
            <w:tcW w:w="7260" w:type="dxa"/>
            <w:vAlign w:val="bottom"/>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5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5,098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7,970</w:t>
            </w:r>
          </w:p>
        </w:tc>
        <w:tc>
          <w:tcPr>
            <w:tcW w:w="100" w:type="dxa"/>
            <w:vAlign w:val="bottom"/>
          </w:tcPr>
          <w:p>
            <w:pPr>
              <w:spacing w:after="0"/>
              <w:rPr>
                <w:sz w:val="15"/>
                <w:szCs w:val="15"/>
                <w:color w:val="auto"/>
              </w:rPr>
            </w:pPr>
          </w:p>
        </w:tc>
      </w:tr>
      <w:tr>
        <w:trPr>
          <w:trHeight w:val="27"/>
        </w:trPr>
        <w:tc>
          <w:tcPr>
            <w:tcW w:w="726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7260" w:type="dxa"/>
            <w:vAlign w:val="bottom"/>
          </w:tcPr>
          <w:p>
            <w:pPr>
              <w:spacing w:after="0"/>
              <w:rPr>
                <w:sz w:val="15"/>
                <w:szCs w:val="15"/>
                <w:color w:val="auto"/>
              </w:rPr>
            </w:pP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62,348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bottom w:val="single" w:sz="8" w:color="004483"/>
            </w:tcBorders>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62,547</w:t>
            </w:r>
          </w:p>
        </w:tc>
        <w:tc>
          <w:tcPr>
            <w:tcW w:w="100" w:type="dxa"/>
            <w:vAlign w:val="bottom"/>
          </w:tcPr>
          <w:p>
            <w:pPr>
              <w:spacing w:after="0"/>
              <w:rPr>
                <w:sz w:val="15"/>
                <w:szCs w:val="15"/>
                <w:color w:val="auto"/>
              </w:rPr>
            </w:pPr>
          </w:p>
        </w:tc>
      </w:tr>
      <w:tr>
        <w:trPr>
          <w:trHeight w:val="20"/>
        </w:trPr>
        <w:tc>
          <w:tcPr>
            <w:tcW w:w="726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26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Capital Expenditures</w:t>
            </w: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945"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706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880" w:type="dxa"/>
            <w:vAlign w:val="bottom"/>
            <w:tcBorders>
              <w:top w:val="single" w:sz="8" w:color="A6A6A6"/>
              <w:bottom w:val="single" w:sz="8" w:color="A6A6A6"/>
            </w:tcBorders>
            <w:gridSpan w:val="2"/>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8,986</w:t>
            </w: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652</w:t>
            </w: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200" w:type="dxa"/>
            <w:vAlign w:val="bottom"/>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4,079</w:t>
            </w: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837</w:t>
            </w:r>
          </w:p>
        </w:tc>
      </w:tr>
      <w:tr>
        <w:trPr>
          <w:trHeight w:val="183"/>
        </w:trPr>
        <w:tc>
          <w:tcPr>
            <w:tcW w:w="7060" w:type="dxa"/>
            <w:vAlign w:val="bottom"/>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360</w:t>
            </w:r>
          </w:p>
        </w:tc>
      </w:tr>
      <w:tr>
        <w:trPr>
          <w:trHeight w:val="27"/>
        </w:trPr>
        <w:tc>
          <w:tcPr>
            <w:tcW w:w="7060" w:type="dxa"/>
            <w:vAlign w:val="bottom"/>
            <w:tcBorders>
              <w:bottom w:val="single" w:sz="8" w:color="A6A6A6"/>
            </w:tcBorders>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r>
      <w:tr>
        <w:trPr>
          <w:trHeight w:val="183"/>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004483"/>
            </w:tcBorders>
          </w:tcPr>
          <w:p>
            <w:pPr>
              <w:jc w:val="right"/>
              <w:ind w:right="49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14,914</w:t>
            </w:r>
          </w:p>
        </w:tc>
      </w:tr>
      <w:tr>
        <w:trPr>
          <w:trHeight w:val="20"/>
        </w:trPr>
        <w:tc>
          <w:tcPr>
            <w:tcW w:w="706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r>
      <w:tr>
        <w:trPr>
          <w:trHeight w:val="169"/>
        </w:trPr>
        <w:tc>
          <w:tcPr>
            <w:tcW w:w="706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Depreciation, Depletion, and Amortization</w:t>
            </w:r>
          </w:p>
        </w:tc>
        <w:tc>
          <w:tcPr>
            <w:tcW w:w="200" w:type="dxa"/>
            <w:vAlign w:val="bottom"/>
            <w:tcBorders>
              <w:bottom w:val="single" w:sz="8" w:color="A6A6A6"/>
            </w:tcBorders>
          </w:tcPr>
          <w:p>
            <w:pPr>
              <w:spacing w:after="0"/>
              <w:rPr>
                <w:sz w:val="14"/>
                <w:szCs w:val="14"/>
                <w:color w:val="auto"/>
              </w:rPr>
            </w:pPr>
          </w:p>
        </w:tc>
        <w:tc>
          <w:tcPr>
            <w:tcW w:w="680" w:type="dxa"/>
            <w:vAlign w:val="bottom"/>
            <w:tcBorders>
              <w:bottom w:val="single" w:sz="8" w:color="A6A6A6"/>
            </w:tcBorders>
          </w:tcPr>
          <w:p>
            <w:pPr>
              <w:spacing w:after="0"/>
              <w:rPr>
                <w:sz w:val="14"/>
                <w:szCs w:val="14"/>
                <w:color w:val="auto"/>
              </w:rPr>
            </w:pPr>
          </w:p>
        </w:tc>
        <w:tc>
          <w:tcPr>
            <w:tcW w:w="1040" w:type="dxa"/>
            <w:vAlign w:val="bottom"/>
            <w:tcBorders>
              <w:bottom w:val="single" w:sz="8" w:color="A6A6A6"/>
            </w:tcBorders>
          </w:tcPr>
          <w:p>
            <w:pPr>
              <w:spacing w:after="0"/>
              <w:rPr>
                <w:sz w:val="14"/>
                <w:szCs w:val="14"/>
                <w:color w:val="auto"/>
              </w:rPr>
            </w:pP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880" w:type="dxa"/>
            <w:vAlign w:val="bottom"/>
            <w:tcBorders>
              <w:bottom w:val="single" w:sz="8" w:color="A6A6A6"/>
            </w:tcBorders>
            <w:gridSpan w:val="2"/>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20,053</w:t>
            </w: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4,201</w:t>
            </w: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5,563</w:t>
            </w: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3,717</w:t>
            </w:r>
          </w:p>
        </w:tc>
      </w:tr>
      <w:tr>
        <w:trPr>
          <w:trHeight w:val="210"/>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695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960" w:type="dxa"/>
            <w:vAlign w:val="bottom"/>
            <w:tcBorders>
              <w:top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7,967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2941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2941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1,694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2941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1,117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2941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6985</wp:posOffset>
            </wp:positionV>
            <wp:extent cx="118300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83005" cy="25400"/>
                    </a:xfrm>
                    <a:prstGeom prst="rect">
                      <a:avLst/>
                    </a:prstGeom>
                    <a:noFill/>
                  </pic:spPr>
                </pic:pic>
              </a:graphicData>
            </a:graphic>
          </wp:anchor>
        </w:drawing>
      </w:r>
    </w:p>
    <w:p>
      <w:pPr>
        <w:spacing w:after="0" w:line="18" w:lineRule="exact"/>
        <w:rPr>
          <w:sz w:val="20"/>
          <w:szCs w:val="20"/>
          <w:color w:val="auto"/>
        </w:rPr>
      </w:pPr>
    </w:p>
    <w:p>
      <w:pPr>
        <w:ind w:left="1580" w:hanging="1398"/>
        <w:spacing w:after="0"/>
        <w:tabs>
          <w:tab w:leader="none" w:pos="158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11,935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129413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94130" cy="2540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Borders>
              <w:top w:val="single" w:sz="8" w:color="A6A6A6"/>
            </w:tcBorders>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19,531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2941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2941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5,396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2941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2941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771</w:t>
      </w:r>
    </w:p>
    <w:p>
      <w:pPr>
        <w:spacing w:after="0" w:line="52" w:lineRule="exact"/>
        <w:rPr>
          <w:sz w:val="20"/>
          <w:szCs w:val="20"/>
          <w:color w:val="auto"/>
        </w:rPr>
      </w:pPr>
    </w:p>
    <w:p>
      <w:pPr>
        <w:sectPr>
          <w:pgSz w:w="11900" w:h="16838" w:orient="portrait"/>
          <w:cols w:equalWidth="0" w:num="2">
            <w:col w:w="8980" w:space="120"/>
            <w:col w:w="214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620" w:type="dxa"/>
            <w:vAlign w:val="bottom"/>
            <w:gridSpan w:val="2"/>
          </w:tcPr>
          <w:p>
            <w:pPr>
              <w:jc w:val="right"/>
              <w:ind w:right="320"/>
              <w:spacing w:after="0" w:line="169" w:lineRule="exact"/>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34,229</w:t>
            </w:r>
          </w:p>
        </w:tc>
        <w:tc>
          <w:tcPr>
            <w:tcW w:w="120" w:type="dxa"/>
            <w:vAlign w:val="bottom"/>
          </w:tcPr>
          <w:p>
            <w:pPr>
              <w:spacing w:after="0"/>
              <w:rPr>
                <w:sz w:val="14"/>
                <w:szCs w:val="14"/>
                <w:color w:val="auto"/>
              </w:rPr>
            </w:pPr>
          </w:p>
        </w:tc>
        <w:tc>
          <w:tcPr>
            <w:tcW w:w="160" w:type="dxa"/>
            <w:vAlign w:val="bottom"/>
            <w:tcBorders>
              <w:top w:val="single" w:sz="8" w:color="A6A6A6"/>
            </w:tcBorders>
          </w:tcPr>
          <w:p>
            <w:pPr>
              <w:spacing w:after="0"/>
              <w:rPr>
                <w:sz w:val="14"/>
                <w:szCs w:val="14"/>
                <w:color w:val="auto"/>
              </w:rPr>
            </w:pPr>
          </w:p>
        </w:tc>
        <w:tc>
          <w:tcPr>
            <w:tcW w:w="120" w:type="dxa"/>
            <w:vAlign w:val="bottom"/>
            <w:tcBorders>
              <w:top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180" w:type="dxa"/>
            <w:vAlign w:val="bottom"/>
            <w:tcBorders>
              <w:top w:val="single" w:sz="8" w:color="004483"/>
            </w:tcBorders>
          </w:tcPr>
          <w:p>
            <w:pPr>
              <w:spacing w:after="0"/>
              <w:rPr>
                <w:sz w:val="14"/>
                <w:szCs w:val="14"/>
                <w:color w:val="auto"/>
              </w:rPr>
            </w:pPr>
          </w:p>
        </w:tc>
        <w:tc>
          <w:tcPr>
            <w:tcW w:w="660" w:type="dxa"/>
            <w:vAlign w:val="bottom"/>
            <w:tcBorders>
              <w:top w:val="single" w:sz="8" w:color="004483"/>
            </w:tcBorders>
          </w:tcPr>
          <w:p>
            <w:pPr>
              <w:spacing w:after="0"/>
              <w:rPr>
                <w:sz w:val="14"/>
                <w:szCs w:val="14"/>
                <w:color w:val="auto"/>
              </w:rPr>
            </w:pPr>
          </w:p>
        </w:tc>
        <w:tc>
          <w:tcPr>
            <w:tcW w:w="920" w:type="dxa"/>
            <w:vAlign w:val="bottom"/>
            <w:tcBorders>
              <w:top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rPr>
              <w:t>31,944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004483"/>
              <w:bottom w:val="single" w:sz="8" w:color="004483"/>
            </w:tcBorders>
          </w:tcPr>
          <w:p>
            <w:pPr>
              <w:spacing w:after="0" w:line="20" w:lineRule="exact"/>
              <w:rPr>
                <w:sz w:val="1"/>
                <w:szCs w:val="1"/>
                <w:color w:val="auto"/>
              </w:rPr>
            </w:pPr>
          </w:p>
        </w:tc>
        <w:tc>
          <w:tcPr>
            <w:tcW w:w="480" w:type="dxa"/>
            <w:vAlign w:val="bottom"/>
            <w:tcBorders>
              <w:top w:val="single" w:sz="8" w:color="004483"/>
              <w:bottom w:val="single" w:sz="8" w:color="004483"/>
            </w:tcBorders>
          </w:tcPr>
          <w:p>
            <w:pPr>
              <w:spacing w:after="0" w:line="20" w:lineRule="exact"/>
              <w:rPr>
                <w:sz w:val="1"/>
                <w:szCs w:val="1"/>
                <w:color w:val="auto"/>
              </w:rPr>
            </w:pPr>
          </w:p>
        </w:tc>
        <w:tc>
          <w:tcPr>
            <w:tcW w:w="82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Borders>
              <w:top w:val="single" w:sz="8" w:color="004483"/>
              <w:bottom w:val="single" w:sz="8" w:color="004483"/>
            </w:tcBorders>
          </w:tcPr>
          <w:p>
            <w:pPr>
              <w:spacing w:after="0" w:line="20" w:lineRule="exact"/>
              <w:rPr>
                <w:sz w:val="1"/>
                <w:szCs w:val="1"/>
                <w:color w:val="auto"/>
              </w:rPr>
            </w:pPr>
          </w:p>
        </w:tc>
        <w:tc>
          <w:tcPr>
            <w:tcW w:w="660" w:type="dxa"/>
            <w:vAlign w:val="bottom"/>
            <w:tcBorders>
              <w:top w:val="single" w:sz="8" w:color="004483"/>
              <w:bottom w:val="single" w:sz="8" w:color="004483"/>
            </w:tcBorders>
          </w:tcPr>
          <w:p>
            <w:pPr>
              <w:spacing w:after="0" w:line="20" w:lineRule="exact"/>
              <w:rPr>
                <w:sz w:val="1"/>
                <w:szCs w:val="1"/>
                <w:color w:val="auto"/>
              </w:rPr>
            </w:pPr>
          </w:p>
        </w:tc>
        <w:tc>
          <w:tcPr>
            <w:tcW w:w="92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shd w:val="clear" w:color="auto" w:fill="004483"/>
          </w:tcPr>
          <w:p>
            <w:pPr>
              <w:spacing w:after="0"/>
              <w:rPr>
                <w:sz w:val="12"/>
                <w:szCs w:val="12"/>
                <w:color w:val="auto"/>
              </w:rPr>
            </w:pPr>
          </w:p>
        </w:tc>
        <w:tc>
          <w:tcPr>
            <w:tcW w:w="110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2"/>
                <w:szCs w:val="12"/>
                <w:color w:val="auto"/>
              </w:rPr>
            </w:pPr>
          </w:p>
        </w:tc>
        <w:tc>
          <w:tcPr>
            <w:tcW w:w="180" w:type="dxa"/>
            <w:vAlign w:val="bottom"/>
            <w:shd w:val="clear" w:color="auto" w:fill="004483"/>
          </w:tcPr>
          <w:p>
            <w:pPr>
              <w:spacing w:after="0"/>
              <w:rPr>
                <w:sz w:val="12"/>
                <w:szCs w:val="12"/>
                <w:color w:val="auto"/>
              </w:rPr>
            </w:pPr>
          </w:p>
        </w:tc>
        <w:tc>
          <w:tcPr>
            <w:tcW w:w="660" w:type="dxa"/>
            <w:vAlign w:val="bottom"/>
            <w:shd w:val="clear" w:color="auto" w:fill="004483"/>
          </w:tcPr>
          <w:p>
            <w:pPr>
              <w:spacing w:after="0"/>
              <w:rPr>
                <w:sz w:val="12"/>
                <w:szCs w:val="12"/>
                <w:color w:val="auto"/>
              </w:rPr>
            </w:pPr>
          </w:p>
        </w:tc>
        <w:tc>
          <w:tcPr>
            <w:tcW w:w="9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March 31,</w:t>
            </w:r>
          </w:p>
        </w:tc>
        <w:tc>
          <w:tcPr>
            <w:tcW w:w="100" w:type="dxa"/>
            <w:vAlign w:val="bottom"/>
            <w:shd w:val="clear" w:color="auto" w:fill="004483"/>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6"/>
          </w:tcPr>
          <w:p>
            <w:pPr>
              <w:jc w:val="right"/>
              <w:ind w:right="17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00" w:type="dxa"/>
            <w:vAlign w:val="bottom"/>
            <w:tcBorders>
              <w:bottom w:val="single" w:sz="8" w:color="A6A6A6"/>
            </w:tcBorders>
          </w:tcPr>
          <w:p>
            <w:pPr>
              <w:spacing w:after="0"/>
              <w:rPr>
                <w:sz w:val="16"/>
                <w:szCs w:val="16"/>
                <w:color w:val="auto"/>
              </w:rPr>
            </w:pPr>
          </w:p>
        </w:tc>
        <w:tc>
          <w:tcPr>
            <w:tcW w:w="420" w:type="dxa"/>
            <w:vAlign w:val="bottom"/>
            <w:tcBorders>
              <w:bottom w:val="single" w:sz="8" w:color="A6A6A6"/>
            </w:tcBorders>
          </w:tcPr>
          <w:p>
            <w:pPr>
              <w:spacing w:after="0"/>
              <w:rPr>
                <w:sz w:val="16"/>
                <w:szCs w:val="16"/>
                <w:color w:val="auto"/>
              </w:rPr>
            </w:pPr>
          </w:p>
        </w:tc>
        <w:tc>
          <w:tcPr>
            <w:tcW w:w="480" w:type="dxa"/>
            <w:vAlign w:val="bottom"/>
            <w:tcBorders>
              <w:bottom w:val="single" w:sz="8" w:color="A6A6A6"/>
            </w:tcBorders>
          </w:tcPr>
          <w:p>
            <w:pPr>
              <w:spacing w:after="0"/>
              <w:rPr>
                <w:sz w:val="16"/>
                <w:szCs w:val="16"/>
                <w:color w:val="auto"/>
              </w:rPr>
            </w:pPr>
          </w:p>
        </w:tc>
        <w:tc>
          <w:tcPr>
            <w:tcW w:w="8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660" w:type="dxa"/>
            <w:vAlign w:val="bottom"/>
            <w:tcBorders>
              <w:bottom w:val="single" w:sz="8" w:color="A6A6A6"/>
            </w:tcBorders>
          </w:tcPr>
          <w:p>
            <w:pPr>
              <w:spacing w:after="0"/>
              <w:rPr>
                <w:sz w:val="16"/>
                <w:szCs w:val="16"/>
                <w:color w:val="auto"/>
              </w:rPr>
            </w:pPr>
          </w:p>
        </w:tc>
        <w:tc>
          <w:tcPr>
            <w:tcW w:w="9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1100" w:type="dxa"/>
            <w:vAlign w:val="bottom"/>
            <w:tcBorders>
              <w:bottom w:val="single" w:sz="8" w:color="A6A6A6"/>
            </w:tcBorders>
            <w:gridSpan w:val="3"/>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1,886,113</w:t>
            </w:r>
          </w:p>
        </w:tc>
        <w:tc>
          <w:tcPr>
            <w:tcW w:w="120" w:type="dxa"/>
            <w:vAlign w:val="bottom"/>
          </w:tcPr>
          <w:p>
            <w:pPr>
              <w:spacing w:after="0"/>
              <w:rPr>
                <w:sz w:val="15"/>
                <w:szCs w:val="15"/>
                <w:color w:val="auto"/>
              </w:rPr>
            </w:pPr>
          </w:p>
        </w:tc>
        <w:tc>
          <w:tcPr>
            <w:tcW w:w="840" w:type="dxa"/>
            <w:vAlign w:val="bottom"/>
            <w:tcBorders>
              <w:bottom w:val="single" w:sz="8" w:color="A6A6A6"/>
            </w:tcBorders>
            <w:gridSpan w:val="2"/>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1,860,649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20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214,042</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20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401,056</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397,486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20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177,082</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180,025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200"/>
              <w:spacing w:after="0" w:line="183" w:lineRule="exact"/>
              <w:rPr>
                <w:sz w:val="20"/>
                <w:szCs w:val="20"/>
                <w:color w:val="auto"/>
              </w:rPr>
            </w:pPr>
            <w:r>
              <w:rPr>
                <w:rFonts w:ascii="Arial" w:cs="Arial" w:eastAsia="Arial" w:hAnsi="Arial"/>
                <w:sz w:val="16"/>
                <w:szCs w:val="16"/>
                <w:color w:val="004483"/>
              </w:rPr>
              <w:t>Other, net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92,566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52,087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060" w:type="dxa"/>
            <w:vAlign w:val="bottom"/>
            <w:tcBorders>
              <w:bottom w:val="single" w:sz="8" w:color="A6A6A6"/>
            </w:tcBorders>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42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gridSpan w:val="3"/>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2,770,859</w:t>
            </w:r>
          </w:p>
        </w:tc>
        <w:tc>
          <w:tcPr>
            <w:tcW w:w="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004483"/>
            </w:tcBorders>
          </w:tcPr>
          <w:p>
            <w:pPr>
              <w:jc w:val="right"/>
              <w:ind w:right="479"/>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2,579,652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9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segment breakdown of Goodwill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100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7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00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004483"/>
              </w:rPr>
              <w:t>Cement</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Concrete and Aggregates</w:t>
            </w:r>
          </w:p>
        </w:tc>
        <w:tc>
          <w:tcPr>
            <w:tcW w:w="58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40,382</w:t>
            </w:r>
          </w:p>
        </w:tc>
        <w:tc>
          <w:tcPr>
            <w:tcW w:w="12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Gypsum Wallboard</w:t>
            </w:r>
          </w:p>
        </w:tc>
        <w:tc>
          <w:tcPr>
            <w:tcW w:w="58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116,618</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004483"/>
              </w:rPr>
              <w:t>Paperboard</w:t>
            </w:r>
          </w:p>
        </w:tc>
        <w:tc>
          <w:tcPr>
            <w:tcW w:w="5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7,538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7,538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367,880</w:t>
            </w:r>
          </w:p>
        </w:tc>
        <w:tc>
          <w:tcPr>
            <w:tcW w:w="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329,137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increase in Goodwill in the Concrete and Aggregates segment is related to the ConAgg Acquisition. The purchase price allocation is still in progress, and may affect the recorded balance of Goodwill when completed .</w:t>
      </w:r>
    </w:p>
    <w:p>
      <w:pPr>
        <w:spacing w:after="0" w:line="89"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2680" w:type="dxa"/>
            <w:vAlign w:val="bottom"/>
            <w:gridSpan w:val="3"/>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2680" w:type="dxa"/>
            <w:vAlign w:val="bottom"/>
            <w:tcBorders>
              <w:bottom w:val="single" w:sz="8" w:color="004483"/>
            </w:tcBorders>
            <w:gridSpan w:val="3"/>
          </w:tcPr>
          <w:p>
            <w:pPr>
              <w:jc w:val="right"/>
              <w:ind w:right="61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6"/>
                <w:szCs w:val="16"/>
                <w:color w:val="004483"/>
              </w:rPr>
              <w:t>Revenue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52,630</w:t>
            </w:r>
          </w:p>
        </w:tc>
        <w:tc>
          <w:tcPr>
            <w:tcW w:w="1460" w:type="dxa"/>
            <w:vAlign w:val="bottom"/>
            <w:gridSpan w:val="2"/>
          </w:tcPr>
          <w:p>
            <w:pPr>
              <w:jc w:val="right"/>
              <w:ind w:right="9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45,382</w:t>
            </w:r>
          </w:p>
        </w:tc>
        <w:tc>
          <w:tcPr>
            <w:tcW w:w="100" w:type="dxa"/>
            <w:vAlign w:val="bottom"/>
          </w:tcPr>
          <w:p>
            <w:pPr>
              <w:spacing w:after="0"/>
              <w:rPr>
                <w:sz w:val="16"/>
                <w:szCs w:val="16"/>
                <w:color w:val="auto"/>
              </w:rPr>
            </w:pPr>
          </w:p>
        </w:tc>
      </w:tr>
      <w:tr>
        <w:trPr>
          <w:trHeight w:val="183"/>
        </w:trPr>
        <w:tc>
          <w:tcPr>
            <w:tcW w:w="72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Margin</w:t>
            </w:r>
          </w:p>
        </w:tc>
        <w:tc>
          <w:tcPr>
            <w:tcW w:w="520" w:type="dxa"/>
            <w:vAlign w:val="bottom"/>
            <w:tcBorders>
              <w:top w:val="single" w:sz="8" w:color="A6A6A6"/>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12,026</w:t>
            </w:r>
          </w:p>
        </w:tc>
        <w:tc>
          <w:tcPr>
            <w:tcW w:w="100" w:type="dxa"/>
            <w:vAlign w:val="bottom"/>
          </w:tcPr>
          <w:p>
            <w:pPr>
              <w:spacing w:after="0"/>
              <w:rPr>
                <w:sz w:val="15"/>
                <w:szCs w:val="15"/>
                <w:color w:val="auto"/>
              </w:rPr>
            </w:pPr>
          </w:p>
        </w:tc>
        <w:tc>
          <w:tcPr>
            <w:tcW w:w="1360" w:type="dxa"/>
            <w:vAlign w:val="bottom"/>
            <w:tcBorders>
              <w:top w:val="single" w:sz="8" w:color="A6A6A6"/>
              <w:bottom w:val="single" w:sz="8" w:color="A6A6A6"/>
            </w:tcBorders>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16,833</w:t>
            </w:r>
          </w:p>
        </w:tc>
        <w:tc>
          <w:tcPr>
            <w:tcW w:w="100" w:type="dxa"/>
            <w:vAlign w:val="bottom"/>
          </w:tcPr>
          <w:p>
            <w:pPr>
              <w:spacing w:after="0"/>
              <w:rPr>
                <w:sz w:val="15"/>
                <w:szCs w:val="15"/>
                <w:color w:val="auto"/>
              </w:rPr>
            </w:pPr>
          </w:p>
        </w:tc>
      </w:tr>
      <w:tr>
        <w:trPr>
          <w:trHeight w:val="183"/>
        </w:trPr>
        <w:tc>
          <w:tcPr>
            <w:tcW w:w="7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Earnings Before Income Taxes</w:t>
            </w:r>
          </w:p>
        </w:tc>
        <w:tc>
          <w:tcPr>
            <w:tcW w:w="52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10,272</w:t>
            </w:r>
          </w:p>
        </w:tc>
        <w:tc>
          <w:tcPr>
            <w:tcW w:w="100" w:type="dxa"/>
            <w:vAlign w:val="bottom"/>
          </w:tcPr>
          <w:p>
            <w:pPr>
              <w:spacing w:after="0"/>
              <w:rPr>
                <w:sz w:val="15"/>
                <w:szCs w:val="15"/>
                <w:color w:val="auto"/>
              </w:rPr>
            </w:pPr>
          </w:p>
        </w:tc>
        <w:tc>
          <w:tcPr>
            <w:tcW w:w="1360" w:type="dxa"/>
            <w:vAlign w:val="bottom"/>
            <w:tcBorders>
              <w:bottom w:val="single" w:sz="8" w:color="A6A6A6"/>
            </w:tcBorders>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16,189</w:t>
            </w:r>
          </w:p>
        </w:tc>
        <w:tc>
          <w:tcPr>
            <w:tcW w:w="100" w:type="dxa"/>
            <w:vAlign w:val="bottom"/>
          </w:tcPr>
          <w:p>
            <w:pPr>
              <w:spacing w:after="0"/>
              <w:rPr>
                <w:sz w:val="15"/>
                <w:szCs w:val="15"/>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100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June 30,</w:t>
            </w:r>
          </w:p>
        </w:tc>
        <w:tc>
          <w:tcPr>
            <w:tcW w:w="120" w:type="dxa"/>
            <w:vAlign w:val="bottom"/>
            <w:shd w:val="clear" w:color="auto" w:fill="004483"/>
          </w:tcPr>
          <w:p>
            <w:pPr>
              <w:spacing w:after="0"/>
              <w:rPr>
                <w:sz w:val="13"/>
                <w:szCs w:val="13"/>
                <w:color w:val="auto"/>
              </w:rPr>
            </w:pPr>
          </w:p>
        </w:tc>
        <w:tc>
          <w:tcPr>
            <w:tcW w:w="88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300"/>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7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r>
      <w:tr>
        <w:trPr>
          <w:trHeight w:val="183"/>
        </w:trPr>
        <w:tc>
          <w:tcPr>
            <w:tcW w:w="768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000" w:type="dxa"/>
            <w:vAlign w:val="bottom"/>
            <w:tcBorders>
              <w:bottom w:val="single" w:sz="8" w:color="004483"/>
            </w:tcBorders>
            <w:gridSpan w:val="3"/>
          </w:tcPr>
          <w:p>
            <w:pPr>
              <w:jc w:val="right"/>
              <w:ind w:right="21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004483"/>
              </w:rPr>
              <w:t>Current Assets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77,710</w:t>
            </w:r>
          </w:p>
        </w:tc>
        <w:tc>
          <w:tcPr>
            <w:tcW w:w="100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69,492</w:t>
            </w:r>
          </w:p>
        </w:tc>
        <w:tc>
          <w:tcPr>
            <w:tcW w:w="100" w:type="dxa"/>
            <w:vAlign w:val="bottom"/>
          </w:tcPr>
          <w:p>
            <w:pPr>
              <w:spacing w:after="0"/>
              <w:rPr>
                <w:sz w:val="16"/>
                <w:szCs w:val="16"/>
                <w:color w:val="auto"/>
              </w:rPr>
            </w:pPr>
          </w:p>
        </w:tc>
      </w:tr>
      <w:tr>
        <w:trPr>
          <w:trHeight w:val="183"/>
        </w:trPr>
        <w:tc>
          <w:tcPr>
            <w:tcW w:w="76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Noncurrent Assets</w:t>
            </w:r>
          </w:p>
        </w:tc>
        <w:tc>
          <w:tcPr>
            <w:tcW w:w="580" w:type="dxa"/>
            <w:vAlign w:val="bottom"/>
            <w:tcBorders>
              <w:top w:val="single" w:sz="8" w:color="A6A6A6"/>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112,611</w:t>
            </w:r>
          </w:p>
        </w:tc>
        <w:tc>
          <w:tcPr>
            <w:tcW w:w="120" w:type="dxa"/>
            <w:vAlign w:val="bottom"/>
          </w:tcPr>
          <w:p>
            <w:pPr>
              <w:spacing w:after="0"/>
              <w:rPr>
                <w:sz w:val="15"/>
                <w:szCs w:val="15"/>
                <w:color w:val="auto"/>
              </w:rPr>
            </w:pPr>
          </w:p>
        </w:tc>
        <w:tc>
          <w:tcPr>
            <w:tcW w:w="880" w:type="dxa"/>
            <w:vAlign w:val="bottom"/>
            <w:tcBorders>
              <w:top w:val="single" w:sz="8" w:color="A6A6A6"/>
              <w:bottom w:val="single" w:sz="8" w:color="A6A6A6"/>
            </w:tcBorders>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112,926</w:t>
            </w:r>
          </w:p>
        </w:tc>
        <w:tc>
          <w:tcPr>
            <w:tcW w:w="100" w:type="dxa"/>
            <w:vAlign w:val="bottom"/>
          </w:tcPr>
          <w:p>
            <w:pPr>
              <w:spacing w:after="0"/>
              <w:rPr>
                <w:sz w:val="15"/>
                <w:szCs w:val="15"/>
                <w:color w:val="auto"/>
              </w:rPr>
            </w:pPr>
          </w:p>
        </w:tc>
      </w:tr>
      <w:tr>
        <w:trPr>
          <w:trHeight w:val="183"/>
        </w:trPr>
        <w:tc>
          <w:tcPr>
            <w:tcW w:w="76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Current Liabilities</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21,685</w:t>
            </w:r>
          </w:p>
        </w:tc>
        <w:tc>
          <w:tcPr>
            <w:tcW w:w="120" w:type="dxa"/>
            <w:vAlign w:val="bottom"/>
          </w:tcPr>
          <w:p>
            <w:pPr>
              <w:spacing w:after="0"/>
              <w:rPr>
                <w:sz w:val="15"/>
                <w:szCs w:val="15"/>
                <w:color w:val="auto"/>
              </w:rPr>
            </w:pPr>
          </w:p>
        </w:tc>
        <w:tc>
          <w:tcPr>
            <w:tcW w:w="880" w:type="dxa"/>
            <w:vAlign w:val="bottom"/>
            <w:tcBorders>
              <w:bottom w:val="single" w:sz="8" w:color="A6A6A6"/>
            </w:tcBorders>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18,276</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2720" w:type="dxa"/>
            <w:vAlign w:val="bottom"/>
            <w:gridSpan w:val="4"/>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rPr>
              <w:t>For the Three Months Ended June 30,</w:t>
            </w:r>
          </w:p>
        </w:tc>
        <w:tc>
          <w:tcPr>
            <w:tcW w:w="66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2720" w:type="dxa"/>
            <w:vAlign w:val="bottom"/>
            <w:tcBorders>
              <w:bottom w:val="single" w:sz="8" w:color="004483"/>
            </w:tcBorders>
            <w:gridSpan w:val="4"/>
          </w:tcPr>
          <w:p>
            <w:pPr>
              <w:jc w:val="right"/>
              <w:ind w:right="65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c>
          <w:tcPr>
            <w:tcW w:w="1380" w:type="dxa"/>
            <w:vAlign w:val="bottom"/>
            <w:gridSpan w:val="2"/>
          </w:tcPr>
          <w:p>
            <w:pPr>
              <w:jc w:val="right"/>
              <w:ind w:right="10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72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Expense</w:t>
            </w:r>
          </w:p>
        </w:tc>
        <w:tc>
          <w:tcPr>
            <w:tcW w:w="520" w:type="dxa"/>
            <w:vAlign w:val="bottom"/>
            <w:tcBorders>
              <w:top w:val="single" w:sz="8" w:color="A6A6A6"/>
              <w:bottom w:val="single" w:sz="8" w:color="A6A6A6"/>
            </w:tcBorders>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6,882</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220" w:type="dxa"/>
            <w:vAlign w:val="bottom"/>
            <w:tcBorders>
              <w:top w:val="single" w:sz="8" w:color="A6A6A6"/>
              <w:bottom w:val="single" w:sz="8" w:color="A6A6A6"/>
            </w:tcBorders>
          </w:tcPr>
          <w:p>
            <w:pPr>
              <w:spacing w:after="0"/>
              <w:rPr>
                <w:sz w:val="15"/>
                <w:szCs w:val="15"/>
                <w:color w:val="auto"/>
              </w:rPr>
            </w:pPr>
          </w:p>
        </w:tc>
        <w:tc>
          <w:tcPr>
            <w:tcW w:w="6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6,126</w:t>
            </w:r>
          </w:p>
        </w:tc>
        <w:tc>
          <w:tcPr>
            <w:tcW w:w="100" w:type="dxa"/>
            <w:vAlign w:val="bottom"/>
          </w:tcPr>
          <w:p>
            <w:pPr>
              <w:spacing w:after="0"/>
              <w:rPr>
                <w:sz w:val="15"/>
                <w:szCs w:val="15"/>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color w:val="004483"/>
              </w:rPr>
              <w:t>Other Expenses</w:t>
            </w:r>
          </w:p>
        </w:tc>
        <w:tc>
          <w:tcPr>
            <w:tcW w:w="52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871</w:t>
            </w:r>
          </w:p>
        </w:tc>
        <w:tc>
          <w:tcPr>
            <w:tcW w:w="100" w:type="dxa"/>
            <w:vAlign w:val="bottom"/>
          </w:tcPr>
          <w:p>
            <w:pPr>
              <w:spacing w:after="0"/>
              <w:rPr>
                <w:sz w:val="15"/>
                <w:szCs w:val="15"/>
                <w:color w:val="auto"/>
              </w:rPr>
            </w:pPr>
          </w:p>
        </w:tc>
      </w:tr>
      <w:tr>
        <w:trPr>
          <w:trHeight w:val="27"/>
        </w:trPr>
        <w:tc>
          <w:tcPr>
            <w:tcW w:w="724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Interest Expense, net</w:t>
            </w:r>
          </w:p>
        </w:tc>
        <w:tc>
          <w:tcPr>
            <w:tcW w:w="520" w:type="dxa"/>
            <w:vAlign w:val="bottom"/>
            <w:tcBorders>
              <w:bottom w:val="single" w:sz="8" w:color="004483"/>
            </w:tcBorders>
          </w:tcPr>
          <w:p>
            <w:pPr>
              <w:jc w:val="right"/>
              <w:ind w:right="33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7,330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bottom w:val="single" w:sz="8" w:color="004483"/>
            </w:tcBorders>
          </w:tcPr>
          <w:p>
            <w:pPr>
              <w:jc w:val="right"/>
              <w:ind w:right="1039"/>
              <w:spacing w:after="0" w:line="183"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6,972</w:t>
            </w:r>
          </w:p>
        </w:tc>
        <w:tc>
          <w:tcPr>
            <w:tcW w:w="100" w:type="dxa"/>
            <w:vAlign w:val="bottom"/>
          </w:tcPr>
          <w:p>
            <w:pPr>
              <w:spacing w:after="0"/>
              <w:rPr>
                <w:sz w:val="15"/>
                <w:szCs w:val="15"/>
                <w:color w:val="auto"/>
              </w:rPr>
            </w:pPr>
          </w:p>
        </w:tc>
      </w:tr>
      <w:tr>
        <w:trPr>
          <w:trHeight w:val="20"/>
        </w:trPr>
        <w:tc>
          <w:tcPr>
            <w:tcW w:w="724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34"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June 30, 2022, we had contingent liabilities under these outstanding letters of credit of approximately $6.4 million.</w:t>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9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We are currently contingently liable for performance under $26.8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3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June 30, 2022 is as follows:</w:t>
      </w:r>
    </w:p>
    <w:p>
      <w:pPr>
        <w:spacing w:after="0" w:line="301"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6374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920" w:val="left"/>
          <w:tab w:leader="none" w:pos="1058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591,030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637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37"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1 input). The carrying values of Cash and Cash Equivalents, Accounts Receivable, Notes Receivable, Accounts Payable, and Accrued Liabilities approximate their fair values at June 30, 2022, due to the short-term maturities of these assets and liabilities. The fair value of our Revolving Credit Facility and Term Loan also approximates the carrying value at June 30, 2022.</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months ended June 30, 2022 and 2021, are presented on a consolidated basis and by these business segments – Cement, Concrete and Aggregates, Gypsum Wallboard, and Recycled Paperboard.</w:t>
      </w:r>
    </w:p>
    <w:p>
      <w:pPr>
        <w:spacing w:after="0" w:line="97"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98"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April 22, 2022, we finalized the ConAgg Acquisition. The Purchase Price of the ConAgg Acquisition was approximately $121.2 million. The ConAgg Acquisition is included in our Heavy Material sector, in the Concrete and Aggregates business segment. See Footnote (B) in the Unaudited Consolidated Financial Statements for more information regarding the ConAgg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39" w:lineRule="exact"/>
        <w:rPr>
          <w:sz w:val="20"/>
          <w:szCs w:val="20"/>
          <w:color w:val="auto"/>
        </w:rPr>
      </w:pPr>
    </w:p>
    <w:p>
      <w:pPr>
        <w:ind w:right="560"/>
        <w:spacing w:after="0" w:line="285" w:lineRule="auto"/>
        <w:rPr>
          <w:sz w:val="20"/>
          <w:szCs w:val="20"/>
          <w:color w:val="auto"/>
        </w:rPr>
      </w:pPr>
      <w:r>
        <w:rPr>
          <w:rFonts w:ascii="Arial" w:cs="Arial" w:eastAsia="Arial" w:hAnsi="Arial"/>
          <w:sz w:val="18"/>
          <w:szCs w:val="18"/>
          <w:color w:val="auto"/>
        </w:rPr>
        <w:t>During the first quarter of fiscal 2023, our end markets generally remained resilient despite external challenges, such as transportation disruptions, supply chain constraints, and increasing interest rates and inflation. Construction activity in most of our regional markets continued to outpace the national average, and sales volume in our largest business lines remained strong – our Gypsum Wallboard shipments were up 5%, and although our Cement sales volume decreased 2%, sales volumes remain historically high.</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Demand Outlook</w:t>
      </w:r>
    </w:p>
    <w:p>
      <w:pPr>
        <w:spacing w:after="0" w:line="162"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 xml:space="preserve">The principal end-use market of Cement is public infrastructure (i.e. roads, bridges, and highways). Our Cement business remains in a near sold-out position. We expect demand for cement to remain strong with infrastructure investment increasing as federal funding from the </w:t>
      </w:r>
      <w:r>
        <w:rPr>
          <w:rFonts w:ascii="Arial" w:cs="Arial" w:eastAsia="Arial" w:hAnsi="Arial"/>
          <w:sz w:val="18"/>
          <w:szCs w:val="18"/>
          <w:i w:val="1"/>
          <w:iCs w:val="1"/>
          <w:color w:val="auto"/>
        </w:rPr>
        <w:t xml:space="preserve">Infrastructure Investment and Jobs Act </w:t>
      </w:r>
      <w:r>
        <w:rPr>
          <w:rFonts w:ascii="Arial" w:cs="Arial" w:eastAsia="Arial" w:hAnsi="Arial"/>
          <w:sz w:val="18"/>
          <w:szCs w:val="18"/>
          <w:color w:val="auto"/>
        </w:rPr>
        <w:t>begins in earnest during this fiscal year. However, despite underlying demand growth,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further Cement sales volume growth from our existing facilities is limited, because our integrated cement sales network, which stretches across the U.S. heartland, is operating at high utilization levels.</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principal end use for Gypsum Wallboard is residential housing, consisting of new construction (both single-family and multi-family homes) as well as repair and remodel. The construction of single-family homes is more wallboard-intensive than multi-family homes. Gypsum wallboard shipments and orders currently remain strong, but we recognize quantitative tightening will likely have an impact on residential construction activity in the future. In the near term, we expect record home construction backlogs to support product demand this year. Our Recycled Paperboard business sells paper primarily into the gypsum wallboard market, and demand for our paper generally follows the demand for gypsum wallboard.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6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We are well positioned to manage our cost structure and meet our customers’ needs during the upcoming fiscal year, despite growing challenges related to rising inflation and increased transportation costs. Our substantial raw material reserves for our Cement, Aggregates, and Gypsum Wallboard businesses, and their proximity to our respective manufacturing facilities, support our low-cost producer position across all of our business segments.</w:t>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Energy and freight costs increased in all of our businesses during fiscal 2022, and we anticipate further increases throughout fiscal 2023. The increases in energy costs are related to rising demand and disruption in the global supply of natural gas and solid fuels. Regarding natural gas, we have forward purchase contracts for approximately 40% of our natural gas needs at $4.78 per mmbtu across all of our businesses for fiscal 2023. For freight, several factors are contributing to higher costs, including: limited availability of trucking and rail service, congestion on the shipping routes, and the increase in price of diesel fuel, all of which have constrained freight capacity. We do not expect these factors to improve in the near term.</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primary raw material used to produce paperboard is OCC. Prices for OCC significantly increased during fiscal 2022 but started to decline during the winter and spring. We expect OCC prices to remain relatively level for the remainder of fiscal 2023. Our current customer contracts for gypsum liner include price adjustments that partially compensate for changes in raw material fiber prices. However, because these price escalations are not realized until future quarters, material costs in our Gypsum Wallboard segment are likely to be higher in the period that these price increases are realized.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WITH THREE MONTHS ENDED 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shd w:val="clear" w:color="auto" w:fill="004483"/>
          </w:tcPr>
          <w:p>
            <w:pPr>
              <w:spacing w:after="0"/>
              <w:rPr>
                <w:sz w:val="13"/>
                <w:szCs w:val="13"/>
                <w:color w:val="auto"/>
              </w:rPr>
            </w:pPr>
          </w:p>
        </w:tc>
        <w:tc>
          <w:tcPr>
            <w:tcW w:w="236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6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680" w:type="dxa"/>
            <w:vAlign w:val="bottom"/>
            <w:gridSpan w:val="2"/>
            <w:vMerge w:val="restart"/>
          </w:tcPr>
          <w:p>
            <w:pPr>
              <w:jc w:val="right"/>
              <w:ind w:right="13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4"/>
        </w:trPr>
        <w:tc>
          <w:tcPr>
            <w:tcW w:w="6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6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236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w w:val="99"/>
              </w:rPr>
              <w:t>(dollars in thousands, except per share)</w:t>
            </w:r>
          </w:p>
        </w:tc>
        <w:tc>
          <w:tcPr>
            <w:tcW w:w="6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004483"/>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561,387</w:t>
            </w:r>
          </w:p>
        </w:tc>
        <w:tc>
          <w:tcPr>
            <w:tcW w:w="120" w:type="dxa"/>
            <w:vAlign w:val="bottom"/>
          </w:tcPr>
          <w:p>
            <w:pPr>
              <w:spacing w:after="0"/>
              <w:rPr>
                <w:sz w:val="16"/>
                <w:szCs w:val="16"/>
                <w:color w:val="auto"/>
              </w:rPr>
            </w:pPr>
          </w:p>
        </w:tc>
        <w:tc>
          <w:tcPr>
            <w:tcW w:w="1140" w:type="dxa"/>
            <w:vAlign w:val="bottom"/>
            <w:tcBorders>
              <w:bottom w:val="single" w:sz="8" w:color="A6A6A6"/>
            </w:tcBorders>
            <w:gridSpan w:val="2"/>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475,770</w:t>
            </w:r>
          </w:p>
        </w:tc>
        <w:tc>
          <w:tcPr>
            <w:tcW w:w="100" w:type="dxa"/>
            <w:vAlign w:val="bottom"/>
          </w:tcPr>
          <w:p>
            <w:pPr>
              <w:spacing w:after="0"/>
              <w:rPr>
                <w:sz w:val="16"/>
                <w:szCs w:val="16"/>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Cost of Goods Sold</w:t>
            </w:r>
          </w:p>
        </w:tc>
        <w:tc>
          <w:tcPr>
            <w:tcW w:w="3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(410,521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1"/>
              </w:rPr>
              <w:t>(349,259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83"/>
        </w:trPr>
        <w:tc>
          <w:tcPr>
            <w:tcW w:w="622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Gross Profit</w:t>
            </w:r>
          </w:p>
        </w:tc>
        <w:tc>
          <w:tcPr>
            <w:tcW w:w="360" w:type="dxa"/>
            <w:vAlign w:val="bottom"/>
            <w:tcBorders>
              <w:top w:val="single" w:sz="8" w:color="004483"/>
              <w:bottom w:val="single" w:sz="8" w:color="A6A6A6"/>
            </w:tcBorders>
          </w:tcPr>
          <w:p>
            <w:pPr>
              <w:spacing w:after="0"/>
              <w:rPr>
                <w:sz w:val="15"/>
                <w:szCs w:val="15"/>
                <w:color w:val="auto"/>
              </w:rPr>
            </w:pPr>
          </w:p>
        </w:tc>
        <w:tc>
          <w:tcPr>
            <w:tcW w:w="11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150,866</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004483"/>
              <w:bottom w:val="single" w:sz="8" w:color="A6A6A6"/>
            </w:tcBorders>
          </w:tcPr>
          <w:p>
            <w:pPr>
              <w:spacing w:after="0"/>
              <w:rPr>
                <w:sz w:val="15"/>
                <w:szCs w:val="15"/>
                <w:color w:val="auto"/>
              </w:rPr>
            </w:pPr>
          </w:p>
        </w:tc>
        <w:tc>
          <w:tcPr>
            <w:tcW w:w="6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126,511</w:t>
            </w:r>
          </w:p>
        </w:tc>
        <w:tc>
          <w:tcPr>
            <w:tcW w:w="100" w:type="dxa"/>
            <w:vAlign w:val="bottom"/>
          </w:tcPr>
          <w:p>
            <w:pPr>
              <w:spacing w:after="0"/>
              <w:rPr>
                <w:sz w:val="15"/>
                <w:szCs w:val="15"/>
                <w:color w:val="auto"/>
              </w:rPr>
            </w:pPr>
          </w:p>
        </w:tc>
        <w:tc>
          <w:tcPr>
            <w:tcW w:w="14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36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5,098</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7,970</w:t>
            </w:r>
          </w:p>
        </w:tc>
        <w:tc>
          <w:tcPr>
            <w:tcW w:w="100" w:type="dxa"/>
            <w:vAlign w:val="bottom"/>
          </w:tcPr>
          <w:p>
            <w:pPr>
              <w:spacing w:after="0"/>
              <w:rPr>
                <w:sz w:val="15"/>
                <w:szCs w:val="15"/>
                <w:color w:val="auto"/>
              </w:rPr>
            </w:pP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Corporate General and Administrative</w:t>
            </w:r>
          </w:p>
        </w:tc>
        <w:tc>
          <w:tcPr>
            <w:tcW w:w="36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(11,820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(9,468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Non-Operating Income</w:t>
            </w:r>
          </w:p>
        </w:tc>
        <w:tc>
          <w:tcPr>
            <w:tcW w:w="36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3,678</w:t>
            </w:r>
          </w:p>
        </w:tc>
        <w:tc>
          <w:tcPr>
            <w:tcW w:w="100" w:type="dxa"/>
            <w:vAlign w:val="bottom"/>
          </w:tcPr>
          <w:p>
            <w:pPr>
              <w:spacing w:after="0"/>
              <w:rPr>
                <w:sz w:val="15"/>
                <w:szCs w:val="15"/>
                <w:color w:val="auto"/>
              </w:rPr>
            </w:pP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(117</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9"/>
        </w:trPr>
        <w:tc>
          <w:tcPr>
            <w:tcW w:w="62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Interest Expense, net</w:t>
            </w:r>
          </w:p>
        </w:tc>
        <w:tc>
          <w:tcPr>
            <w:tcW w:w="36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(7,330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(6,972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183"/>
        </w:trPr>
        <w:tc>
          <w:tcPr>
            <w:tcW w:w="622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Earnings Before Income Taxes</w:t>
            </w:r>
          </w:p>
        </w:tc>
        <w:tc>
          <w:tcPr>
            <w:tcW w:w="360" w:type="dxa"/>
            <w:vAlign w:val="bottom"/>
            <w:tcBorders>
              <w:top w:val="single" w:sz="8" w:color="004483"/>
              <w:bottom w:val="single" w:sz="8" w:color="A6A6A6"/>
            </w:tcBorders>
          </w:tcPr>
          <w:p>
            <w:pPr>
              <w:spacing w:after="0"/>
              <w:rPr>
                <w:sz w:val="15"/>
                <w:szCs w:val="15"/>
                <w:color w:val="auto"/>
              </w:rPr>
            </w:pPr>
          </w:p>
        </w:tc>
        <w:tc>
          <w:tcPr>
            <w:tcW w:w="11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136,179</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004483"/>
              <w:bottom w:val="single" w:sz="8" w:color="A6A6A6"/>
            </w:tcBorders>
          </w:tcPr>
          <w:p>
            <w:pPr>
              <w:spacing w:after="0"/>
              <w:rPr>
                <w:sz w:val="15"/>
                <w:szCs w:val="15"/>
                <w:color w:val="auto"/>
              </w:rPr>
            </w:pPr>
          </w:p>
        </w:tc>
        <w:tc>
          <w:tcPr>
            <w:tcW w:w="6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121,719</w:t>
            </w:r>
          </w:p>
        </w:tc>
        <w:tc>
          <w:tcPr>
            <w:tcW w:w="100" w:type="dxa"/>
            <w:vAlign w:val="bottom"/>
          </w:tcPr>
          <w:p>
            <w:pPr>
              <w:spacing w:after="0"/>
              <w:rPr>
                <w:sz w:val="15"/>
                <w:szCs w:val="15"/>
                <w:color w:val="auto"/>
              </w:rPr>
            </w:pPr>
          </w:p>
        </w:tc>
        <w:tc>
          <w:tcPr>
            <w:tcW w:w="14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2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Income Tax Expense</w:t>
            </w:r>
          </w:p>
        </w:tc>
        <w:tc>
          <w:tcPr>
            <w:tcW w:w="3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(31,174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(26,392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6A6A6"/>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6A6A6"/>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5"/>
                <w:szCs w:val="15"/>
                <w:color w:val="auto"/>
              </w:rPr>
            </w:pPr>
          </w:p>
        </w:tc>
        <w:tc>
          <w:tcPr>
            <w:tcW w:w="360" w:type="dxa"/>
            <w:vAlign w:val="bottom"/>
            <w:tcBorders>
              <w:bottom w:val="single" w:sz="8" w:color="004483"/>
            </w:tcBorders>
          </w:tcPr>
          <w:p>
            <w:pPr>
              <w:jc w:val="right"/>
              <w:ind w:right="17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105,005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004483"/>
            </w:tcBorders>
          </w:tcPr>
          <w:p>
            <w:pPr>
              <w:jc w:val="right"/>
              <w:ind w:right="819"/>
              <w:spacing w:after="0" w:line="183" w:lineRule="exact"/>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95,327</w:t>
            </w:r>
          </w:p>
        </w:tc>
        <w:tc>
          <w:tcPr>
            <w:tcW w:w="100" w:type="dxa"/>
            <w:vAlign w:val="bottom"/>
          </w:tcPr>
          <w:p>
            <w:pPr>
              <w:spacing w:after="0"/>
              <w:rPr>
                <w:sz w:val="15"/>
                <w:szCs w:val="15"/>
                <w:color w:val="auto"/>
              </w:rPr>
            </w:pP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0"/>
        </w:trPr>
        <w:tc>
          <w:tcPr>
            <w:tcW w:w="60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gridSpan w:val="2"/>
          </w:tcPr>
          <w:p>
            <w:pPr>
              <w:ind w:left="20"/>
              <w:spacing w:after="0" w:line="170" w:lineRule="exact"/>
              <w:rPr>
                <w:sz w:val="20"/>
                <w:szCs w:val="20"/>
                <w:color w:val="auto"/>
              </w:rPr>
            </w:pPr>
            <w:r>
              <w:rPr>
                <w:rFonts w:ascii="Arial" w:cs="Arial" w:eastAsia="Arial" w:hAnsi="Arial"/>
                <w:sz w:val="16"/>
                <w:szCs w:val="16"/>
                <w:b w:val="1"/>
                <w:bCs w:val="1"/>
                <w:color w:val="auto"/>
              </w:rPr>
              <w:t>Diluted Earnings per Share</w:t>
            </w:r>
          </w:p>
        </w:tc>
        <w:tc>
          <w:tcPr>
            <w:tcW w:w="360" w:type="dxa"/>
            <w:vAlign w:val="bottom"/>
            <w:tcBorders>
              <w:bottom w:val="single" w:sz="8" w:color="004483"/>
            </w:tcBorders>
          </w:tcPr>
          <w:p>
            <w:pPr>
              <w:jc w:val="right"/>
              <w:ind w:right="179"/>
              <w:spacing w:after="0" w:line="170"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2.75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004483"/>
            </w:tcBorders>
          </w:tcPr>
          <w:p>
            <w:pPr>
              <w:jc w:val="right"/>
              <w:ind w:right="819"/>
              <w:spacing w:after="0" w:line="170" w:lineRule="exact"/>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14"/>
                <w:szCs w:val="14"/>
                <w:color w:val="auto"/>
              </w:rPr>
            </w:pPr>
          </w:p>
        </w:tc>
        <w:tc>
          <w:tcPr>
            <w:tcW w:w="1680" w:type="dxa"/>
            <w:vAlign w:val="bottom"/>
            <w:gridSpan w:val="2"/>
          </w:tcPr>
          <w:p>
            <w:pPr>
              <w:jc w:val="right"/>
              <w:spacing w:after="0" w:line="170" w:lineRule="exact"/>
              <w:rPr>
                <w:sz w:val="20"/>
                <w:szCs w:val="20"/>
                <w:color w:val="auto"/>
              </w:rPr>
            </w:pPr>
            <w:r>
              <w:rPr>
                <w:rFonts w:ascii="Arial" w:cs="Arial" w:eastAsia="Arial" w:hAnsi="Arial"/>
                <w:sz w:val="16"/>
                <w:szCs w:val="16"/>
                <w:b w:val="1"/>
                <w:bCs w:val="1"/>
                <w:color w:val="auto"/>
              </w:rPr>
              <w:t>22 %</w:t>
            </w:r>
          </w:p>
        </w:tc>
        <w:tc>
          <w:tcPr>
            <w:tcW w:w="0" w:type="dxa"/>
            <w:vAlign w:val="bottom"/>
          </w:tcPr>
          <w:p>
            <w:pPr>
              <w:spacing w:after="0"/>
              <w:rPr>
                <w:sz w:val="1"/>
                <w:szCs w:val="1"/>
                <w:color w:val="auto"/>
              </w:rPr>
            </w:pPr>
          </w:p>
        </w:tc>
      </w:tr>
      <w:tr>
        <w:trPr>
          <w:trHeight w:val="20"/>
        </w:trPr>
        <w:tc>
          <w:tcPr>
            <w:tcW w:w="60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Revenue increased by $85.6 million, or 18%, to $561.4 million for the three months ended June 30, 2022. The ConAgg Acquisition contributed $11.0 million of Revenue during the three months ended June 30, 2022. Excluding the ConAgg Acquisition, Revenue improved by $74.6 million, or 16%, largely because of increases in both gross sales prices and Sales Volume. The increases in gross sales prices and Sales Volume positively affected Revenue by approximately $70.7 million and $3.9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Cost of Goods Sold increased by $61.3 million, or 18%, to $410.5 million for the three months ended June 30, 2022. The ConAgg Acquisition contributed $11.1 million of Cost of Goods Sold during the three months ended June 30, 2022. Excluding the ConAgg Acquisition, Cost of Goods Sold increased by $50.2 million, or 14%. The increase was due to higher Sales Volume and operating costs of $2.1 million and $48.1 million, respectively. Higher operating costs were primarily related to our Cement, Gypsum Wallboard, and Recycled Paperboard segments, which are discussed further in the segment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Gross Profit increased 19% to $150.9 million during the three months ended June 30, 2022. The improvement was primarily related to higher gross sales prices and Sales Volume, partially offset by increased operating costs. The gross margin increased slightly to 27%, with higher gross sales prices being offset by an increase in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Equity in Earnings of our Unconsolidated Joint Venture declined $2.9 million, or 36%, for the three months ended June 30, 2022. The decrease was primarily due to increased operating costs, which adversely affected earnings by approximately $6.2 million. This was partially offset by higher gross sales prices and Sales Volume of $3.1 million and $0.2 million, respectively. The increase in operating costs was primarily related to extended equipment downtime that reduced cement production in June, and higher purchased cement costs, which reduced operating earnings by $3.1 million and $3.0 million, respectively.</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Corporate General and Administrative expenses increased by approximately $2.4 million, or 25%, for the three months ended June 30, 2022.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higher incentive compensation associated with executive retirements of $2.3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5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Interest Expense, net increased by approximately $0.4 million, or 5%, during the three months ended June 30, 2022. This was primarily due to approximately $0.7 million of higher interest on our public notes because we increased our outstanding balance to $750.0 million from $350.0 million. The increased interest expense was partially offset by lower loan amortization costs of $0.3 million due to the termination of the term loan facility repaid on July 1, 2021. See Footnote (M) to the Unaudited Consolidated Financial Statements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53" w:lineRule="exact"/>
        <w:rPr>
          <w:sz w:val="20"/>
          <w:szCs w:val="20"/>
          <w:color w:val="auto"/>
        </w:rPr>
      </w:pPr>
    </w:p>
    <w:p>
      <w:pPr>
        <w:jc w:val="both"/>
        <w:ind w:right="460"/>
        <w:spacing w:after="0" w:line="287" w:lineRule="auto"/>
        <w:rPr>
          <w:sz w:val="20"/>
          <w:szCs w:val="20"/>
          <w:color w:val="auto"/>
        </w:rPr>
      </w:pPr>
      <w:r>
        <w:rPr>
          <w:rFonts w:ascii="Arial" w:cs="Arial" w:eastAsia="Arial" w:hAnsi="Arial"/>
          <w:sz w:val="18"/>
          <w:szCs w:val="18"/>
          <w:color w:val="auto"/>
        </w:rPr>
        <w:t>Earnings Before Income Taxes increased to $136.2 million during the three months ended June 30, 2022, primarily as a result of higher Gross Profit. This was partially offset by higher Corporate General and Administrative Expenses and Interest Expense, as well as lower Equity in Earnings of Unconsolidated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Income Tax Expense was $31.2 million for the three months ended June 30, 2022, compared with $26.4 million for the three months ended June 30, 2021. The effective tax rate increased to 23% from 22% in the prior-year period. The increase was primarily due to a reduced benefit received from the vesting and exercise of employee stock awards during the quarter in fiscal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10% to $105.0 million for the three months ended June 30, 2022, as discussed above.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MONTHS ENDED JUNE 30, 2022 vs. THREE MONTHS ENDED JUNE 30, 2021 BY SEGMENT</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 following presents results within our two business sectors for the three months ended June 30, 2022, and 2021. Revenue and operating results are organized by sector and discussed by individual business segment within each respective business sector.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tbl>
      <w:tblPr>
        <w:tblLayout w:type="fixed"/>
        <w:tblInd w:w="0" w:type="dxa"/>
        <w:tblCellMar>
          <w:top w:w="0" w:type="dxa"/>
          <w:left w:w="0" w:type="dxa"/>
          <w:bottom w:w="0" w:type="dxa"/>
          <w:right w:w="0" w:type="dxa"/>
        </w:tblCellMar>
      </w:tblPr>
      <w:tr>
        <w:trPr>
          <w:trHeight w:val="153"/>
        </w:trPr>
        <w:tc>
          <w:tcPr>
            <w:tcW w:w="6160" w:type="dxa"/>
            <w:vAlign w:val="bottom"/>
          </w:tcPr>
          <w:p>
            <w:pPr>
              <w:spacing w:after="0"/>
              <w:rPr>
                <w:sz w:val="13"/>
                <w:szCs w:val="13"/>
                <w:color w:val="auto"/>
              </w:rPr>
            </w:pPr>
          </w:p>
        </w:tc>
        <w:tc>
          <w:tcPr>
            <w:tcW w:w="340" w:type="dxa"/>
            <w:vAlign w:val="bottom"/>
            <w:tcBorders>
              <w:bottom w:val="single" w:sz="8" w:color="auto"/>
            </w:tcBorders>
            <w:shd w:val="clear" w:color="auto" w:fill="004483"/>
          </w:tcPr>
          <w:p>
            <w:pPr>
              <w:spacing w:after="0"/>
              <w:rPr>
                <w:sz w:val="13"/>
                <w:szCs w:val="13"/>
                <w:color w:val="auto"/>
              </w:rPr>
            </w:pPr>
          </w:p>
        </w:tc>
        <w:tc>
          <w:tcPr>
            <w:tcW w:w="240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58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760" w:type="dxa"/>
            <w:vAlign w:val="bottom"/>
            <w:gridSpan w:val="2"/>
            <w:vMerge w:val="restart"/>
          </w:tcPr>
          <w:p>
            <w:pPr>
              <w:jc w:val="right"/>
              <w:ind w:right="31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17385E"/>
            </w:tcBorders>
          </w:tcPr>
          <w:p>
            <w:pPr>
              <w:spacing w:after="0"/>
              <w:rPr>
                <w:sz w:val="15"/>
                <w:szCs w:val="15"/>
                <w:color w:val="auto"/>
              </w:rPr>
            </w:pPr>
          </w:p>
        </w:tc>
        <w:tc>
          <w:tcPr>
            <w:tcW w:w="340" w:type="dxa"/>
            <w:vAlign w:val="bottom"/>
            <w:tcBorders>
              <w:bottom w:val="single" w:sz="8" w:color="17385E"/>
            </w:tcBorders>
          </w:tcPr>
          <w:p>
            <w:pPr>
              <w:spacing w:after="0"/>
              <w:rPr>
                <w:sz w:val="15"/>
                <w:szCs w:val="15"/>
                <w:color w:val="auto"/>
              </w:rPr>
            </w:pPr>
          </w:p>
        </w:tc>
        <w:tc>
          <w:tcPr>
            <w:tcW w:w="2400" w:type="dxa"/>
            <w:vAlign w:val="bottom"/>
            <w:tcBorders>
              <w:bottom w:val="single" w:sz="8" w:color="17385E"/>
            </w:tcBorders>
            <w:gridSpan w:val="4"/>
          </w:tcPr>
          <w:p>
            <w:pPr>
              <w:jc w:val="right"/>
              <w:spacing w:after="0"/>
              <w:rPr>
                <w:sz w:val="20"/>
                <w:szCs w:val="20"/>
                <w:color w:val="auto"/>
              </w:rPr>
            </w:pPr>
            <w:r>
              <w:rPr>
                <w:rFonts w:ascii="Arial" w:cs="Arial" w:eastAsia="Arial" w:hAnsi="Arial"/>
                <w:sz w:val="13"/>
                <w:szCs w:val="13"/>
                <w:color w:val="auto"/>
                <w:w w:val="98"/>
              </w:rPr>
              <w:t>(in thousands, except per ton information)</w:t>
            </w:r>
          </w:p>
        </w:tc>
        <w:tc>
          <w:tcPr>
            <w:tcW w:w="58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17385E"/>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Revenue, including Intersegment and Joint Venture</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284,516</w:t>
            </w:r>
          </w:p>
        </w:tc>
        <w:tc>
          <w:tcPr>
            <w:tcW w:w="120" w:type="dxa"/>
            <w:vAlign w:val="bottom"/>
          </w:tcPr>
          <w:p>
            <w:pPr>
              <w:spacing w:after="0"/>
              <w:rPr>
                <w:sz w:val="16"/>
                <w:szCs w:val="16"/>
                <w:color w:val="auto"/>
              </w:rPr>
            </w:pPr>
          </w:p>
        </w:tc>
        <w:tc>
          <w:tcPr>
            <w:tcW w:w="1180" w:type="dxa"/>
            <w:vAlign w:val="bottom"/>
            <w:tcBorders>
              <w:bottom w:val="single" w:sz="8" w:color="A6A6A6"/>
            </w:tcBorders>
            <w:gridSpan w:val="2"/>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93"/>
              </w:rPr>
              <w:t>270,255</w:t>
            </w:r>
          </w:p>
        </w:tc>
        <w:tc>
          <w:tcPr>
            <w:tcW w:w="100" w:type="dxa"/>
            <w:vAlign w:val="bottom"/>
          </w:tcPr>
          <w:p>
            <w:pPr>
              <w:spacing w:after="0"/>
              <w:rPr>
                <w:sz w:val="16"/>
                <w:szCs w:val="16"/>
                <w:color w:val="auto"/>
              </w:rPr>
            </w:pPr>
          </w:p>
        </w:tc>
        <w:tc>
          <w:tcPr>
            <w:tcW w:w="15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34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(6,291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(7,833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line="183" w:lineRule="exact"/>
              <w:rPr>
                <w:sz w:val="20"/>
                <w:szCs w:val="20"/>
                <w:color w:val="auto"/>
              </w:rPr>
            </w:pPr>
            <w:r>
              <w:rPr>
                <w:rFonts w:ascii="Arial" w:cs="Arial" w:eastAsia="Arial" w:hAnsi="Arial"/>
                <w:sz w:val="16"/>
                <w:szCs w:val="16"/>
                <w:color w:val="004483"/>
              </w:rPr>
              <w:t>Less Joint Venture Revenue</w:t>
            </w:r>
          </w:p>
        </w:tc>
        <w:tc>
          <w:tcPr>
            <w:tcW w:w="34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(26,315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Borders>
              <w:bottom w:val="single" w:sz="8" w:color="004483"/>
            </w:tcBorders>
          </w:tcPr>
          <w:p>
            <w:pPr>
              <w:spacing w:after="0"/>
              <w:rPr>
                <w:sz w:val="18"/>
                <w:szCs w:val="18"/>
                <w:color w:val="auto"/>
              </w:rPr>
            </w:pPr>
          </w:p>
        </w:tc>
        <w:tc>
          <w:tcPr>
            <w:tcW w:w="5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9"/>
              </w:rPr>
              <w:t>(22,691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7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83"/>
        </w:trPr>
        <w:tc>
          <w:tcPr>
            <w:tcW w:w="61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Revenue, as reported</w:t>
            </w:r>
          </w:p>
        </w:tc>
        <w:tc>
          <w:tcPr>
            <w:tcW w:w="340" w:type="dxa"/>
            <w:vAlign w:val="bottom"/>
            <w:tcBorders>
              <w:top w:val="single" w:sz="8" w:color="004483"/>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251,910</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004483"/>
              <w:bottom w:val="single" w:sz="8" w:color="A6A6A6"/>
            </w:tcBorders>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93"/>
              </w:rPr>
              <w:t>239,731</w:t>
            </w:r>
          </w:p>
        </w:tc>
        <w:tc>
          <w:tcPr>
            <w:tcW w:w="100" w:type="dxa"/>
            <w:vAlign w:val="bottom"/>
          </w:tcPr>
          <w:p>
            <w:pPr>
              <w:spacing w:after="0"/>
              <w:rPr>
                <w:sz w:val="15"/>
                <w:szCs w:val="15"/>
                <w:color w:val="auto"/>
              </w:rPr>
            </w:pPr>
          </w:p>
        </w:tc>
        <w:tc>
          <w:tcPr>
            <w:tcW w:w="15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34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(15,970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Borders>
              <w:bottom w:val="single" w:sz="8" w:color="004483"/>
            </w:tcBorders>
          </w:tcPr>
          <w:p>
            <w:pPr>
              <w:spacing w:after="0"/>
              <w:rPr>
                <w:sz w:val="18"/>
                <w:szCs w:val="18"/>
                <w:color w:val="auto"/>
              </w:rPr>
            </w:pPr>
          </w:p>
        </w:tc>
        <w:tc>
          <w:tcPr>
            <w:tcW w:w="5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9"/>
              </w:rPr>
              <w:t>(19,042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7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83"/>
        </w:trPr>
        <w:tc>
          <w:tcPr>
            <w:tcW w:w="61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Revenue</w:t>
            </w:r>
          </w:p>
        </w:tc>
        <w:tc>
          <w:tcPr>
            <w:tcW w:w="340" w:type="dxa"/>
            <w:vAlign w:val="bottom"/>
            <w:tcBorders>
              <w:top w:val="single" w:sz="8" w:color="004483"/>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235,940</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004483"/>
              <w:bottom w:val="single" w:sz="8" w:color="A6A6A6"/>
            </w:tcBorders>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93"/>
              </w:rPr>
              <w:t>220,689</w:t>
            </w:r>
          </w:p>
        </w:tc>
        <w:tc>
          <w:tcPr>
            <w:tcW w:w="100" w:type="dxa"/>
            <w:vAlign w:val="bottom"/>
          </w:tcPr>
          <w:p>
            <w:pPr>
              <w:spacing w:after="0"/>
              <w:rPr>
                <w:sz w:val="15"/>
                <w:szCs w:val="15"/>
                <w:color w:val="auto"/>
              </w:rPr>
            </w:pPr>
          </w:p>
        </w:tc>
        <w:tc>
          <w:tcPr>
            <w:tcW w:w="15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6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 Tons)</w:t>
            </w:r>
          </w:p>
        </w:tc>
        <w:tc>
          <w:tcPr>
            <w:tcW w:w="34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1,993</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A6A6A6"/>
              <w:bottom w:val="single" w:sz="8" w:color="A6A6A6"/>
            </w:tcBorders>
          </w:tcPr>
          <w:p>
            <w:pPr>
              <w:spacing w:after="0"/>
              <w:rPr>
                <w:sz w:val="15"/>
                <w:szCs w:val="15"/>
                <w:color w:val="auto"/>
              </w:rPr>
            </w:pPr>
          </w:p>
        </w:tc>
        <w:tc>
          <w:tcPr>
            <w:tcW w:w="5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2,036</w:t>
            </w:r>
          </w:p>
        </w:tc>
        <w:tc>
          <w:tcPr>
            <w:tcW w:w="100" w:type="dxa"/>
            <w:vAlign w:val="bottom"/>
          </w:tcPr>
          <w:p>
            <w:pPr>
              <w:spacing w:after="0"/>
              <w:rPr>
                <w:sz w:val="15"/>
                <w:szCs w:val="15"/>
                <w:color w:val="auto"/>
              </w:rPr>
            </w:pPr>
          </w:p>
        </w:tc>
        <w:tc>
          <w:tcPr>
            <w:tcW w:w="15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127.82</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116.34</w:t>
            </w:r>
          </w:p>
        </w:tc>
        <w:tc>
          <w:tcPr>
            <w:tcW w:w="100" w:type="dxa"/>
            <w:vAlign w:val="bottom"/>
          </w:tcPr>
          <w:p>
            <w:pPr>
              <w:spacing w:after="0"/>
              <w:rPr>
                <w:sz w:val="15"/>
                <w:szCs w:val="15"/>
                <w:color w:val="auto"/>
              </w:rPr>
            </w:pPr>
          </w:p>
        </w:tc>
        <w:tc>
          <w:tcPr>
            <w:tcW w:w="1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ton</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31.28</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30.72</w:t>
            </w:r>
          </w:p>
        </w:tc>
        <w:tc>
          <w:tcPr>
            <w:tcW w:w="100" w:type="dxa"/>
            <w:vAlign w:val="bottom"/>
          </w:tcPr>
          <w:p>
            <w:pPr>
              <w:spacing w:after="0"/>
              <w:rPr>
                <w:sz w:val="15"/>
                <w:szCs w:val="15"/>
                <w:color w:val="auto"/>
              </w:rPr>
            </w:pPr>
          </w:p>
        </w:tc>
        <w:tc>
          <w:tcPr>
            <w:tcW w:w="1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62,348</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62,547</w:t>
            </w:r>
          </w:p>
        </w:tc>
        <w:tc>
          <w:tcPr>
            <w:tcW w:w="100" w:type="dxa"/>
            <w:vAlign w:val="bottom"/>
          </w:tcPr>
          <w:p>
            <w:pPr>
              <w:spacing w:after="0"/>
              <w:rPr>
                <w:sz w:val="15"/>
                <w:szCs w:val="15"/>
                <w:color w:val="auto"/>
              </w:rPr>
            </w:pPr>
          </w:p>
        </w:tc>
        <w:tc>
          <w:tcPr>
            <w:tcW w:w="1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-1668145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59" w:lineRule="exact"/>
        <w:rPr>
          <w:sz w:val="20"/>
          <w:szCs w:val="20"/>
          <w:color w:val="auto"/>
        </w:rPr>
      </w:pPr>
    </w:p>
    <w:p>
      <w:pPr>
        <w:jc w:val="both"/>
        <w:ind w:right="280"/>
        <w:spacing w:after="0" w:line="287" w:lineRule="auto"/>
        <w:rPr>
          <w:sz w:val="20"/>
          <w:szCs w:val="20"/>
          <w:color w:val="auto"/>
        </w:rPr>
      </w:pPr>
      <w:r>
        <w:rPr>
          <w:rFonts w:ascii="Arial" w:cs="Arial" w:eastAsia="Arial" w:hAnsi="Arial"/>
          <w:sz w:val="18"/>
          <w:szCs w:val="18"/>
          <w:color w:val="auto"/>
        </w:rPr>
        <w:t>Cement Revenue was $284.5 million, a 5% increase, for the three months ended June 30, 2022. The increase was primarily due to higher gross sales prices, which improved Cement Revenue by approximately $21.4 million, partially offset by lower Sales Volume, which reduced Revenue by $7.2 million.</w:t>
      </w:r>
    </w:p>
    <w:p>
      <w:pPr>
        <w:spacing w:after="0" w:line="94"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Cement Operating Earnings declined $0.2 million to $62.3 million for the three months ended June 30, 2022. The decrease was due to lower Sales Volume of $2.1 million and higher operating costs $20.4 million. This was partially offset by an increase in gross sales prices of $21.4 million. The increase in operating costs was primarily due to higher energy and maintenance costs of approximately $10.9 million and $8.9 million, respectively. The Operating Margin decreased to 22% from 23%, primarily because of higher operating costs, partially offset by increased gross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CONCRETE AND AGGREGATES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20" w:type="dxa"/>
            <w:vAlign w:val="bottom"/>
          </w:tcPr>
          <w:p>
            <w:pPr>
              <w:spacing w:after="0"/>
              <w:rPr>
                <w:sz w:val="13"/>
                <w:szCs w:val="13"/>
                <w:color w:val="auto"/>
              </w:rPr>
            </w:pPr>
          </w:p>
        </w:tc>
        <w:tc>
          <w:tcPr>
            <w:tcW w:w="360" w:type="dxa"/>
            <w:vAlign w:val="bottom"/>
            <w:tcBorders>
              <w:bottom w:val="single" w:sz="8" w:color="auto"/>
            </w:tcBorders>
            <w:shd w:val="clear" w:color="auto" w:fill="004483"/>
          </w:tcPr>
          <w:p>
            <w:pPr>
              <w:spacing w:after="0"/>
              <w:rPr>
                <w:sz w:val="13"/>
                <w:szCs w:val="13"/>
                <w:color w:val="auto"/>
              </w:rPr>
            </w:pPr>
          </w:p>
        </w:tc>
        <w:tc>
          <w:tcPr>
            <w:tcW w:w="2420" w:type="dxa"/>
            <w:vAlign w:val="bottom"/>
            <w:tcBorders>
              <w:bottom w:val="single" w:sz="8" w:color="auto"/>
            </w:tcBorders>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5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620" w:type="dxa"/>
            <w:vAlign w:val="bottom"/>
            <w:gridSpan w:val="2"/>
            <w:vMerge w:val="restart"/>
          </w:tcPr>
          <w:p>
            <w:pPr>
              <w:jc w:val="right"/>
              <w:ind w:right="21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17385E"/>
            </w:tcBorders>
          </w:tcPr>
          <w:p>
            <w:pPr>
              <w:spacing w:after="0"/>
              <w:rPr>
                <w:sz w:val="15"/>
                <w:szCs w:val="15"/>
                <w:color w:val="auto"/>
              </w:rPr>
            </w:pPr>
          </w:p>
        </w:tc>
        <w:tc>
          <w:tcPr>
            <w:tcW w:w="360" w:type="dxa"/>
            <w:vAlign w:val="bottom"/>
            <w:tcBorders>
              <w:bottom w:val="single" w:sz="8" w:color="17385E"/>
            </w:tcBorders>
          </w:tcPr>
          <w:p>
            <w:pPr>
              <w:spacing w:after="0"/>
              <w:rPr>
                <w:sz w:val="15"/>
                <w:szCs w:val="15"/>
                <w:color w:val="auto"/>
              </w:rPr>
            </w:pPr>
          </w:p>
        </w:tc>
        <w:tc>
          <w:tcPr>
            <w:tcW w:w="2420" w:type="dxa"/>
            <w:vAlign w:val="bottom"/>
            <w:tcBorders>
              <w:bottom w:val="single" w:sz="8" w:color="17385E"/>
            </w:tcBorders>
            <w:gridSpan w:val="3"/>
          </w:tcPr>
          <w:p>
            <w:pPr>
              <w:jc w:val="right"/>
              <w:ind w:right="79"/>
              <w:spacing w:after="0"/>
              <w:rPr>
                <w:sz w:val="20"/>
                <w:szCs w:val="20"/>
                <w:color w:val="auto"/>
              </w:rPr>
            </w:pPr>
            <w:r>
              <w:rPr>
                <w:rFonts w:ascii="Arial" w:cs="Arial" w:eastAsia="Arial" w:hAnsi="Arial"/>
                <w:sz w:val="13"/>
                <w:szCs w:val="13"/>
                <w:color w:val="auto"/>
              </w:rPr>
              <w:t>(in thousands, except net sales prices)</w:t>
            </w:r>
          </w:p>
        </w:tc>
        <w:tc>
          <w:tcPr>
            <w:tcW w:w="56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17385E"/>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61,618</w:t>
            </w:r>
          </w:p>
        </w:tc>
        <w:tc>
          <w:tcPr>
            <w:tcW w:w="136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44,754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220" w:type="dxa"/>
            <w:vAlign w:val="bottom"/>
            <w:tcBorders>
              <w:top w:val="single" w:sz="8" w:color="A6A6A6"/>
              <w:bottom w:val="single" w:sz="8" w:color="A6A6A6"/>
            </w:tcBorders>
          </w:tcPr>
          <w:p>
            <w:pPr>
              <w:spacing w:after="0"/>
              <w:rPr>
                <w:sz w:val="15"/>
                <w:szCs w:val="15"/>
                <w:color w:val="auto"/>
              </w:rPr>
            </w:pPr>
          </w:p>
        </w:tc>
        <w:tc>
          <w:tcPr>
            <w:tcW w:w="360" w:type="dxa"/>
            <w:vAlign w:val="bottom"/>
            <w:tcBorders>
              <w:top w:val="single" w:sz="8" w:color="A6A6A6"/>
              <w:bottom w:val="single" w:sz="8" w:color="A6A6A6"/>
            </w:tcBorders>
          </w:tcPr>
          <w:p>
            <w:pPr>
              <w:spacing w:after="0"/>
              <w:rPr>
                <w:sz w:val="15"/>
                <w:szCs w:val="15"/>
                <w:color w:val="auto"/>
              </w:rPr>
            </w:pPr>
          </w:p>
        </w:tc>
        <w:tc>
          <w:tcPr>
            <w:tcW w:w="1060" w:type="dxa"/>
            <w:vAlign w:val="bottom"/>
            <w:tcBorders>
              <w:top w:val="single" w:sz="8" w:color="A6A6A6"/>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spacing w:after="0"/>
              <w:rPr>
                <w:sz w:val="15"/>
                <w:szCs w:val="15"/>
                <w:color w:val="auto"/>
              </w:rPr>
            </w:pPr>
          </w:p>
        </w:tc>
        <w:tc>
          <w:tcPr>
            <w:tcW w:w="560" w:type="dxa"/>
            <w:vAlign w:val="bottom"/>
            <w:tcBorders>
              <w:top w:val="single" w:sz="8" w:color="A6A6A6"/>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top w:val="single" w:sz="8" w:color="A6A6A6"/>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w:t>
            </w:r>
          </w:p>
        </w:tc>
        <w:tc>
          <w:tcPr>
            <w:tcW w:w="3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 Cubic Yards of Concrete</w:t>
            </w:r>
          </w:p>
        </w:tc>
        <w:tc>
          <w:tcPr>
            <w:tcW w:w="3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406</w:t>
            </w:r>
          </w:p>
        </w:tc>
        <w:tc>
          <w:tcPr>
            <w:tcW w:w="140" w:type="dxa"/>
            <w:vAlign w:val="bottom"/>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348</w:t>
            </w:r>
          </w:p>
        </w:tc>
        <w:tc>
          <w:tcPr>
            <w:tcW w:w="100" w:type="dxa"/>
            <w:vAlign w:val="bottom"/>
          </w:tcPr>
          <w:p>
            <w:pPr>
              <w:spacing w:after="0"/>
              <w:rPr>
                <w:sz w:val="15"/>
                <w:szCs w:val="15"/>
                <w:color w:val="auto"/>
              </w:rPr>
            </w:pP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 Tons of Aggregate</w:t>
            </w:r>
          </w:p>
        </w:tc>
        <w:tc>
          <w:tcPr>
            <w:tcW w:w="3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795</w:t>
            </w:r>
          </w:p>
        </w:tc>
        <w:tc>
          <w:tcPr>
            <w:tcW w:w="140" w:type="dxa"/>
            <w:vAlign w:val="bottom"/>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361</w:t>
            </w:r>
          </w:p>
        </w:tc>
        <w:tc>
          <w:tcPr>
            <w:tcW w:w="100" w:type="dxa"/>
            <w:vAlign w:val="bottom"/>
          </w:tcPr>
          <w:p>
            <w:pPr>
              <w:spacing w:after="0"/>
              <w:rPr>
                <w:sz w:val="15"/>
                <w:szCs w:val="15"/>
                <w:color w:val="auto"/>
              </w:rPr>
            </w:pP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120</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Average Net Sales Price</w:t>
            </w:r>
          </w:p>
        </w:tc>
        <w:tc>
          <w:tcPr>
            <w:tcW w:w="3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 Per Cubic Yard</w:t>
            </w:r>
          </w:p>
        </w:tc>
        <w:tc>
          <w:tcPr>
            <w:tcW w:w="360" w:type="dxa"/>
            <w:vAlign w:val="bottom"/>
            <w:tcBorders>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128.73</w:t>
            </w:r>
          </w:p>
        </w:tc>
        <w:tc>
          <w:tcPr>
            <w:tcW w:w="140" w:type="dxa"/>
            <w:vAlign w:val="bottom"/>
          </w:tcPr>
          <w:p>
            <w:pPr>
              <w:spacing w:after="0"/>
              <w:rPr>
                <w:sz w:val="15"/>
                <w:szCs w:val="15"/>
                <w:color w:val="auto"/>
              </w:rPr>
            </w:pPr>
          </w:p>
        </w:tc>
        <w:tc>
          <w:tcPr>
            <w:tcW w:w="1220" w:type="dxa"/>
            <w:vAlign w:val="bottom"/>
            <w:tcBorders>
              <w:bottom w:val="single" w:sz="8" w:color="A6A6A6"/>
            </w:tcBorders>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118.19</w:t>
            </w:r>
          </w:p>
        </w:tc>
        <w:tc>
          <w:tcPr>
            <w:tcW w:w="100" w:type="dxa"/>
            <w:vAlign w:val="bottom"/>
          </w:tcPr>
          <w:p>
            <w:pPr>
              <w:spacing w:after="0"/>
              <w:rPr>
                <w:sz w:val="15"/>
                <w:szCs w:val="15"/>
                <w:color w:val="auto"/>
              </w:rPr>
            </w:pP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Aggregates - Per Ton</w:t>
            </w:r>
          </w:p>
        </w:tc>
        <w:tc>
          <w:tcPr>
            <w:tcW w:w="360" w:type="dxa"/>
            <w:vAlign w:val="bottom"/>
            <w:tcBorders>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11.22</w:t>
            </w:r>
          </w:p>
        </w:tc>
        <w:tc>
          <w:tcPr>
            <w:tcW w:w="140" w:type="dxa"/>
            <w:vAlign w:val="bottom"/>
          </w:tcPr>
          <w:p>
            <w:pPr>
              <w:spacing w:after="0"/>
              <w:rPr>
                <w:sz w:val="15"/>
                <w:szCs w:val="15"/>
                <w:color w:val="auto"/>
              </w:rPr>
            </w:pPr>
          </w:p>
        </w:tc>
        <w:tc>
          <w:tcPr>
            <w:tcW w:w="1220" w:type="dxa"/>
            <w:vAlign w:val="bottom"/>
            <w:tcBorders>
              <w:bottom w:val="single" w:sz="8" w:color="A6A6A6"/>
            </w:tcBorders>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9.93</w:t>
            </w:r>
          </w:p>
        </w:tc>
        <w:tc>
          <w:tcPr>
            <w:tcW w:w="100" w:type="dxa"/>
            <w:vAlign w:val="bottom"/>
          </w:tcPr>
          <w:p>
            <w:pPr>
              <w:spacing w:after="0"/>
              <w:rPr>
                <w:sz w:val="15"/>
                <w:szCs w:val="15"/>
                <w:color w:val="auto"/>
              </w:rPr>
            </w:pPr>
          </w:p>
        </w:tc>
        <w:tc>
          <w:tcPr>
            <w:tcW w:w="1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2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60" w:type="dxa"/>
            <w:vAlign w:val="bottom"/>
            <w:tcBorders>
              <w:top w:val="single" w:sz="8" w:color="A6A6A6"/>
              <w:bottom w:val="single" w:sz="8" w:color="A6A6A6"/>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5,732</w:t>
            </w:r>
          </w:p>
        </w:tc>
        <w:tc>
          <w:tcPr>
            <w:tcW w:w="14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5,344</w:t>
            </w:r>
          </w:p>
        </w:tc>
        <w:tc>
          <w:tcPr>
            <w:tcW w:w="100" w:type="dxa"/>
            <w:vAlign w:val="bottom"/>
          </w:tcPr>
          <w:p>
            <w:pPr>
              <w:spacing w:after="0"/>
              <w:rPr>
                <w:sz w:val="15"/>
                <w:szCs w:val="15"/>
                <w:color w:val="auto"/>
              </w:rPr>
            </w:pPr>
          </w:p>
        </w:tc>
        <w:tc>
          <w:tcPr>
            <w:tcW w:w="14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-1513840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Concrete and Aggregates Revenue increased 38% to $61.6 million for the three months ended June 30, 2022. The ConAgg Acquisition contributed $11.0 million of Revenue during the three months ended June 30, 2022. Excluding the ConAgg Acquisition, Revenue increased by $5.8 million, or 13%. The increase was due to higher gross sales price and Sales Volume, which improved Revenue by $3.4 million and $2.4 million, respectively.</w:t>
      </w:r>
    </w:p>
    <w:p>
      <w:pPr>
        <w:spacing w:after="0" w:line="97"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Operating Earnings increased 7% to approximately $5.7 million. Excluding the ConAgg Acquisition, Operating Earnings increased to $5.8 million, which was due to increased gross sales prices and Sales Volume of $3.4 million and $0.3 million, respectively. This was partially offset by higher operating costs of $3.2 million. The increase in operating costs was primarily due to higher materials and delivery expenses of approximately $2.4 million and $1.1 million, respectively, partially offset by lower fixed costs in our aggregate operations of approximately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6" w:right="29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320" w:type="dxa"/>
            <w:vAlign w:val="bottom"/>
            <w:tcBorders>
              <w:bottom w:val="single" w:sz="8" w:color="auto"/>
            </w:tcBorders>
            <w:shd w:val="clear" w:color="auto" w:fill="004483"/>
          </w:tcPr>
          <w:p>
            <w:pPr>
              <w:spacing w:after="0"/>
              <w:rPr>
                <w:sz w:val="13"/>
                <w:szCs w:val="13"/>
                <w:color w:val="auto"/>
              </w:rPr>
            </w:pPr>
          </w:p>
        </w:tc>
        <w:tc>
          <w:tcPr>
            <w:tcW w:w="2460" w:type="dxa"/>
            <w:vAlign w:val="bottom"/>
            <w:tcBorders>
              <w:bottom w:val="single" w:sz="8" w:color="auto"/>
            </w:tcBorders>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68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180" w:type="dxa"/>
            <w:vAlign w:val="bottom"/>
            <w:tcBorders>
              <w:bottom w:val="single" w:sz="8" w:color="17385E"/>
            </w:tcBorders>
          </w:tcPr>
          <w:p>
            <w:pPr>
              <w:spacing w:after="0"/>
              <w:rPr>
                <w:sz w:val="15"/>
                <w:szCs w:val="15"/>
                <w:color w:val="auto"/>
              </w:rPr>
            </w:pPr>
          </w:p>
        </w:tc>
        <w:tc>
          <w:tcPr>
            <w:tcW w:w="320" w:type="dxa"/>
            <w:vAlign w:val="bottom"/>
            <w:tcBorders>
              <w:bottom w:val="single" w:sz="8" w:color="17385E"/>
            </w:tcBorders>
          </w:tcPr>
          <w:p>
            <w:pPr>
              <w:spacing w:after="0"/>
              <w:rPr>
                <w:sz w:val="15"/>
                <w:szCs w:val="15"/>
                <w:color w:val="auto"/>
              </w:rPr>
            </w:pPr>
          </w:p>
        </w:tc>
        <w:tc>
          <w:tcPr>
            <w:tcW w:w="2460" w:type="dxa"/>
            <w:vAlign w:val="bottom"/>
            <w:tcBorders>
              <w:bottom w:val="single" w:sz="8" w:color="17385E"/>
            </w:tcBorders>
            <w:gridSpan w:val="4"/>
          </w:tcPr>
          <w:p>
            <w:pPr>
              <w:jc w:val="right"/>
              <w:spacing w:after="0"/>
              <w:rPr>
                <w:sz w:val="20"/>
                <w:szCs w:val="20"/>
                <w:color w:val="auto"/>
              </w:rPr>
            </w:pPr>
            <w:r>
              <w:rPr>
                <w:rFonts w:ascii="Arial" w:cs="Arial" w:eastAsia="Arial" w:hAnsi="Arial"/>
                <w:sz w:val="13"/>
                <w:szCs w:val="13"/>
                <w:color w:val="auto"/>
                <w:w w:val="97"/>
              </w:rPr>
              <w:t>(in thousands, except per MSF information)</w:t>
            </w:r>
          </w:p>
        </w:tc>
        <w:tc>
          <w:tcPr>
            <w:tcW w:w="54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17385E"/>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Revenue, as reported</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216,327</w:t>
            </w:r>
          </w:p>
        </w:tc>
        <w:tc>
          <w:tcPr>
            <w:tcW w:w="120" w:type="dxa"/>
            <w:vAlign w:val="bottom"/>
          </w:tcPr>
          <w:p>
            <w:pPr>
              <w:spacing w:after="0"/>
              <w:rPr>
                <w:sz w:val="16"/>
                <w:szCs w:val="16"/>
                <w:color w:val="auto"/>
              </w:rPr>
            </w:pPr>
          </w:p>
        </w:tc>
        <w:tc>
          <w:tcPr>
            <w:tcW w:w="120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6"/>
              </w:rPr>
              <w:t>166,267</w:t>
            </w:r>
          </w:p>
        </w:tc>
        <w:tc>
          <w:tcPr>
            <w:tcW w:w="100" w:type="dxa"/>
            <w:vAlign w:val="bottom"/>
          </w:tcPr>
          <w:p>
            <w:pPr>
              <w:spacing w:after="0"/>
              <w:rPr>
                <w:sz w:val="16"/>
                <w:szCs w:val="16"/>
                <w:color w:val="auto"/>
              </w:rPr>
            </w:pPr>
          </w:p>
        </w:tc>
        <w:tc>
          <w:tcPr>
            <w:tcW w:w="15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3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(42,006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60" w:type="dxa"/>
            <w:vAlign w:val="bottom"/>
            <w:tcBorders>
              <w:bottom w:val="single" w:sz="8" w:color="004483"/>
            </w:tcBorders>
          </w:tcPr>
          <w:p>
            <w:pPr>
              <w:spacing w:after="0"/>
              <w:rPr>
                <w:sz w:val="18"/>
                <w:szCs w:val="18"/>
                <w:color w:val="auto"/>
              </w:rPr>
            </w:pPr>
          </w:p>
        </w:tc>
        <w:tc>
          <w:tcPr>
            <w:tcW w:w="5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2"/>
              </w:rPr>
              <w:t>(31,322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83"/>
        </w:trPr>
        <w:tc>
          <w:tcPr>
            <w:tcW w:w="61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Revenue</w:t>
            </w:r>
          </w:p>
        </w:tc>
        <w:tc>
          <w:tcPr>
            <w:tcW w:w="320" w:type="dxa"/>
            <w:vAlign w:val="bottom"/>
            <w:tcBorders>
              <w:top w:val="single" w:sz="8" w:color="004483"/>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174,321</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60" w:type="dxa"/>
            <w:vAlign w:val="bottom"/>
            <w:tcBorders>
              <w:top w:val="single" w:sz="8" w:color="004483"/>
              <w:bottom w:val="single" w:sz="8" w:color="A6A6A6"/>
            </w:tcBorders>
          </w:tcPr>
          <w:p>
            <w:pPr>
              <w:jc w:val="right"/>
              <w:ind w:right="879"/>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6"/>
              </w:rPr>
              <w:t>134,945</w:t>
            </w:r>
          </w:p>
        </w:tc>
        <w:tc>
          <w:tcPr>
            <w:tcW w:w="100" w:type="dxa"/>
            <w:vAlign w:val="bottom"/>
          </w:tcPr>
          <w:p>
            <w:pPr>
              <w:spacing w:after="0"/>
              <w:rPr>
                <w:sz w:val="15"/>
                <w:szCs w:val="15"/>
                <w:color w:val="auto"/>
              </w:rPr>
            </w:pPr>
          </w:p>
        </w:tc>
        <w:tc>
          <w:tcPr>
            <w:tcW w:w="15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(MMSF)</w:t>
            </w:r>
          </w:p>
        </w:tc>
        <w:tc>
          <w:tcPr>
            <w:tcW w:w="320" w:type="dxa"/>
            <w:vAlign w:val="bottom"/>
            <w:tcBorders>
              <w:top w:val="single" w:sz="8" w:color="A6A6A6"/>
              <w:bottom w:val="single" w:sz="8" w:color="A6A6A6"/>
            </w:tcBorders>
          </w:tcPr>
          <w:p>
            <w:pPr>
              <w:spacing w:after="0"/>
              <w:rPr>
                <w:sz w:val="15"/>
                <w:szCs w:val="15"/>
                <w:color w:val="auto"/>
              </w:rPr>
            </w:pPr>
          </w:p>
        </w:tc>
        <w:tc>
          <w:tcPr>
            <w:tcW w:w="11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60" w:type="dxa"/>
            <w:vAlign w:val="bottom"/>
            <w:tcBorders>
              <w:top w:val="single" w:sz="8" w:color="A6A6A6"/>
              <w:bottom w:val="single" w:sz="8" w:color="A6A6A6"/>
            </w:tcBorders>
          </w:tcPr>
          <w:p>
            <w:pPr>
              <w:spacing w:after="0"/>
              <w:rPr>
                <w:sz w:val="15"/>
                <w:szCs w:val="15"/>
                <w:color w:val="auto"/>
              </w:rPr>
            </w:pPr>
          </w:p>
        </w:tc>
        <w:tc>
          <w:tcPr>
            <w:tcW w:w="5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763</w:t>
            </w:r>
          </w:p>
        </w:tc>
        <w:tc>
          <w:tcPr>
            <w:tcW w:w="100" w:type="dxa"/>
            <w:vAlign w:val="bottom"/>
          </w:tcPr>
          <w:p>
            <w:pPr>
              <w:spacing w:after="0"/>
              <w:rPr>
                <w:sz w:val="15"/>
                <w:szCs w:val="15"/>
                <w:color w:val="auto"/>
              </w:rPr>
            </w:pPr>
          </w:p>
        </w:tc>
        <w:tc>
          <w:tcPr>
            <w:tcW w:w="15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218.57</w:t>
            </w:r>
          </w:p>
        </w:tc>
        <w:tc>
          <w:tcPr>
            <w:tcW w:w="120" w:type="dxa"/>
            <w:vAlign w:val="bottom"/>
          </w:tcPr>
          <w:p>
            <w:pPr>
              <w:spacing w:after="0"/>
              <w:rPr>
                <w:sz w:val="15"/>
                <w:szCs w:val="15"/>
                <w:color w:val="auto"/>
              </w:rPr>
            </w:pPr>
          </w:p>
        </w:tc>
        <w:tc>
          <w:tcPr>
            <w:tcW w:w="1200" w:type="dxa"/>
            <w:vAlign w:val="bottom"/>
            <w:tcBorders>
              <w:bottom w:val="single" w:sz="8" w:color="A6A6A6"/>
            </w:tcBorders>
            <w:gridSpan w:val="2"/>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176.79</w:t>
            </w:r>
          </w:p>
        </w:tc>
        <w:tc>
          <w:tcPr>
            <w:tcW w:w="100" w:type="dxa"/>
            <w:vAlign w:val="bottom"/>
          </w:tcPr>
          <w:p>
            <w:pPr>
              <w:spacing w:after="0"/>
              <w:rPr>
                <w:sz w:val="15"/>
                <w:szCs w:val="15"/>
                <w:color w:val="auto"/>
              </w:rPr>
            </w:pPr>
          </w:p>
        </w:tc>
        <w:tc>
          <w:tcPr>
            <w:tcW w:w="1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per MSF</w:t>
            </w: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52.64</w:t>
            </w:r>
          </w:p>
        </w:tc>
        <w:tc>
          <w:tcPr>
            <w:tcW w:w="120" w:type="dxa"/>
            <w:vAlign w:val="bottom"/>
          </w:tcPr>
          <w:p>
            <w:pPr>
              <w:spacing w:after="0"/>
              <w:rPr>
                <w:sz w:val="15"/>
                <w:szCs w:val="15"/>
                <w:color w:val="auto"/>
              </w:rPr>
            </w:pPr>
          </w:p>
        </w:tc>
        <w:tc>
          <w:tcPr>
            <w:tcW w:w="1200" w:type="dxa"/>
            <w:vAlign w:val="bottom"/>
            <w:tcBorders>
              <w:bottom w:val="single" w:sz="8" w:color="A6A6A6"/>
            </w:tcBorders>
            <w:gridSpan w:val="2"/>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41.05</w:t>
            </w:r>
          </w:p>
        </w:tc>
        <w:tc>
          <w:tcPr>
            <w:tcW w:w="100" w:type="dxa"/>
            <w:vAlign w:val="bottom"/>
          </w:tcPr>
          <w:p>
            <w:pPr>
              <w:spacing w:after="0"/>
              <w:rPr>
                <w:sz w:val="15"/>
                <w:szCs w:val="15"/>
                <w:color w:val="auto"/>
              </w:rPr>
            </w:pPr>
          </w:p>
        </w:tc>
        <w:tc>
          <w:tcPr>
            <w:tcW w:w="1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MSF</w:t>
            </w: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105.35</w:t>
            </w:r>
          </w:p>
        </w:tc>
        <w:tc>
          <w:tcPr>
            <w:tcW w:w="120" w:type="dxa"/>
            <w:vAlign w:val="bottom"/>
          </w:tcPr>
          <w:p>
            <w:pPr>
              <w:spacing w:after="0"/>
              <w:rPr>
                <w:sz w:val="15"/>
                <w:szCs w:val="15"/>
                <w:color w:val="auto"/>
              </w:rPr>
            </w:pPr>
          </w:p>
        </w:tc>
        <w:tc>
          <w:tcPr>
            <w:tcW w:w="1200" w:type="dxa"/>
            <w:vAlign w:val="bottom"/>
            <w:tcBorders>
              <w:bottom w:val="single" w:sz="8" w:color="A6A6A6"/>
            </w:tcBorders>
            <w:gridSpan w:val="2"/>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82.90</w:t>
            </w:r>
          </w:p>
        </w:tc>
        <w:tc>
          <w:tcPr>
            <w:tcW w:w="100" w:type="dxa"/>
            <w:vAlign w:val="bottom"/>
          </w:tcPr>
          <w:p>
            <w:pPr>
              <w:spacing w:after="0"/>
              <w:rPr>
                <w:sz w:val="15"/>
                <w:szCs w:val="15"/>
                <w:color w:val="auto"/>
              </w:rPr>
            </w:pPr>
          </w:p>
        </w:tc>
        <w:tc>
          <w:tcPr>
            <w:tcW w:w="1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84,068</w:t>
            </w:r>
          </w:p>
        </w:tc>
        <w:tc>
          <w:tcPr>
            <w:tcW w:w="120" w:type="dxa"/>
            <w:vAlign w:val="bottom"/>
          </w:tcPr>
          <w:p>
            <w:pPr>
              <w:spacing w:after="0"/>
              <w:rPr>
                <w:sz w:val="15"/>
                <w:szCs w:val="15"/>
                <w:color w:val="auto"/>
              </w:rPr>
            </w:pPr>
          </w:p>
        </w:tc>
        <w:tc>
          <w:tcPr>
            <w:tcW w:w="1200" w:type="dxa"/>
            <w:vAlign w:val="bottom"/>
            <w:tcBorders>
              <w:bottom w:val="single" w:sz="8" w:color="A6A6A6"/>
            </w:tcBorders>
            <w:gridSpan w:val="2"/>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63,253</w:t>
            </w:r>
          </w:p>
        </w:tc>
        <w:tc>
          <w:tcPr>
            <w:tcW w:w="100" w:type="dxa"/>
            <w:vAlign w:val="bottom"/>
          </w:tcPr>
          <w:p>
            <w:pPr>
              <w:spacing w:after="0"/>
              <w:rPr>
                <w:sz w:val="15"/>
                <w:szCs w:val="15"/>
                <w:color w:val="auto"/>
              </w:rPr>
            </w:pPr>
          </w:p>
        </w:tc>
        <w:tc>
          <w:tcPr>
            <w:tcW w:w="15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-1393825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7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Gypsum Wallboard Revenue increased 30% to $216.3 million for the three months ended June 30, 2022. The improvement was due to higher gross sales prices and Sales Volume, which increased Revenue by approximately $42.4 million and $7.6 million, respectively. Our market share remained relatively consistent during the three months ended June 30, 2022.</w:t>
      </w:r>
    </w:p>
    <w:p>
      <w:pPr>
        <w:spacing w:after="0" w:line="94"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Operating Earnings increased 33% to $84.1 million, primarily because of higher gross sales prices and Sales Volume. The increase in gross sales prices and Sales Volume positively affected Operating Earnings by approximately $42.4 million and $2.9 million, respectively. This was partially offset by higher operating costs, which adversely affected Operating Earnings by approximately $24.5 million. The higher operating costs were primarily related to freight, energy, and raw materials, which reduced Operating Earnings by approximately $9.3 million, $5.8 million, and $9.2 million, respectively. The Operating Margin increased to 39% for the three months ended June 30, 2022,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1"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RECYCLED PAPERBOARD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340" w:type="dxa"/>
            <w:vAlign w:val="bottom"/>
            <w:tcBorders>
              <w:bottom w:val="single" w:sz="8" w:color="auto"/>
            </w:tcBorders>
            <w:shd w:val="clear" w:color="auto" w:fill="004483"/>
          </w:tcPr>
          <w:p>
            <w:pPr>
              <w:spacing w:after="0"/>
              <w:rPr>
                <w:sz w:val="13"/>
                <w:szCs w:val="13"/>
                <w:color w:val="auto"/>
              </w:rPr>
            </w:pPr>
          </w:p>
        </w:tc>
        <w:tc>
          <w:tcPr>
            <w:tcW w:w="242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Three Months Ended June 30,</w:t>
            </w:r>
          </w:p>
        </w:tc>
        <w:tc>
          <w:tcPr>
            <w:tcW w:w="5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68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180" w:type="dxa"/>
            <w:vAlign w:val="bottom"/>
            <w:tcBorders>
              <w:bottom w:val="single" w:sz="8" w:color="17385E"/>
            </w:tcBorders>
          </w:tcPr>
          <w:p>
            <w:pPr>
              <w:spacing w:after="0"/>
              <w:rPr>
                <w:sz w:val="15"/>
                <w:szCs w:val="15"/>
                <w:color w:val="auto"/>
              </w:rPr>
            </w:pPr>
          </w:p>
        </w:tc>
        <w:tc>
          <w:tcPr>
            <w:tcW w:w="340" w:type="dxa"/>
            <w:vAlign w:val="bottom"/>
            <w:tcBorders>
              <w:bottom w:val="single" w:sz="8" w:color="17385E"/>
            </w:tcBorders>
          </w:tcPr>
          <w:p>
            <w:pPr>
              <w:spacing w:after="0"/>
              <w:rPr>
                <w:sz w:val="15"/>
                <w:szCs w:val="15"/>
                <w:color w:val="auto"/>
              </w:rPr>
            </w:pPr>
          </w:p>
        </w:tc>
        <w:tc>
          <w:tcPr>
            <w:tcW w:w="2420" w:type="dxa"/>
            <w:vAlign w:val="bottom"/>
            <w:tcBorders>
              <w:bottom w:val="single" w:sz="8" w:color="17385E"/>
            </w:tcBorders>
            <w:gridSpan w:val="4"/>
          </w:tcPr>
          <w:p>
            <w:pPr>
              <w:jc w:val="right"/>
              <w:spacing w:after="0"/>
              <w:rPr>
                <w:sz w:val="20"/>
                <w:szCs w:val="20"/>
                <w:color w:val="auto"/>
              </w:rPr>
            </w:pPr>
            <w:r>
              <w:rPr>
                <w:rFonts w:ascii="Arial" w:cs="Arial" w:eastAsia="Arial" w:hAnsi="Arial"/>
                <w:sz w:val="13"/>
                <w:szCs w:val="13"/>
                <w:color w:val="auto"/>
                <w:w w:val="98"/>
              </w:rPr>
              <w:t>(in thousands, except per ton information)</w:t>
            </w:r>
          </w:p>
        </w:tc>
        <w:tc>
          <w:tcPr>
            <w:tcW w:w="56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17385E"/>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Revenue, including intersegment</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54,073</w:t>
            </w:r>
          </w:p>
        </w:tc>
        <w:tc>
          <w:tcPr>
            <w:tcW w:w="120" w:type="dxa"/>
            <w:vAlign w:val="bottom"/>
          </w:tcPr>
          <w:p>
            <w:pPr>
              <w:spacing w:after="0"/>
              <w:rPr>
                <w:sz w:val="16"/>
                <w:szCs w:val="16"/>
                <w:color w:val="auto"/>
              </w:rPr>
            </w:pPr>
          </w:p>
        </w:tc>
        <w:tc>
          <w:tcPr>
            <w:tcW w:w="1180" w:type="dxa"/>
            <w:vAlign w:val="bottom"/>
            <w:tcBorders>
              <w:bottom w:val="single" w:sz="8" w:color="A6A6A6"/>
            </w:tcBorders>
            <w:gridSpan w:val="2"/>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43,267</w:t>
            </w:r>
          </w:p>
        </w:tc>
        <w:tc>
          <w:tcPr>
            <w:tcW w:w="100" w:type="dxa"/>
            <w:vAlign w:val="bottom"/>
          </w:tcPr>
          <w:p>
            <w:pPr>
              <w:spacing w:after="0"/>
              <w:rPr>
                <w:sz w:val="16"/>
                <w:szCs w:val="16"/>
                <w:color w:val="auto"/>
              </w:rPr>
            </w:pPr>
          </w:p>
        </w:tc>
        <w:tc>
          <w:tcPr>
            <w:tcW w:w="1540" w:type="dxa"/>
            <w:vAlign w:val="bottom"/>
            <w:tcBorders>
              <w:bottom w:val="single" w:sz="8" w:color="A6A6A6"/>
            </w:tcBorders>
          </w:tcPr>
          <w:p>
            <w:pPr>
              <w:ind w:left="1360"/>
              <w:spacing w:after="0"/>
              <w:rPr>
                <w:sz w:val="20"/>
                <w:szCs w:val="20"/>
                <w:color w:val="auto"/>
              </w:rPr>
            </w:pPr>
            <w:r>
              <w:rPr>
                <w:rFonts w:ascii="Arial" w:cs="Arial" w:eastAsia="Arial" w:hAnsi="Arial"/>
                <w:sz w:val="16"/>
                <w:szCs w:val="16"/>
                <w:color w:val="auto"/>
                <w:w w:val="89"/>
              </w:rPr>
              <w:t>25</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3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(22,541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40" w:type="dxa"/>
            <w:vAlign w:val="bottom"/>
            <w:tcBorders>
              <w:bottom w:val="single" w:sz="8" w:color="004483"/>
            </w:tcBorders>
          </w:tcPr>
          <w:p>
            <w:pPr>
              <w:spacing w:after="0"/>
              <w:rPr>
                <w:sz w:val="18"/>
                <w:szCs w:val="18"/>
                <w:color w:val="auto"/>
              </w:rPr>
            </w:pPr>
          </w:p>
        </w:tc>
        <w:tc>
          <w:tcPr>
            <w:tcW w:w="5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5"/>
              </w:rPr>
              <w:t>(18,249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80" w:type="dxa"/>
            <w:vAlign w:val="bottom"/>
            <w:gridSpan w:val="2"/>
          </w:tcPr>
          <w:p>
            <w:pPr>
              <w:ind w:left="1360"/>
              <w:spacing w:after="0" w:line="183" w:lineRule="exact"/>
              <w:rPr>
                <w:sz w:val="20"/>
                <w:szCs w:val="20"/>
                <w:color w:val="auto"/>
              </w:rPr>
            </w:pPr>
            <w:r>
              <w:rPr>
                <w:rFonts w:ascii="Arial" w:cs="Arial" w:eastAsia="Arial" w:hAnsi="Arial"/>
                <w:sz w:val="16"/>
                <w:szCs w:val="16"/>
                <w:color w:val="auto"/>
                <w:w w:val="82"/>
              </w:rPr>
              <w:t>24 %</w:t>
            </w:r>
          </w:p>
        </w:tc>
        <w:tc>
          <w:tcPr>
            <w:tcW w:w="0" w:type="dxa"/>
            <w:vAlign w:val="bottom"/>
          </w:tcPr>
          <w:p>
            <w:pPr>
              <w:spacing w:after="0"/>
              <w:rPr>
                <w:sz w:val="1"/>
                <w:szCs w:val="1"/>
                <w:color w:val="auto"/>
              </w:rPr>
            </w:pPr>
          </w:p>
        </w:tc>
      </w:tr>
      <w:tr>
        <w:trPr>
          <w:trHeight w:val="183"/>
        </w:trPr>
        <w:tc>
          <w:tcPr>
            <w:tcW w:w="61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Revenue, as reported</w:t>
            </w:r>
          </w:p>
        </w:tc>
        <w:tc>
          <w:tcPr>
            <w:tcW w:w="340" w:type="dxa"/>
            <w:vAlign w:val="bottom"/>
            <w:tcBorders>
              <w:top w:val="single" w:sz="8" w:color="004483"/>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31,532</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40" w:type="dxa"/>
            <w:vAlign w:val="bottom"/>
            <w:tcBorders>
              <w:top w:val="single" w:sz="8" w:color="004483"/>
              <w:bottom w:val="single" w:sz="8" w:color="A6A6A6"/>
            </w:tcBorders>
          </w:tcPr>
          <w:p>
            <w:pPr>
              <w:jc w:val="right"/>
              <w:ind w:right="85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25,018</w:t>
            </w:r>
          </w:p>
        </w:tc>
        <w:tc>
          <w:tcPr>
            <w:tcW w:w="100" w:type="dxa"/>
            <w:vAlign w:val="bottom"/>
          </w:tcPr>
          <w:p>
            <w:pPr>
              <w:spacing w:after="0"/>
              <w:rPr>
                <w:sz w:val="15"/>
                <w:szCs w:val="15"/>
                <w:color w:val="auto"/>
              </w:rPr>
            </w:pPr>
          </w:p>
        </w:tc>
        <w:tc>
          <w:tcPr>
            <w:tcW w:w="1540" w:type="dxa"/>
            <w:vAlign w:val="bottom"/>
            <w:tcBorders>
              <w:top w:val="single" w:sz="8" w:color="A6A6A6"/>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89"/>
              </w:rPr>
              <w:t>26</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3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(2,549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40" w:type="dxa"/>
            <w:vAlign w:val="bottom"/>
            <w:tcBorders>
              <w:bottom w:val="single" w:sz="8" w:color="004483"/>
            </w:tcBorders>
          </w:tcPr>
          <w:p>
            <w:pPr>
              <w:spacing w:after="0"/>
              <w:rPr>
                <w:sz w:val="18"/>
                <w:szCs w:val="18"/>
                <w:color w:val="auto"/>
              </w:rPr>
            </w:pPr>
          </w:p>
        </w:tc>
        <w:tc>
          <w:tcPr>
            <w:tcW w:w="5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(1,448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80" w:type="dxa"/>
            <w:vAlign w:val="bottom"/>
            <w:gridSpan w:val="2"/>
          </w:tcPr>
          <w:p>
            <w:pPr>
              <w:ind w:left="1360"/>
              <w:spacing w:after="0" w:line="183" w:lineRule="exact"/>
              <w:rPr>
                <w:sz w:val="20"/>
                <w:szCs w:val="20"/>
                <w:color w:val="auto"/>
              </w:rPr>
            </w:pPr>
            <w:r>
              <w:rPr>
                <w:rFonts w:ascii="Arial" w:cs="Arial" w:eastAsia="Arial" w:hAnsi="Arial"/>
                <w:sz w:val="16"/>
                <w:szCs w:val="16"/>
                <w:color w:val="auto"/>
                <w:w w:val="82"/>
              </w:rPr>
              <w:t>76 %</w:t>
            </w:r>
          </w:p>
        </w:tc>
        <w:tc>
          <w:tcPr>
            <w:tcW w:w="0" w:type="dxa"/>
            <w:vAlign w:val="bottom"/>
          </w:tcPr>
          <w:p>
            <w:pPr>
              <w:spacing w:after="0"/>
              <w:rPr>
                <w:sz w:val="1"/>
                <w:szCs w:val="1"/>
                <w:color w:val="auto"/>
              </w:rPr>
            </w:pPr>
          </w:p>
        </w:tc>
      </w:tr>
      <w:tr>
        <w:trPr>
          <w:trHeight w:val="183"/>
        </w:trPr>
        <w:tc>
          <w:tcPr>
            <w:tcW w:w="61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Revenue</w:t>
            </w:r>
          </w:p>
        </w:tc>
        <w:tc>
          <w:tcPr>
            <w:tcW w:w="340" w:type="dxa"/>
            <w:vAlign w:val="bottom"/>
            <w:tcBorders>
              <w:top w:val="single" w:sz="8" w:color="004483"/>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28,983</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40" w:type="dxa"/>
            <w:vAlign w:val="bottom"/>
            <w:tcBorders>
              <w:top w:val="single" w:sz="8" w:color="004483"/>
              <w:bottom w:val="single" w:sz="8" w:color="A6A6A6"/>
            </w:tcBorders>
          </w:tcPr>
          <w:p>
            <w:pPr>
              <w:jc w:val="right"/>
              <w:ind w:right="85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23,570</w:t>
            </w:r>
          </w:p>
        </w:tc>
        <w:tc>
          <w:tcPr>
            <w:tcW w:w="100" w:type="dxa"/>
            <w:vAlign w:val="bottom"/>
          </w:tcPr>
          <w:p>
            <w:pPr>
              <w:spacing w:after="0"/>
              <w:rPr>
                <w:sz w:val="15"/>
                <w:szCs w:val="15"/>
                <w:color w:val="auto"/>
              </w:rPr>
            </w:pPr>
          </w:p>
        </w:tc>
        <w:tc>
          <w:tcPr>
            <w:tcW w:w="1540" w:type="dxa"/>
            <w:vAlign w:val="bottom"/>
            <w:tcBorders>
              <w:top w:val="single" w:sz="8" w:color="A6A6A6"/>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89"/>
              </w:rPr>
              <w:t>23</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 Tons)</w:t>
            </w:r>
          </w:p>
        </w:tc>
        <w:tc>
          <w:tcPr>
            <w:tcW w:w="34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40" w:type="dxa"/>
            <w:vAlign w:val="bottom"/>
            <w:tcBorders>
              <w:top w:val="single" w:sz="8" w:color="A6A6A6"/>
              <w:bottom w:val="single" w:sz="8" w:color="A6A6A6"/>
            </w:tcBorders>
          </w:tcPr>
          <w:p>
            <w:pPr>
              <w:spacing w:after="0"/>
              <w:rPr>
                <w:sz w:val="15"/>
                <w:szCs w:val="15"/>
                <w:color w:val="auto"/>
              </w:rPr>
            </w:pPr>
          </w:p>
        </w:tc>
        <w:tc>
          <w:tcPr>
            <w:tcW w:w="5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w:t>
            </w:r>
          </w:p>
        </w:tc>
        <w:tc>
          <w:tcPr>
            <w:tcW w:w="100" w:type="dxa"/>
            <w:vAlign w:val="bottom"/>
          </w:tcPr>
          <w:p>
            <w:pPr>
              <w:spacing w:after="0"/>
              <w:rPr>
                <w:sz w:val="15"/>
                <w:szCs w:val="15"/>
                <w:color w:val="auto"/>
              </w:rPr>
            </w:pPr>
          </w:p>
        </w:tc>
        <w:tc>
          <w:tcPr>
            <w:tcW w:w="1540" w:type="dxa"/>
            <w:vAlign w:val="bottom"/>
            <w:tcBorders>
              <w:top w:val="single" w:sz="8" w:color="A6A6A6"/>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611.87</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498.49</w:t>
            </w:r>
          </w:p>
        </w:tc>
        <w:tc>
          <w:tcPr>
            <w:tcW w:w="100" w:type="dxa"/>
            <w:vAlign w:val="bottom"/>
          </w:tcPr>
          <w:p>
            <w:pPr>
              <w:spacing w:after="0"/>
              <w:rPr>
                <w:sz w:val="15"/>
                <w:szCs w:val="15"/>
                <w:color w:val="auto"/>
              </w:rPr>
            </w:pPr>
          </w:p>
        </w:tc>
        <w:tc>
          <w:tcPr>
            <w:tcW w:w="1540" w:type="dxa"/>
            <w:vAlign w:val="bottom"/>
            <w:tcBorders>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89"/>
              </w:rPr>
              <w:t>23</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per ton</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30.35</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17.24</w:t>
            </w:r>
          </w:p>
        </w:tc>
        <w:tc>
          <w:tcPr>
            <w:tcW w:w="100" w:type="dxa"/>
            <w:vAlign w:val="bottom"/>
          </w:tcPr>
          <w:p>
            <w:pPr>
              <w:spacing w:after="0"/>
              <w:rPr>
                <w:sz w:val="15"/>
                <w:szCs w:val="15"/>
                <w:color w:val="auto"/>
              </w:rPr>
            </w:pPr>
          </w:p>
        </w:tc>
        <w:tc>
          <w:tcPr>
            <w:tcW w:w="1540" w:type="dxa"/>
            <w:vAlign w:val="bottom"/>
            <w:tcBorders>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89"/>
              </w:rPr>
              <w:t>76</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ton</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45.43</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39.73</w:t>
            </w:r>
          </w:p>
        </w:tc>
        <w:tc>
          <w:tcPr>
            <w:tcW w:w="100" w:type="dxa"/>
            <w:vAlign w:val="bottom"/>
          </w:tcPr>
          <w:p>
            <w:pPr>
              <w:spacing w:after="0"/>
              <w:rPr>
                <w:sz w:val="15"/>
                <w:szCs w:val="15"/>
                <w:color w:val="auto"/>
              </w:rPr>
            </w:pPr>
          </w:p>
        </w:tc>
        <w:tc>
          <w:tcPr>
            <w:tcW w:w="1540" w:type="dxa"/>
            <w:vAlign w:val="bottom"/>
            <w:tcBorders>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89"/>
              </w:rPr>
              <w:t>14</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3,816</w:t>
            </w:r>
          </w:p>
        </w:tc>
        <w:tc>
          <w:tcPr>
            <w:tcW w:w="120" w:type="dxa"/>
            <w:vAlign w:val="bottom"/>
          </w:tcPr>
          <w:p>
            <w:pPr>
              <w:spacing w:after="0"/>
              <w:rPr>
                <w:sz w:val="15"/>
                <w:szCs w:val="15"/>
                <w:color w:val="auto"/>
              </w:rPr>
            </w:pPr>
          </w:p>
        </w:tc>
        <w:tc>
          <w:tcPr>
            <w:tcW w:w="1180" w:type="dxa"/>
            <w:vAlign w:val="bottom"/>
            <w:tcBorders>
              <w:bottom w:val="single" w:sz="8" w:color="A6A6A6"/>
            </w:tcBorders>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3,337</w:t>
            </w:r>
          </w:p>
        </w:tc>
        <w:tc>
          <w:tcPr>
            <w:tcW w:w="100" w:type="dxa"/>
            <w:vAlign w:val="bottom"/>
          </w:tcPr>
          <w:p>
            <w:pPr>
              <w:spacing w:after="0"/>
              <w:rPr>
                <w:sz w:val="15"/>
                <w:szCs w:val="15"/>
                <w:color w:val="auto"/>
              </w:rPr>
            </w:pPr>
          </w:p>
        </w:tc>
        <w:tc>
          <w:tcPr>
            <w:tcW w:w="1540" w:type="dxa"/>
            <w:vAlign w:val="bottom"/>
            <w:tcBorders>
              <w:bottom w:val="single" w:sz="8" w:color="A6A6A6"/>
            </w:tcBorders>
          </w:tcPr>
          <w:p>
            <w:pPr>
              <w:ind w:left="1360"/>
              <w:spacing w:after="0" w:line="183" w:lineRule="exact"/>
              <w:rPr>
                <w:sz w:val="20"/>
                <w:szCs w:val="20"/>
                <w:color w:val="auto"/>
              </w:rPr>
            </w:pPr>
            <w:r>
              <w:rPr>
                <w:rFonts w:ascii="Arial" w:cs="Arial" w:eastAsia="Arial" w:hAnsi="Arial"/>
                <w:sz w:val="16"/>
                <w:szCs w:val="16"/>
                <w:color w:val="auto"/>
                <w:w w:val="89"/>
              </w:rPr>
              <w:t>14</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-1668145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7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Recycled Paperboard Revenue increased 25% to $54.1 million during the three months ended June 30, 2022. The increase was primarily due to higher gross sales prices and Sales Volume, which positively affected Revenue by $10.6 million and $0.2 million, respectively. Higher gross sales prices were related to the pricing provisions in our long-term sales agreements.</w:t>
      </w:r>
    </w:p>
    <w:p>
      <w:pPr>
        <w:spacing w:after="0" w:line="94"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Operating Earnings increased 14% to $3.8 million, primarily because of higher gross sales prices, which increased Operating Earnings by $10.6 million. This was partially offset by higher operating costs, which reduced Operating Earnings by approximately $10.1 million. The increase in operating costs was primarily related to higher input costs, namely fiber, energy, and freight, which lowered Operating Earnings by approximately $5.5 million, $2.1 million, and $1.1 million, respectively. The Operating Margin declined to 7% because of increased operating costs, partially offset by higher gross sales prices. Although the Company has certain pricing provisions in its long-term sales agreements, prices are only adjusted at certain times throughout the year, so price adjustments are not always reflected in the same period as the change in costs.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6"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96"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3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6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660" w:type="dxa"/>
            <w:vAlign w:val="bottom"/>
            <w:gridSpan w:val="4"/>
            <w:shd w:val="clear" w:color="auto" w:fill="004483"/>
          </w:tcPr>
          <w:p>
            <w:pPr>
              <w:jc w:val="right"/>
              <w:ind w:right="119"/>
              <w:spacing w:after="0"/>
              <w:rPr>
                <w:sz w:val="20"/>
                <w:szCs w:val="20"/>
                <w:color w:val="auto"/>
              </w:rPr>
            </w:pPr>
            <w:r>
              <w:rPr>
                <w:rFonts w:ascii="Arial" w:cs="Arial" w:eastAsia="Arial" w:hAnsi="Arial"/>
                <w:sz w:val="13"/>
                <w:szCs w:val="13"/>
                <w:b w:val="1"/>
                <w:bCs w:val="1"/>
                <w:color w:val="FFFFFF"/>
              </w:rPr>
              <w:t>For the Three Months Ended June 30,</w:t>
            </w:r>
          </w:p>
        </w:tc>
        <w:tc>
          <w:tcPr>
            <w:tcW w:w="7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2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660" w:type="dxa"/>
            <w:vAlign w:val="bottom"/>
            <w:tcBorders>
              <w:bottom w:val="single" w:sz="8" w:color="004483"/>
            </w:tcBorders>
            <w:gridSpan w:val="4"/>
          </w:tcPr>
          <w:p>
            <w:pPr>
              <w:jc w:val="right"/>
              <w:ind w:right="59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124,802</w:t>
            </w:r>
          </w:p>
        </w:tc>
        <w:tc>
          <w:tcPr>
            <w:tcW w:w="120" w:type="dxa"/>
            <w:vAlign w:val="bottom"/>
          </w:tcPr>
          <w:p>
            <w:pPr>
              <w:spacing w:after="0"/>
              <w:rPr>
                <w:sz w:val="16"/>
                <w:szCs w:val="16"/>
                <w:color w:val="auto"/>
              </w:rPr>
            </w:pPr>
          </w:p>
        </w:tc>
        <w:tc>
          <w:tcPr>
            <w:tcW w:w="1320" w:type="dxa"/>
            <w:vAlign w:val="bottom"/>
            <w:tcBorders>
              <w:bottom w:val="single" w:sz="8" w:color="A6A6A6"/>
            </w:tcBorders>
            <w:gridSpan w:val="2"/>
          </w:tcPr>
          <w:p>
            <w:pPr>
              <w:jc w:val="right"/>
              <w:ind w:right="9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111,121</w:t>
            </w:r>
          </w:p>
        </w:tc>
        <w:tc>
          <w:tcPr>
            <w:tcW w:w="100" w:type="dxa"/>
            <w:vAlign w:val="bottom"/>
          </w:tcPr>
          <w:p>
            <w:pPr>
              <w:spacing w:after="0"/>
              <w:rPr>
                <w:sz w:val="16"/>
                <w:szCs w:val="16"/>
                <w:color w:val="auto"/>
              </w:rPr>
            </w:pPr>
          </w:p>
        </w:tc>
      </w:tr>
      <w:tr>
        <w:trPr>
          <w:trHeight w:val="203"/>
        </w:trPr>
        <w:tc>
          <w:tcPr>
            <w:tcW w:w="72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Investing Activities</w:t>
            </w:r>
          </w:p>
        </w:tc>
        <w:tc>
          <w:tcPr>
            <w:tcW w:w="500" w:type="dxa"/>
            <w:vAlign w:val="bottom"/>
            <w:tcBorders>
              <w:bottom w:val="single" w:sz="8" w:color="A6A6A6"/>
            </w:tcBorders>
          </w:tcPr>
          <w:p>
            <w:pPr>
              <w:spacing w:after="0"/>
              <w:rPr>
                <w:sz w:val="17"/>
                <w:szCs w:val="17"/>
                <w:color w:val="auto"/>
              </w:rPr>
            </w:pPr>
          </w:p>
        </w:tc>
        <w:tc>
          <w:tcPr>
            <w:tcW w:w="12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2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50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6"/>
                <w:szCs w:val="16"/>
                <w:color w:val="auto"/>
              </w:rPr>
            </w:pPr>
          </w:p>
        </w:tc>
        <w:tc>
          <w:tcPr>
            <w:tcW w:w="1160" w:type="dxa"/>
            <w:vAlign w:val="bottom"/>
            <w:tcBorders>
              <w:bottom w:val="single" w:sz="8" w:color="A6A6A6"/>
            </w:tcBorders>
          </w:tcPr>
          <w:p>
            <w:pPr>
              <w:spacing w:after="0"/>
              <w:rPr>
                <w:sz w:val="16"/>
                <w:szCs w:val="16"/>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(11,935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Acquisition Spending</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(121,162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72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Cash Used in Investing Activities</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(136,076</w:t>
            </w:r>
          </w:p>
        </w:tc>
        <w:tc>
          <w:tcPr>
            <w:tcW w:w="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(11,935</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r>
      <w:tr>
        <w:trPr>
          <w:trHeight w:val="203"/>
        </w:trPr>
        <w:tc>
          <w:tcPr>
            <w:tcW w:w="72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Financing Activities</w:t>
            </w:r>
          </w:p>
        </w:tc>
        <w:tc>
          <w:tcPr>
            <w:tcW w:w="500" w:type="dxa"/>
            <w:vAlign w:val="bottom"/>
            <w:tcBorders>
              <w:bottom w:val="single" w:sz="8" w:color="A6A6A6"/>
            </w:tcBorders>
          </w:tcPr>
          <w:p>
            <w:pPr>
              <w:spacing w:after="0"/>
              <w:rPr>
                <w:sz w:val="17"/>
                <w:szCs w:val="17"/>
                <w:color w:val="auto"/>
              </w:rPr>
            </w:pPr>
          </w:p>
        </w:tc>
        <w:tc>
          <w:tcPr>
            <w:tcW w:w="12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2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50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6"/>
                <w:szCs w:val="16"/>
                <w:color w:val="auto"/>
              </w:rPr>
            </w:pPr>
          </w:p>
        </w:tc>
        <w:tc>
          <w:tcPr>
            <w:tcW w:w="1160" w:type="dxa"/>
            <w:vAlign w:val="bottom"/>
            <w:tcBorders>
              <w:bottom w:val="single" w:sz="8" w:color="A6A6A6"/>
            </w:tcBorders>
          </w:tcPr>
          <w:p>
            <w:pPr>
              <w:spacing w:after="0"/>
              <w:rPr>
                <w:sz w:val="16"/>
                <w:szCs w:val="16"/>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Term Loan</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(9,642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(109,612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(61,929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667</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8,222</w:t>
            </w:r>
          </w:p>
        </w:tc>
        <w:tc>
          <w:tcPr>
            <w:tcW w:w="100" w:type="dxa"/>
            <w:vAlign w:val="bottom"/>
          </w:tcPr>
          <w:p>
            <w:pPr>
              <w:spacing w:after="0"/>
              <w:rPr>
                <w:sz w:val="15"/>
                <w:szCs w:val="15"/>
                <w:color w:val="auto"/>
              </w:rPr>
            </w:pPr>
          </w:p>
        </w:tc>
      </w:tr>
      <w:tr>
        <w:trPr>
          <w:trHeight w:val="183"/>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Debt Issuance Costs</w:t>
            </w:r>
          </w:p>
        </w:tc>
        <w:tc>
          <w:tcPr>
            <w:tcW w:w="50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(1,243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72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50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(1,497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(1,214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Cash Provided by (Used in) Financing Activities</w:t>
            </w:r>
          </w:p>
        </w:tc>
        <w:tc>
          <w:tcPr>
            <w:tcW w:w="5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60,139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(56,164</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r>
      <w:tr>
        <w:trPr>
          <w:trHeight w:val="27"/>
        </w:trPr>
        <w:tc>
          <w:tcPr>
            <w:tcW w:w="726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7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Increase in Cash and Cash Equivalents</w:t>
            </w: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48,865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004483"/>
            </w:tcBorders>
          </w:tcPr>
          <w:p>
            <w:pPr>
              <w:jc w:val="right"/>
              <w:ind w:right="979"/>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43,022</w:t>
            </w:r>
          </w:p>
        </w:tc>
        <w:tc>
          <w:tcPr>
            <w:tcW w:w="100" w:type="dxa"/>
            <w:vAlign w:val="bottom"/>
          </w:tcPr>
          <w:p>
            <w:pPr>
              <w:spacing w:after="0"/>
              <w:rPr>
                <w:sz w:val="15"/>
                <w:szCs w:val="15"/>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ind w:right="200"/>
        <w:spacing w:after="0" w:line="287" w:lineRule="auto"/>
        <w:rPr>
          <w:sz w:val="20"/>
          <w:szCs w:val="20"/>
          <w:color w:val="auto"/>
        </w:rPr>
      </w:pPr>
      <w:r>
        <w:rPr>
          <w:rFonts w:ascii="Arial" w:cs="Arial" w:eastAsia="Arial" w:hAnsi="Arial"/>
          <w:sz w:val="18"/>
          <w:szCs w:val="18"/>
          <w:color w:val="auto"/>
        </w:rPr>
        <w:t>Net Cash Provided by Operating Activities increased by $13.7 million to $124.8 million during the three months ended June 30, 2022. This increase was primarily attributable to higher Net Earnings, adjusted for non-cash charges, of approximately $18.3 million. This was partially offset by changes in working capital of $2.1 million and lower dividends from our Unconsolidated Joint Venture of $2.5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increased by $83.3 million to $318.5 million at June 30, 2022, compared with March 31, 2022. The increase was due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higher Cash of approximately $48.9 million; higher Accounts and Notes Receivable, net of approximately $58.4 million, and lower Accounts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Payable and Accrued Liabilities of $3.6 million. This was partially offset by lower Inventories and Income Tax Receivable of approximately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$3.2 million and $4.6 million, respectively, and higher Income Tax Payable of $25.0 million. The reduction in inventory was due to our normal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sales cycle in which we build inventory in the winter months to meet demand in the spring and summer. The ConAgg Acquisition in April 2022</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increased working capital by approximately $12.6 million at June 30, 2022.</w:t>
      </w:r>
    </w:p>
    <w:p>
      <w:pPr>
        <w:spacing w:after="0" w:line="144"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The increase in Accounts Receivable at June 30, 2022, was primarily related to higher Revenue during the three months ended June 30, 2022, compared with the three months ended March 31, 2022. As a percentage of quarterly sales generated for the respective quarter, Accounts Receivable was approximately 42% at June 30, 2022 and 43% at March 31, 2022. Accounts Receivable related to the ConAgg Acquisition at June 30, 2022 were approximately $8.2 million.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2022. Notes Receivable are monitored on an individual basis, and no significant deterioration in the collectability of our Notes Receivable was identified at June 30, 2022.</w:t>
      </w:r>
    </w:p>
    <w:p>
      <w:pPr>
        <w:spacing w:after="0" w:line="101"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Our Inventory balance at June 30, 2022 declined by approximately $3.1 million from our balance at March 31, 2022. Excluding the ConAgg Acquisition, our Inventory balance declined by $8.0 million. Within Inventory, raw materials and materials-in-progress decreased by approximately $3.6 million and finished cement decreased by approximately $4.1 million. The decline in raw materials and materials-in-progress and finished cement is consistent with our business cycle; we generally build up clinker inventory over the winter months to meet the demand for cement in the spring and summer. The increase in repair parts inventory was primarily due to the build-up of inventory necessary for our scheduled outages over the next several months.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97"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Net Cash Used in Investing Activities during the three months ended June 30, 2022, was approximately $136.1 million, compared with $11.9 million during the same period in 2021, an increase of approximately $124.2 million. The increase was primarily related to the $121.2 million Purchase Price for the ConAgg Acquisition in April 2022.</w:t>
      </w:r>
    </w:p>
    <w:p>
      <w:pPr>
        <w:spacing w:after="0" w:line="9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Net Cash Provided by Financing Activities was approximately $60.1 million during the three months ended June 30, 2022, compared with Net Cash Used in Financing Activities of $56.2 million during the three months ended June 30, 2021. The $116.3 million increase was primarily related to higher borrowings of $181.0 million, partially offset by increases in Dividends Paid to Shareholders of $9.6 million and Purchase and Retirement of Common Stock of $47.7 million.</w:t>
      </w:r>
    </w:p>
    <w:p>
      <w:pPr>
        <w:spacing w:after="0" w:line="97"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Our debt-to-capitalization ratio and net-debt-to-capitalization ratio were 50.0% and 48.6%, respectively, at June 30, 2022, compared with 45.6% and 45.1%, respectively, at March 31, 2022.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June 30,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Borders>
              <w:bottom w:val="single" w:sz="8" w:color="004483"/>
            </w:tcBorders>
          </w:tcPr>
          <w:p>
            <w:pPr>
              <w:spacing w:after="0"/>
              <w:rPr>
                <w:sz w:val="15"/>
                <w:szCs w:val="15"/>
                <w:color w:val="auto"/>
              </w:rPr>
            </w:pPr>
          </w:p>
        </w:tc>
        <w:tc>
          <w:tcPr>
            <w:tcW w:w="4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189"/>
        </w:trPr>
        <w:tc>
          <w:tcPr>
            <w:tcW w:w="63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183"/>
        </w:trPr>
        <w:tc>
          <w:tcPr>
            <w:tcW w:w="6380" w:type="dxa"/>
            <w:vAlign w:val="bottom"/>
            <w:tcBorders>
              <w:bottom w:val="single" w:sz="8" w:color="A6A6A6"/>
            </w:tcBorders>
          </w:tcPr>
          <w:p>
            <w:pPr>
              <w:ind w:left="60"/>
              <w:spacing w:after="0" w:line="183" w:lineRule="exact"/>
              <w:rPr>
                <w:sz w:val="20"/>
                <w:szCs w:val="20"/>
                <w:color w:val="auto"/>
              </w:rPr>
            </w:pPr>
            <w:r>
              <w:rPr>
                <w:rFonts w:ascii="Arial" w:cs="Arial" w:eastAsia="Arial" w:hAnsi="Arial"/>
                <w:sz w:val="16"/>
                <w:szCs w:val="16"/>
                <w:color w:val="004483"/>
              </w:rPr>
              <w:t>Term Loan</w:t>
            </w:r>
          </w:p>
        </w:tc>
        <w:tc>
          <w:tcPr>
            <w:tcW w:w="4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May 2027</w:t>
            </w:r>
          </w:p>
        </w:tc>
      </w:tr>
      <w:tr>
        <w:trPr>
          <w:trHeight w:val="183"/>
        </w:trPr>
        <w:tc>
          <w:tcPr>
            <w:tcW w:w="6380" w:type="dxa"/>
            <w:vAlign w:val="bottom"/>
            <w:tcBorders>
              <w:bottom w:val="single" w:sz="8" w:color="A6A6A6"/>
            </w:tcBorders>
          </w:tcPr>
          <w:p>
            <w:pPr>
              <w:ind w:left="60"/>
              <w:spacing w:after="0" w:line="183" w:lineRule="exact"/>
              <w:rPr>
                <w:sz w:val="20"/>
                <w:szCs w:val="20"/>
                <w:color w:val="auto"/>
              </w:rPr>
            </w:pPr>
            <w:r>
              <w:rPr>
                <w:rFonts w:ascii="Arial" w:cs="Arial" w:eastAsia="Arial" w:hAnsi="Arial"/>
                <w:sz w:val="16"/>
                <w:szCs w:val="16"/>
                <w:color w:val="004483"/>
              </w:rPr>
              <w:t>2.500% Senior Unsecured Notes</w:t>
            </w:r>
          </w:p>
        </w:tc>
        <w:tc>
          <w:tcPr>
            <w:tcW w:w="4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July 2031</w:t>
            </w:r>
          </w:p>
        </w:tc>
      </w:tr>
    </w:tbl>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The borrowing capacity of our Revolving Credit Facility is $750.0 million until May 5, 2027. The Revolving Credit Facility also includes a swingline loan sublimit of $25.0 million, and a $40.0 million letter of credit facility. At June 30, 2022 we had $181.0 million outstanding under the Revolving Credit Facility and $6.4 million of outstanding letters of credit, leaving us with $562.6 million of available borrowings under the Revolving Credit Facility, net of the outstanding letters of credit. We are contingently liable for performance under $26.8 million in performance bonds relating primarily to our mining operations. We do not have any off-balance sheet debt, or any outstanding debt guarantees.</w:t>
      </w:r>
    </w:p>
    <w:p>
      <w:pPr>
        <w:spacing w:after="0" w:line="96"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97"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COVID-19 or similar pandemics. These and other developments could reduce our cash flow or require that we seek additional sources of funding. We cannot predict what effect these factors will have on our future liquidity.</w:t>
      </w:r>
    </w:p>
    <w:p>
      <w:pPr>
        <w:spacing w:after="0" w:line="101" w:lineRule="exact"/>
        <w:rPr>
          <w:sz w:val="20"/>
          <w:szCs w:val="20"/>
          <w:color w:val="auto"/>
        </w:rPr>
      </w:pPr>
    </w:p>
    <w:p>
      <w:pPr>
        <w:ind w:right="440"/>
        <w:spacing w:after="0" w:line="28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We have approximately $34.9 million of lease liabilities at June 30, 2022, that have an average remaining life of approximately 10.2 years.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66"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Dividends paid were $9.6 million for the three months ended June 30, 2022. There were no dividends paid during the three months ended June 30, 2021. On May 19, 2021, we announced the reinstatement of our quarterly dividend that was suspended in fiscal 2021. Each quarterly dividend payment is subject to review and approval by our Board of Directors, who will continue to evaluate our dividend payment amount on a quarterly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2022, our share repurchases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Average Price Paid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21"/>
        </w:trPr>
        <w:tc>
          <w:tcPr>
            <w:tcW w:w="5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62"/>
        </w:trPr>
        <w:tc>
          <w:tcPr>
            <w:tcW w:w="5320" w:type="dxa"/>
            <w:vAlign w:val="bottom"/>
            <w:tcBorders>
              <w:bottom w:val="single" w:sz="8" w:color="004483"/>
            </w:tcBorders>
            <w:vMerge w:val="continue"/>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160" w:type="dxa"/>
            <w:vAlign w:val="bottom"/>
            <w:tcBorders>
              <w:bottom w:val="single" w:sz="8" w:color="004483"/>
            </w:tcBorders>
          </w:tcPr>
          <w:p>
            <w:pPr>
              <w:spacing w:after="0"/>
              <w:rPr>
                <w:sz w:val="14"/>
                <w:szCs w:val="14"/>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183"/>
        </w:trPr>
        <w:tc>
          <w:tcPr>
            <w:tcW w:w="53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April 1 through April 30, 2022</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296,000</w:t>
            </w:r>
          </w:p>
        </w:tc>
        <w:tc>
          <w:tcPr>
            <w:tcW w:w="120" w:type="dxa"/>
            <w:vAlign w:val="bottom"/>
          </w:tcPr>
          <w:p>
            <w:pPr>
              <w:spacing w:after="0"/>
              <w:rPr>
                <w:sz w:val="15"/>
                <w:szCs w:val="15"/>
                <w:color w:val="auto"/>
              </w:rPr>
            </w:pPr>
          </w:p>
        </w:tc>
        <w:tc>
          <w:tcPr>
            <w:tcW w:w="300" w:type="dxa"/>
            <w:vAlign w:val="bottom"/>
            <w:tcBorders>
              <w:bottom w:val="single" w:sz="8" w:color="A6A6A6"/>
            </w:tcBorders>
            <w:gridSpan w:val="2"/>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125.41</w:t>
            </w:r>
          </w:p>
        </w:tc>
        <w:tc>
          <w:tcPr>
            <w:tcW w:w="120" w:type="dxa"/>
            <w:vAlign w:val="bottom"/>
          </w:tcPr>
          <w:p>
            <w:pPr>
              <w:spacing w:after="0"/>
              <w:rPr>
                <w:sz w:val="15"/>
                <w:szCs w:val="15"/>
                <w:color w:val="auto"/>
              </w:rPr>
            </w:pPr>
          </w:p>
        </w:tc>
        <w:tc>
          <w:tcPr>
            <w:tcW w:w="13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296,000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May 1 through May 31, 2022</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294,000</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124.72</w:t>
            </w:r>
          </w:p>
        </w:tc>
        <w:tc>
          <w:tcPr>
            <w:tcW w:w="120" w:type="dxa"/>
            <w:vAlign w:val="bottom"/>
          </w:tcPr>
          <w:p>
            <w:pPr>
              <w:spacing w:after="0"/>
              <w:rPr>
                <w:sz w:val="15"/>
                <w:szCs w:val="15"/>
                <w:color w:val="auto"/>
              </w:rPr>
            </w:pPr>
          </w:p>
        </w:tc>
        <w:tc>
          <w:tcPr>
            <w:tcW w:w="13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30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line="183" w:lineRule="exact"/>
              <w:rPr>
                <w:sz w:val="20"/>
                <w:szCs w:val="20"/>
                <w:color w:val="auto"/>
              </w:rPr>
            </w:pPr>
            <w:r>
              <w:rPr>
                <w:rFonts w:ascii="Arial" w:cs="Arial" w:eastAsia="Arial" w:hAnsi="Arial"/>
                <w:sz w:val="16"/>
                <w:szCs w:val="16"/>
                <w:color w:val="004483"/>
              </w:rPr>
              <w:t>June 1 through June 30, 2022</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294,000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121.86</w:t>
            </w:r>
          </w:p>
        </w:tc>
        <w:tc>
          <w:tcPr>
            <w:tcW w:w="120" w:type="dxa"/>
            <w:vAlign w:val="bottom"/>
          </w:tcPr>
          <w:p>
            <w:pPr>
              <w:spacing w:after="0"/>
              <w:rPr>
                <w:sz w:val="15"/>
                <w:szCs w:val="15"/>
                <w:color w:val="auto"/>
              </w:rPr>
            </w:pPr>
          </w:p>
        </w:tc>
        <w:tc>
          <w:tcPr>
            <w:tcW w:w="1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Borders>
              <w:top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auto"/>
              </w:rPr>
              <w:t>Quarter 1 Totals</w:t>
            </w:r>
          </w:p>
        </w:tc>
        <w:tc>
          <w:tcPr>
            <w:tcW w:w="12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884,000</w:t>
            </w:r>
          </w:p>
        </w:tc>
        <w:tc>
          <w:tcPr>
            <w:tcW w:w="120" w:type="dxa"/>
            <w:vAlign w:val="bottom"/>
          </w:tcPr>
          <w:p>
            <w:pPr>
              <w:spacing w:after="0"/>
              <w:rPr>
                <w:sz w:val="15"/>
                <w:szCs w:val="15"/>
                <w:color w:val="auto"/>
              </w:rPr>
            </w:pPr>
          </w:p>
        </w:tc>
        <w:tc>
          <w:tcPr>
            <w:tcW w:w="140" w:type="dxa"/>
            <w:vAlign w:val="bottom"/>
            <w:tcBorders>
              <w:top w:val="single" w:sz="8" w:color="A6A6A6"/>
            </w:tcBorders>
          </w:tcPr>
          <w:p>
            <w:pPr>
              <w:spacing w:after="0"/>
              <w:rPr>
                <w:sz w:val="15"/>
                <w:szCs w:val="15"/>
                <w:color w:val="auto"/>
              </w:rPr>
            </w:pPr>
          </w:p>
        </w:tc>
        <w:tc>
          <w:tcPr>
            <w:tcW w:w="160" w:type="dxa"/>
            <w:vAlign w:val="bottom"/>
            <w:tcBorders>
              <w:top w:val="single" w:sz="8" w:color="004483"/>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124.00</w:t>
            </w:r>
          </w:p>
        </w:tc>
        <w:tc>
          <w:tcPr>
            <w:tcW w:w="12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24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884,000</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30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Year-to-Date Totals</w:t>
            </w:r>
          </w:p>
        </w:tc>
        <w:tc>
          <w:tcPr>
            <w:tcW w:w="12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884,000</w:t>
            </w:r>
          </w:p>
        </w:tc>
        <w:tc>
          <w:tcPr>
            <w:tcW w:w="260" w:type="dxa"/>
            <w:vAlign w:val="bottom"/>
            <w:gridSpan w:val="2"/>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124.00</w:t>
            </w:r>
          </w:p>
        </w:tc>
        <w:tc>
          <w:tcPr>
            <w:tcW w:w="240" w:type="dxa"/>
            <w:vAlign w:val="bottom"/>
            <w:gridSpan w:val="2"/>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884,000</w:t>
            </w:r>
          </w:p>
        </w:tc>
        <w:tc>
          <w:tcPr>
            <w:tcW w:w="10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9,938,992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4483"/>
              <w:bottom w:val="single" w:sz="8" w:color="004483"/>
            </w:tcBorders>
          </w:tcPr>
          <w:p>
            <w:pPr>
              <w:spacing w:after="0" w:line="20" w:lineRule="exact"/>
              <w:rPr>
                <w:sz w:val="1"/>
                <w:szCs w:val="1"/>
                <w:color w:val="auto"/>
              </w:rPr>
            </w:pPr>
          </w:p>
        </w:tc>
        <w:tc>
          <w:tcPr>
            <w:tcW w:w="112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June 30, 2022, we have repurchased approximately 46.0 million shares.</w:t>
      </w:r>
    </w:p>
    <w:p>
      <w:pPr>
        <w:spacing w:after="0" w:line="94"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9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During the three months ended June 30, 2022, the Company withheld from employees 10,745 shares of stock upon the vesting of Restricted Shares that were granted under the Plan. We withheld these shares to satisfy the employees’ statutory tax withholding requirements, which is required once the Restricted Shares or Restricted Share Units are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2680" w:type="dxa"/>
            <w:vAlign w:val="bottom"/>
            <w:gridSpan w:val="4"/>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rPr>
              <w:t>For the Three Months Ended June 30,</w:t>
            </w:r>
          </w:p>
        </w:tc>
        <w:tc>
          <w:tcPr>
            <w:tcW w:w="7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2680" w:type="dxa"/>
            <w:vAlign w:val="bottom"/>
            <w:tcBorders>
              <w:bottom w:val="single" w:sz="8" w:color="004483"/>
            </w:tcBorders>
            <w:gridSpan w:val="4"/>
          </w:tcPr>
          <w:p>
            <w:pPr>
              <w:jc w:val="right"/>
              <w:ind w:right="61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1,352</w:t>
            </w:r>
          </w:p>
        </w:tc>
        <w:tc>
          <w:tcPr>
            <w:tcW w:w="1460" w:type="dxa"/>
            <w:vAlign w:val="bottom"/>
            <w:gridSpan w:val="3"/>
          </w:tcPr>
          <w:p>
            <w:pPr>
              <w:jc w:val="right"/>
              <w:ind w:right="9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Plants</w:t>
            </w:r>
          </w:p>
        </w:tc>
        <w:tc>
          <w:tcPr>
            <w:tcW w:w="520" w:type="dxa"/>
            <w:vAlign w:val="bottom"/>
            <w:tcBorders>
              <w:top w:val="single" w:sz="8" w:color="A6A6A6"/>
              <w:bottom w:val="single" w:sz="8" w:color="A6A6A6"/>
            </w:tcBorders>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8,814</w:t>
            </w:r>
          </w:p>
        </w:tc>
        <w:tc>
          <w:tcPr>
            <w:tcW w:w="10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8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color w:val="004483"/>
              </w:rPr>
              <w:t>Buildings, Machinery, and Equipment</w:t>
            </w:r>
          </w:p>
        </w:tc>
        <w:tc>
          <w:tcPr>
            <w:tcW w:w="52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4,748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1,725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24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120"/>
              <w:spacing w:after="0" w:line="183" w:lineRule="exact"/>
              <w:rPr>
                <w:sz w:val="20"/>
                <w:szCs w:val="20"/>
                <w:color w:val="auto"/>
              </w:rPr>
            </w:pPr>
            <w:r>
              <w:rPr>
                <w:rFonts w:ascii="Arial" w:cs="Arial" w:eastAsia="Arial" w:hAnsi="Arial"/>
                <w:sz w:val="16"/>
                <w:szCs w:val="16"/>
                <w:b w:val="1"/>
                <w:bCs w:val="1"/>
                <w:color w:val="004483"/>
              </w:rPr>
              <w:t>Total Capital Expenditures</w:t>
            </w:r>
          </w:p>
        </w:tc>
        <w:tc>
          <w:tcPr>
            <w:tcW w:w="520" w:type="dxa"/>
            <w:vAlign w:val="bottom"/>
            <w:tcBorders>
              <w:bottom w:val="single" w:sz="8" w:color="004483"/>
            </w:tcBorders>
          </w:tcPr>
          <w:p>
            <w:pPr>
              <w:jc w:val="right"/>
              <w:ind w:right="33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14,914</w:t>
            </w: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bottom w:val="single" w:sz="8" w:color="004483"/>
            </w:tcBorders>
          </w:tcPr>
          <w:p>
            <w:pPr>
              <w:jc w:val="right"/>
              <w:ind w:right="99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11,935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Capital expenditures for fiscal 2023 are expected to range from $110.0 million to $120.0 million and will be allocated across both Heavy Materials and Light Materials sectors. These estimated capital expenditures will include maintenance capital expenditures and improvements, as well as other safety and regulatory projects.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and their effects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the COVID-19 pandemic and responses thereto designed to contain its spread and mitigate its public health effects, as well as their impact on economic conditions, capital and financial markets. These and other factors are described in the Company’s Annual Report on Form 10-K for the fiscal year ended March 31, 2022.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5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June 30, 2022, under which borrowings bear interest at a variable rate. A hypothetical 100 basis point increase in interest rates on the $181.0 million of borrowings under the Revolving Credit Facility and the $200.0 million of borrowings under the Term Loan at June 30, 2022, would increase interest expense by approximately $3.8 million on an annual basis. At present, we do not utilize derivative financial instruments.</w:t>
      </w:r>
    </w:p>
    <w:p>
      <w:pPr>
        <w:spacing w:after="0" w:line="96"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50"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35" w:name="page36"/>
    <w:bookmarkEnd w:id="35"/>
    <w:p>
      <w:pPr>
        <w:spacing w:after="0"/>
        <w:rPr>
          <w:sz w:val="20"/>
          <w:szCs w:val="20"/>
          <w:color w:val="auto"/>
        </w:rPr>
      </w:pPr>
      <w:r>
        <w:rPr>
          <w:rFonts w:ascii="Arial" w:cs="Arial" w:eastAsia="Arial" w:hAnsi="Arial"/>
          <w:sz w:val="23"/>
          <w:szCs w:val="23"/>
          <w:b w:val="1"/>
          <w:bCs w:val="1"/>
          <w:color w:val="auto"/>
        </w:rPr>
        <w:t>PART II. 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50"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5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2022, filed with the Securities and Exchange Commission on May 20, 2022.</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50"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5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05" w:right="499" w:bottom="144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auto"/>
        </w:rPr>
        <w:t>Item 6. Exhibits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tcBorders>
              <w:bottom w:val="single" w:sz="8" w:color="0000EE"/>
            </w:tcBorders>
            <w:gridSpan w:val="21"/>
          </w:tcPr>
          <w:p>
            <w:pPr>
              <w:spacing w:after="0"/>
              <w:rPr>
                <w:rFonts w:ascii="Arial" w:cs="Arial" w:eastAsia="Arial" w:hAnsi="Arial"/>
                <w:sz w:val="18"/>
                <w:szCs w:val="18"/>
                <w:color w:val="auto"/>
              </w:rPr>
            </w:pPr>
            <w:hyperlink r:id="rId173">
              <w:r>
                <w:rPr>
                  <w:rFonts w:ascii="Arial" w:cs="Arial" w:eastAsia="Arial" w:hAnsi="Arial"/>
                  <w:sz w:val="18"/>
                  <w:szCs w:val="18"/>
                  <w:color w:val="auto"/>
                </w:rPr>
                <w:t>Amendment No.1, dated as of May 5, 2022 to that certain Credit Agreement, dated as of July 1, 2021, among the Company,</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auto"/>
              </w:rPr>
            </w:pPr>
            <w:hyperlink r:id="rId173">
              <w:r>
                <w:rPr>
                  <w:rFonts w:ascii="Arial" w:cs="Arial" w:eastAsia="Arial" w:hAnsi="Arial"/>
                  <w:sz w:val="18"/>
                  <w:szCs w:val="18"/>
                  <w:color w:val="auto"/>
                </w:rPr>
                <w:t>the lenders identified therein and JP Morgan Chase Bank, N.A., as the administrative agent, issuing bank and swingline</w:t>
              </w:r>
            </w:hyperlink>
          </w:p>
        </w:tc>
        <w:tc>
          <w:tcPr>
            <w:tcW w:w="4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9020" w:type="dxa"/>
            <w:vAlign w:val="bottom"/>
            <w:tcBorders>
              <w:bottom w:val="single" w:sz="8" w:color="0000EE"/>
            </w:tcBorders>
            <w:gridSpan w:val="14"/>
          </w:tcPr>
          <w:p>
            <w:pPr>
              <w:spacing w:after="0"/>
              <w:rPr>
                <w:rFonts w:ascii="Arial" w:cs="Arial" w:eastAsia="Arial" w:hAnsi="Arial"/>
                <w:sz w:val="18"/>
                <w:szCs w:val="18"/>
                <w:color w:val="auto"/>
              </w:rPr>
            </w:pPr>
            <w:hyperlink r:id="rId173">
              <w:r>
                <w:rPr>
                  <w:rFonts w:ascii="Arial" w:cs="Arial" w:eastAsia="Arial" w:hAnsi="Arial"/>
                  <w:sz w:val="18"/>
                  <w:szCs w:val="18"/>
                  <w:color w:val="auto"/>
                </w:rPr>
                <w:t>lender thereunder (field as Exhibit 10.1 to the Current Report on Form 8-K filed with the Securities and Exchange</w:t>
              </w:r>
            </w:hyperlink>
          </w:p>
        </w:tc>
        <w:tc>
          <w:tcPr>
            <w:tcW w:w="9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9960" w:type="dxa"/>
            <w:vAlign w:val="bottom"/>
            <w:gridSpan w:val="22"/>
          </w:tcPr>
          <w:p>
            <w:pPr>
              <w:spacing w:after="0"/>
              <w:rPr>
                <w:rFonts w:ascii="Arial" w:cs="Arial" w:eastAsia="Arial" w:hAnsi="Arial"/>
                <w:sz w:val="18"/>
                <w:szCs w:val="18"/>
                <w:color w:val="auto"/>
              </w:rPr>
            </w:pPr>
            <w:hyperlink r:id="rId173">
              <w:r>
                <w:rPr>
                  <w:rFonts w:ascii="Arial" w:cs="Arial" w:eastAsia="Arial" w:hAnsi="Arial"/>
                  <w:sz w:val="18"/>
                  <w:szCs w:val="18"/>
                  <w:color w:val="auto"/>
                </w:rPr>
                <w:t>Commission (the Commission) on May 6, 2022 and incorporated herein by reference).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880" w:type="dxa"/>
            <w:vAlign w:val="bottom"/>
            <w:tcBorders>
              <w:bottom w:val="single" w:sz="8" w:color="0000EE"/>
            </w:tcBorders>
            <w:gridSpan w:val="20"/>
          </w:tcPr>
          <w:p>
            <w:pPr>
              <w:spacing w:after="0"/>
              <w:rPr>
                <w:rFonts w:ascii="Arial" w:cs="Arial" w:eastAsia="Arial" w:hAnsi="Arial"/>
                <w:sz w:val="18"/>
                <w:szCs w:val="18"/>
                <w:color w:val="auto"/>
              </w:rPr>
            </w:pPr>
            <w:hyperlink r:id="rId174">
              <w:r>
                <w:rPr>
                  <w:rFonts w:ascii="Arial" w:cs="Arial" w:eastAsia="Arial" w:hAnsi="Arial"/>
                  <w:sz w:val="18"/>
                  <w:szCs w:val="18"/>
                  <w:color w:val="auto"/>
                </w:rPr>
                <w:t>Eagle Materials Inc. Salaried Incentive Compensation Program for fiscal 2023 (filed as Exhibit 10.1 to the Current Report on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9960" w:type="dxa"/>
            <w:vAlign w:val="bottom"/>
            <w:gridSpan w:val="22"/>
          </w:tcPr>
          <w:p>
            <w:pPr>
              <w:spacing w:after="0" w:line="222" w:lineRule="exact"/>
              <w:rPr>
                <w:rFonts w:ascii="Arial" w:cs="Arial" w:eastAsia="Arial" w:hAnsi="Arial"/>
                <w:sz w:val="18"/>
                <w:szCs w:val="18"/>
                <w:color w:val="auto"/>
              </w:rPr>
            </w:pPr>
            <w:hyperlink r:id="rId174">
              <w:r>
                <w:rPr>
                  <w:rFonts w:ascii="Arial" w:cs="Arial" w:eastAsia="Arial" w:hAnsi="Arial"/>
                  <w:sz w:val="18"/>
                  <w:szCs w:val="18"/>
                  <w:color w:val="auto"/>
                </w:rPr>
                <w:t xml:space="preserve">Form 8-K filed with the Commission on May 23, 2022 and incorporated herein by reference). </w:t>
              </w:r>
              <w:r>
                <w:rPr>
                  <w:rFonts w:ascii="Arial" w:cs="Arial" w:eastAsia="Arial" w:hAnsi="Arial"/>
                  <w:sz w:val="24"/>
                  <w:szCs w:val="24"/>
                  <w:color w:val="auto"/>
                  <w:vertAlign w:val="superscript"/>
                </w:rPr>
                <w:t>(1)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9760" w:type="dxa"/>
            <w:vAlign w:val="bottom"/>
            <w:tcBorders>
              <w:bottom w:val="single" w:sz="8" w:color="0000EE"/>
            </w:tcBorders>
            <w:gridSpan w:val="17"/>
          </w:tcPr>
          <w:p>
            <w:pPr>
              <w:spacing w:after="0"/>
              <w:rPr>
                <w:rFonts w:ascii="Arial" w:cs="Arial" w:eastAsia="Arial" w:hAnsi="Arial"/>
                <w:sz w:val="18"/>
                <w:szCs w:val="18"/>
                <w:color w:val="auto"/>
              </w:rPr>
            </w:pPr>
            <w:hyperlink r:id="rId175">
              <w:r>
                <w:rPr>
                  <w:rFonts w:ascii="Arial" w:cs="Arial" w:eastAsia="Arial" w:hAnsi="Arial"/>
                  <w:sz w:val="18"/>
                  <w:szCs w:val="18"/>
                  <w:color w:val="auto"/>
                </w:rPr>
                <w:t>American Gypsum Company Salaried Incentive Compensation Program for fiscal 2023 (filed as Exhibit 10.2 to the Current</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9960" w:type="dxa"/>
            <w:vAlign w:val="bottom"/>
            <w:gridSpan w:val="22"/>
          </w:tcPr>
          <w:p>
            <w:pPr>
              <w:spacing w:after="0" w:line="222" w:lineRule="exact"/>
              <w:rPr>
                <w:rFonts w:ascii="Arial" w:cs="Arial" w:eastAsia="Arial" w:hAnsi="Arial"/>
                <w:sz w:val="18"/>
                <w:szCs w:val="18"/>
                <w:color w:val="auto"/>
              </w:rPr>
            </w:pPr>
            <w:hyperlink r:id="rId175">
              <w:r>
                <w:rPr>
                  <w:rFonts w:ascii="Arial" w:cs="Arial" w:eastAsia="Arial" w:hAnsi="Arial"/>
                  <w:sz w:val="18"/>
                  <w:szCs w:val="18"/>
                  <w:color w:val="auto"/>
                </w:rPr>
                <w:t xml:space="preserve">Report on Form 8-K filed with the Commission on May 23, 2022 and incorporated herein by reference). </w:t>
              </w:r>
              <w:r>
                <w:rPr>
                  <w:rFonts w:ascii="Arial" w:cs="Arial" w:eastAsia="Arial" w:hAnsi="Arial"/>
                  <w:sz w:val="24"/>
                  <w:szCs w:val="24"/>
                  <w:color w:val="auto"/>
                  <w:vertAlign w:val="superscript"/>
                </w:rPr>
                <w:t>(1)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760" w:type="dxa"/>
            <w:vAlign w:val="bottom"/>
            <w:tcBorders>
              <w:bottom w:val="single" w:sz="8" w:color="0000EE"/>
            </w:tcBorders>
            <w:gridSpan w:val="17"/>
          </w:tcPr>
          <w:p>
            <w:pPr>
              <w:spacing w:after="0"/>
              <w:rPr>
                <w:rFonts w:ascii="Arial" w:cs="Arial" w:eastAsia="Arial" w:hAnsi="Arial"/>
                <w:sz w:val="18"/>
                <w:szCs w:val="18"/>
                <w:color w:val="auto"/>
              </w:rPr>
            </w:pPr>
            <w:hyperlink r:id="rId176">
              <w:r>
                <w:rPr>
                  <w:rFonts w:ascii="Arial" w:cs="Arial" w:eastAsia="Arial" w:hAnsi="Arial"/>
                  <w:sz w:val="18"/>
                  <w:szCs w:val="18"/>
                  <w:color w:val="auto"/>
                </w:rPr>
                <w:t>Eagle Materials Inc. Special Situation Program for fiscal 2023 (filed as Exhibit 10.3 to the Current Report on Form 8-K filed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9960" w:type="dxa"/>
            <w:vAlign w:val="bottom"/>
            <w:gridSpan w:val="22"/>
          </w:tcPr>
          <w:p>
            <w:pPr>
              <w:spacing w:after="0" w:line="222" w:lineRule="exact"/>
              <w:rPr>
                <w:rFonts w:ascii="Arial" w:cs="Arial" w:eastAsia="Arial" w:hAnsi="Arial"/>
                <w:sz w:val="18"/>
                <w:szCs w:val="18"/>
                <w:color w:val="auto"/>
              </w:rPr>
            </w:pPr>
            <w:hyperlink r:id="rId176">
              <w:r>
                <w:rPr>
                  <w:rFonts w:ascii="Arial" w:cs="Arial" w:eastAsia="Arial" w:hAnsi="Arial"/>
                  <w:sz w:val="18"/>
                  <w:szCs w:val="18"/>
                  <w:color w:val="auto"/>
                </w:rPr>
                <w:t xml:space="preserve">with the Commission on May 23, 2022 and incorporated herein by reference). </w:t>
              </w:r>
              <w:r>
                <w:rPr>
                  <w:rFonts w:ascii="Arial" w:cs="Arial" w:eastAsia="Arial" w:hAnsi="Arial"/>
                  <w:sz w:val="24"/>
                  <w:szCs w:val="24"/>
                  <w:color w:val="auto"/>
                  <w:vertAlign w:val="superscript"/>
                </w:rPr>
                <w:t>(1)</w:t>
              </w:r>
            </w:hyperlink>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6160" w:type="dxa"/>
            <w:vAlign w:val="bottom"/>
            <w:tcBorders>
              <w:top w:val="single" w:sz="8" w:color="0000EE"/>
            </w:tcBorders>
            <w:gridSpan w:val="10"/>
          </w:tcPr>
          <w:p>
            <w:pPr>
              <w:spacing w:after="0"/>
              <w:rPr>
                <w:rFonts w:ascii="Arial" w:cs="Arial" w:eastAsia="Arial" w:hAnsi="Arial"/>
                <w:sz w:val="18"/>
                <w:szCs w:val="18"/>
                <w:color w:val="auto"/>
              </w:rPr>
            </w:pPr>
            <w:hyperlink w:anchor="page39">
              <w:r>
                <w:rPr>
                  <w:rFonts w:ascii="Arial" w:cs="Arial" w:eastAsia="Arial" w:hAnsi="Arial"/>
                  <w:sz w:val="18"/>
                  <w:szCs w:val="18"/>
                  <w:color w:val="auto"/>
                </w:rPr>
                <w:t xml:space="preserve">Form of Management Restricted Stock Agreement (Performance). </w:t>
              </w:r>
            </w:hyperlink>
            <w:r>
              <w:rPr>
                <w:rFonts w:ascii="Arial" w:cs="Arial" w:eastAsia="Arial" w:hAnsi="Arial"/>
                <w:sz w:val="24"/>
                <w:szCs w:val="24"/>
                <w:color w:val="auto"/>
                <w:vertAlign w:val="superscript"/>
              </w:rPr>
              <w:t>(1)</w:t>
            </w:r>
          </w:p>
        </w:tc>
        <w:tc>
          <w:tcPr>
            <w:tcW w:w="3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2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5060" w:type="dxa"/>
            <w:vAlign w:val="bottom"/>
            <w:tcBorders>
              <w:top w:val="single" w:sz="8" w:color="0000EE"/>
              <w:bottom w:val="single" w:sz="8" w:color="0000EE"/>
            </w:tcBorders>
            <w:gridSpan w:val="5"/>
            <w:vMerge w:val="restart"/>
          </w:tcPr>
          <w:p>
            <w:pPr>
              <w:spacing w:after="0"/>
              <w:rPr>
                <w:rFonts w:ascii="Arial" w:cs="Arial" w:eastAsia="Arial" w:hAnsi="Arial"/>
                <w:sz w:val="18"/>
                <w:szCs w:val="18"/>
                <w:color w:val="auto"/>
                <w:w w:val="99"/>
              </w:rPr>
            </w:pPr>
            <w:hyperlink w:anchor="page48">
              <w:r>
                <w:rPr>
                  <w:rFonts w:ascii="Arial" w:cs="Arial" w:eastAsia="Arial" w:hAnsi="Arial"/>
                  <w:sz w:val="18"/>
                  <w:szCs w:val="18"/>
                  <w:color w:val="auto"/>
                  <w:w w:val="99"/>
                </w:rPr>
                <w:t>Form of Management Restricted Stock Agreement (Time Vest).</w:t>
              </w:r>
            </w:hyperlink>
          </w:p>
        </w:tc>
        <w:tc>
          <w:tcPr>
            <w:tcW w:w="160" w:type="dxa"/>
            <w:vAlign w:val="bottom"/>
            <w:tcBorders>
              <w:top w:val="single" w:sz="8" w:color="0000EE"/>
              <w:bottom w:val="single" w:sz="8" w:color="0000EE"/>
            </w:tcBorders>
          </w:tcPr>
          <w:p>
            <w:pPr>
              <w:jc w:val="right"/>
              <w:spacing w:after="0"/>
              <w:rPr>
                <w:rFonts w:ascii="Arial" w:cs="Arial" w:eastAsia="Arial" w:hAnsi="Arial"/>
                <w:sz w:val="12"/>
                <w:szCs w:val="12"/>
                <w:color w:val="auto"/>
                <w:w w:val="95"/>
              </w:rPr>
            </w:pPr>
            <w:hyperlink w:anchor="page48">
              <w:r>
                <w:rPr>
                  <w:rFonts w:ascii="Arial" w:cs="Arial" w:eastAsia="Arial" w:hAnsi="Arial"/>
                  <w:sz w:val="12"/>
                  <w:szCs w:val="12"/>
                  <w:color w:val="auto"/>
                  <w:w w:val="95"/>
                </w:rPr>
                <w:t>(1)</w:t>
              </w:r>
            </w:hyperlink>
          </w:p>
        </w:tc>
        <w:tc>
          <w:tcPr>
            <w:tcW w:w="40" w:type="dxa"/>
            <w:vAlign w:val="bottom"/>
            <w:tcBorders>
              <w:top w:val="single" w:sz="8" w:color="0000EE"/>
              <w:bottom w:val="single" w:sz="8" w:color="0000EE"/>
            </w:tcBorders>
            <w:vMerge w:val="restart"/>
          </w:tcPr>
          <w:p>
            <w:pPr>
              <w:spacing w:after="0"/>
              <w:rPr>
                <w:sz w:val="24"/>
                <w:szCs w:val="24"/>
                <w:color w:val="auto"/>
              </w:rPr>
            </w:pPr>
          </w:p>
        </w:tc>
        <w:tc>
          <w:tcPr>
            <w:tcW w:w="470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506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470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10.7*</w:t>
            </w:r>
          </w:p>
        </w:tc>
        <w:tc>
          <w:tcPr>
            <w:tcW w:w="9960" w:type="dxa"/>
            <w:vAlign w:val="bottom"/>
            <w:gridSpan w:val="2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 xml:space="preserve">Form of Management Non-Qualified Stock Option Agreement (Performance). </w:t>
              </w:r>
            </w:hyperlink>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371"/>
        </w:trPr>
        <w:tc>
          <w:tcPr>
            <w:tcW w:w="1220" w:type="dxa"/>
            <w:vAlign w:val="bottom"/>
          </w:tcPr>
          <w:p>
            <w:pPr>
              <w:spacing w:after="0"/>
              <w:rPr>
                <w:sz w:val="20"/>
                <w:szCs w:val="20"/>
                <w:color w:val="auto"/>
              </w:rPr>
            </w:pPr>
            <w:r>
              <w:rPr>
                <w:rFonts w:ascii="Arial" w:cs="Arial" w:eastAsia="Arial" w:hAnsi="Arial"/>
                <w:sz w:val="18"/>
                <w:szCs w:val="18"/>
                <w:color w:val="auto"/>
              </w:rPr>
              <w:t>10.8*</w:t>
            </w:r>
          </w:p>
        </w:tc>
        <w:tc>
          <w:tcPr>
            <w:tcW w:w="6120" w:type="dxa"/>
            <w:vAlign w:val="bottom"/>
            <w:tcBorders>
              <w:top w:val="single" w:sz="8" w:color="0000EE"/>
            </w:tcBorders>
            <w:gridSpan w:val="9"/>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 xml:space="preserve">Form of Management Non-Qualified Stock Option Agreement (Time Vest). </w:t>
              </w:r>
            </w:hyperlink>
            <w:r>
              <w:rPr>
                <w:rFonts w:ascii="Arial" w:cs="Arial" w:eastAsia="Arial" w:hAnsi="Arial"/>
                <w:sz w:val="24"/>
                <w:szCs w:val="24"/>
                <w:color w:val="auto"/>
                <w:w w:val="99"/>
                <w:vertAlign w:val="superscript"/>
              </w:rPr>
              <w:t>(1)</w:t>
            </w:r>
          </w:p>
        </w:tc>
        <w:tc>
          <w:tcPr>
            <w:tcW w:w="38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18"/>
          </w:tcPr>
          <w:p>
            <w:pPr>
              <w:spacing w:after="0"/>
              <w:rPr>
                <w:rFonts w:ascii="Arial" w:cs="Arial" w:eastAsia="Arial" w:hAnsi="Arial"/>
                <w:sz w:val="18"/>
                <w:szCs w:val="18"/>
                <w:color w:val="auto"/>
              </w:rPr>
            </w:pPr>
            <w:hyperlink w:anchor="page76">
              <w:r>
                <w:rPr>
                  <w:rFonts w:ascii="Arial" w:cs="Arial" w:eastAsia="Arial" w:hAnsi="Arial"/>
                  <w:sz w:val="18"/>
                  <w:szCs w:val="18"/>
                  <w:color w:val="auto"/>
                </w:rPr>
                <w:t>Certification of the Chief Executive Officer of Eagle Materials Inc. pursuant to Rules 13a-14 and 15d-14 promulgated under</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4040" w:type="dxa"/>
            <w:vAlign w:val="bottom"/>
            <w:tcBorders>
              <w:bottom w:val="single" w:sz="8" w:color="0000EE"/>
            </w:tcBorders>
            <w:gridSpan w:val="4"/>
          </w:tcPr>
          <w:p>
            <w:pPr>
              <w:spacing w:after="0"/>
              <w:rPr>
                <w:rFonts w:ascii="Arial" w:cs="Arial" w:eastAsia="Arial" w:hAnsi="Arial"/>
                <w:sz w:val="18"/>
                <w:szCs w:val="18"/>
                <w:color w:val="auto"/>
                <w:w w:val="99"/>
              </w:rPr>
            </w:pPr>
            <w:hyperlink w:anchor="page76">
              <w:r>
                <w:rPr>
                  <w:rFonts w:ascii="Arial" w:cs="Arial" w:eastAsia="Arial" w:hAnsi="Arial"/>
                  <w:sz w:val="18"/>
                  <w:szCs w:val="18"/>
                  <w:color w:val="auto"/>
                  <w:w w:val="99"/>
                </w:rPr>
                <w:t>the Securities Exchange Act of 1934, as amended.</w:t>
              </w:r>
            </w:hyperlink>
          </w:p>
        </w:tc>
        <w:tc>
          <w:tcPr>
            <w:tcW w:w="59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16"/>
          </w:tcPr>
          <w:p>
            <w:pPr>
              <w:spacing w:after="0"/>
              <w:rPr>
                <w:rFonts w:ascii="Arial" w:cs="Arial" w:eastAsia="Arial" w:hAnsi="Arial"/>
                <w:sz w:val="18"/>
                <w:szCs w:val="18"/>
                <w:color w:val="auto"/>
              </w:rPr>
            </w:pPr>
            <w:hyperlink w:anchor="page77">
              <w:r>
                <w:rPr>
                  <w:rFonts w:ascii="Arial" w:cs="Arial" w:eastAsia="Arial" w:hAnsi="Arial"/>
                  <w:sz w:val="18"/>
                  <w:szCs w:val="18"/>
                  <w:color w:val="auto"/>
                </w:rPr>
                <w:t>Certification of the Chief Financial Officer of Eagle Materials Inc. pursuant to Rules 13a-14 and 15d-14 promulgated under</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4040" w:type="dxa"/>
            <w:vAlign w:val="bottom"/>
            <w:tcBorders>
              <w:bottom w:val="single" w:sz="8" w:color="0000EE"/>
            </w:tcBorders>
            <w:gridSpan w:val="4"/>
          </w:tcPr>
          <w:p>
            <w:pPr>
              <w:spacing w:after="0"/>
              <w:rPr>
                <w:rFonts w:ascii="Arial" w:cs="Arial" w:eastAsia="Arial" w:hAnsi="Arial"/>
                <w:sz w:val="18"/>
                <w:szCs w:val="18"/>
                <w:color w:val="auto"/>
                <w:w w:val="99"/>
              </w:rPr>
            </w:pPr>
            <w:hyperlink w:anchor="page77">
              <w:r>
                <w:rPr>
                  <w:rFonts w:ascii="Arial" w:cs="Arial" w:eastAsia="Arial" w:hAnsi="Arial"/>
                  <w:sz w:val="18"/>
                  <w:szCs w:val="18"/>
                  <w:color w:val="auto"/>
                  <w:w w:val="99"/>
                </w:rPr>
                <w:t>the Securities Exchange Act of 1934, as amended.</w:t>
              </w:r>
            </w:hyperlink>
          </w:p>
        </w:tc>
        <w:tc>
          <w:tcPr>
            <w:tcW w:w="59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19"/>
          </w:tcPr>
          <w:p>
            <w:pPr>
              <w:spacing w:after="0"/>
              <w:rPr>
                <w:rFonts w:ascii="Arial" w:cs="Arial" w:eastAsia="Arial" w:hAnsi="Arial"/>
                <w:sz w:val="18"/>
                <w:szCs w:val="18"/>
                <w:color w:val="auto"/>
              </w:rPr>
            </w:pPr>
            <w:hyperlink w:anchor="page78">
              <w:r>
                <w:rPr>
                  <w:rFonts w:ascii="Arial" w:cs="Arial" w:eastAsia="Arial" w:hAnsi="Arial"/>
                  <w:sz w:val="18"/>
                  <w:szCs w:val="18"/>
                  <w:color w:val="auto"/>
                </w:rPr>
                <w:t>Certification of the Chief Executive Officer of Eagle Materials Inc. pursuant to 18 U.S.C. Section 1350, as adopted pursuant</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4000" w:type="dxa"/>
            <w:vAlign w:val="bottom"/>
            <w:tcBorders>
              <w:bottom w:val="single" w:sz="8" w:color="0000EE"/>
            </w:tcBorders>
            <w:gridSpan w:val="3"/>
          </w:tcPr>
          <w:p>
            <w:pPr>
              <w:spacing w:after="0"/>
              <w:rPr>
                <w:rFonts w:ascii="Arial" w:cs="Arial" w:eastAsia="Arial" w:hAnsi="Arial"/>
                <w:sz w:val="18"/>
                <w:szCs w:val="18"/>
                <w:color w:val="auto"/>
                <w:w w:val="99"/>
              </w:rPr>
            </w:pPr>
            <w:hyperlink w:anchor="page78">
              <w:r>
                <w:rPr>
                  <w:rFonts w:ascii="Arial" w:cs="Arial" w:eastAsia="Arial" w:hAnsi="Arial"/>
                  <w:sz w:val="18"/>
                  <w:szCs w:val="18"/>
                  <w:color w:val="auto"/>
                  <w:w w:val="99"/>
                </w:rPr>
                <w:t>to Section 906 of the Sarbanes-Oxley Act of 2002.</w:t>
              </w:r>
            </w:hyperlink>
          </w:p>
        </w:tc>
        <w:tc>
          <w:tcPr>
            <w:tcW w:w="596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tcBorders>
              <w:bottom w:val="single" w:sz="8" w:color="0000EE"/>
            </w:tcBorders>
            <w:gridSpan w:val="22"/>
          </w:tcPr>
          <w:p>
            <w:pPr>
              <w:spacing w:after="0"/>
              <w:rPr>
                <w:rFonts w:ascii="Arial" w:cs="Arial" w:eastAsia="Arial" w:hAnsi="Arial"/>
                <w:sz w:val="18"/>
                <w:szCs w:val="18"/>
                <w:color w:val="auto"/>
              </w:rPr>
            </w:pPr>
            <w:hyperlink w:anchor="page79">
              <w:r>
                <w:rPr>
                  <w:rFonts w:ascii="Arial" w:cs="Arial" w:eastAsia="Arial" w:hAnsi="Arial"/>
                  <w:sz w:val="18"/>
                  <w:szCs w:val="18"/>
                  <w:color w:val="auto"/>
                </w:rPr>
                <w:t>Certification of the Chief Financial Officer of Eagle Materials Inc. pursuant to 18 U.S.C. Section 1350, as adopted pursuant to</w:t>
              </w:r>
            </w:hyperlink>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800" w:type="dxa"/>
            <w:vAlign w:val="bottom"/>
            <w:tcBorders>
              <w:bottom w:val="single" w:sz="8" w:color="0000EE"/>
            </w:tcBorders>
            <w:gridSpan w:val="2"/>
          </w:tcPr>
          <w:p>
            <w:pPr>
              <w:spacing w:after="0"/>
              <w:rPr>
                <w:rFonts w:ascii="Arial" w:cs="Arial" w:eastAsia="Arial" w:hAnsi="Arial"/>
                <w:sz w:val="18"/>
                <w:szCs w:val="18"/>
                <w:color w:val="auto"/>
                <w:w w:val="99"/>
              </w:rPr>
            </w:pPr>
            <w:hyperlink w:anchor="page79">
              <w:r>
                <w:rPr>
                  <w:rFonts w:ascii="Arial" w:cs="Arial" w:eastAsia="Arial" w:hAnsi="Arial"/>
                  <w:sz w:val="18"/>
                  <w:szCs w:val="18"/>
                  <w:color w:val="auto"/>
                  <w:w w:val="99"/>
                </w:rPr>
                <w:t>Section 906 of the Sarbanes-Oxley Act of 2002.</w:t>
              </w:r>
            </w:hyperlink>
          </w:p>
        </w:tc>
        <w:tc>
          <w:tcPr>
            <w:tcW w:w="616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60" w:type="dxa"/>
            <w:vAlign w:val="bottom"/>
            <w:gridSpan w:val="22"/>
          </w:tcPr>
          <w:p>
            <w:pPr>
              <w:spacing w:after="0"/>
              <w:rPr>
                <w:rFonts w:ascii="Arial" w:cs="Arial" w:eastAsia="Arial" w:hAnsi="Arial"/>
                <w:sz w:val="18"/>
                <w:szCs w:val="18"/>
                <w:color w:val="auto"/>
              </w:rPr>
            </w:pPr>
            <w:hyperlink w:anchor="page80">
              <w:r>
                <w:rPr>
                  <w:rFonts w:ascii="Arial" w:cs="Arial" w:eastAsia="Arial" w:hAnsi="Arial"/>
                  <w:sz w:val="18"/>
                  <w:szCs w:val="18"/>
                  <w:color w:val="auto"/>
                </w:rPr>
                <w:t>Mine Safety Disclosure.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7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2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960" w:type="dxa"/>
            <w:vAlign w:val="bottom"/>
            <w:gridSpan w:val="22"/>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640" w:firstLine="21"/>
        <w:spacing w:after="0" w:line="414" w:lineRule="auto"/>
        <w:tabs>
          <w:tab w:leader="none" w:pos="12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3742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400" w:hanging="392"/>
        <w:spacing w:after="0" w:line="201" w:lineRule="auto"/>
        <w:tabs>
          <w:tab w:leader="none" w:pos="400" w:val="left"/>
        </w:tabs>
        <w:numPr>
          <w:ilvl w:val="0"/>
          <w:numId w:val="15"/>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5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July 28, 2022</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wp:posOffset>
            </wp:positionV>
            <wp:extent cx="2846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line="219" w:lineRule="auto"/>
        <w:rPr>
          <w:sz w:val="20"/>
          <w:szCs w:val="20"/>
          <w:color w:val="auto"/>
        </w:rPr>
      </w:pPr>
      <w:r>
        <w:rPr>
          <w:rFonts w:ascii="Arial" w:cs="Arial" w:eastAsia="Arial" w:hAnsi="Arial"/>
          <w:sz w:val="18"/>
          <w:szCs w:val="18"/>
          <w:color w:val="auto"/>
        </w:rPr>
        <w:t>Michael R. Haack</w:t>
      </w:r>
    </w:p>
    <w:p>
      <w:pPr>
        <w:jc w:val="center"/>
        <w:ind w:left="674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21"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July 28, 2022</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wp:posOffset>
            </wp:positionV>
            <wp:extent cx="28460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left="6740"/>
        <w:spacing w:after="0" w:line="219" w:lineRule="auto"/>
        <w:rPr>
          <w:sz w:val="20"/>
          <w:szCs w:val="20"/>
          <w:color w:val="auto"/>
        </w:rPr>
      </w:pPr>
      <w:r>
        <w:rPr>
          <w:rFonts w:ascii="Arial" w:cs="Arial" w:eastAsia="Arial" w:hAnsi="Arial"/>
          <w:sz w:val="18"/>
          <w:szCs w:val="18"/>
          <w:color w:val="auto"/>
        </w:rPr>
        <w:t>D. Craig Kesler</w:t>
      </w:r>
    </w:p>
    <w:p>
      <w:pPr>
        <w:jc w:val="center"/>
        <w:ind w:left="6740"/>
        <w:spacing w:after="0" w:line="203"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04" w:lineRule="auto"/>
        <w:rPr>
          <w:sz w:val="20"/>
          <w:szCs w:val="20"/>
          <w:color w:val="auto"/>
        </w:rPr>
      </w:pPr>
      <w:r>
        <w:rPr>
          <w:rFonts w:ascii="Arial" w:cs="Arial" w:eastAsia="Arial" w:hAnsi="Arial"/>
          <w:sz w:val="18"/>
          <w:szCs w:val="18"/>
          <w:color w:val="auto"/>
        </w:rPr>
        <w:t>Administration and Chief Financial Officer</w:t>
      </w: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383"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July 28, 2022</w:t>
      </w:r>
      <w:r>
        <w:rPr>
          <w:sz w:val="20"/>
          <w:szCs w:val="20"/>
          <w:color w:val="auto"/>
        </w:rPr>
        <w:tab/>
      </w:r>
      <w:r>
        <w:rPr>
          <w:rFonts w:ascii="Arial" w:cs="Arial" w:eastAsia="Arial" w:hAnsi="Arial"/>
          <w:sz w:val="17"/>
          <w:szCs w:val="17"/>
          <w:color w:val="auto"/>
        </w:rPr>
        <w:t>/s/ WILLIAM R. DEVLIN</w:t>
      </w:r>
    </w:p>
    <w:p>
      <w:pPr>
        <w:jc w:val="center"/>
        <w:ind w:left="6760"/>
        <w:spacing w:after="0" w:line="211" w:lineRule="auto"/>
        <w:rPr>
          <w:sz w:val="20"/>
          <w:szCs w:val="20"/>
          <w:color w:val="auto"/>
        </w:rPr>
      </w:pPr>
      <w:r>
        <w:rPr>
          <w:rFonts w:ascii="Arial" w:cs="Arial" w:eastAsia="Arial" w:hAnsi="Arial"/>
          <w:sz w:val="18"/>
          <w:szCs w:val="18"/>
          <w:color w:val="auto"/>
        </w:rPr>
        <w:t>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-109855</wp:posOffset>
            </wp:positionV>
            <wp:extent cx="2837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line="20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05" w:right="45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Vesting)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Eagle Materials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 (the "</w:t>
      </w:r>
      <w:r>
        <w:rPr>
          <w:rFonts w:ascii="Arial" w:cs="Arial" w:eastAsia="Arial" w:hAnsi="Arial"/>
          <w:sz w:val="19"/>
          <w:szCs w:val="19"/>
          <w:u w:val="single" w:color="auto"/>
          <w:color w:val="auto"/>
        </w:rPr>
        <w:t>Grantee</w:t>
      </w:r>
      <w:r>
        <w:rPr>
          <w:rFonts w:ascii="Arial" w:cs="Arial" w:eastAsia="Arial" w:hAnsi="Arial"/>
          <w:sz w:val="19"/>
          <w:szCs w:val="19"/>
          <w:color w:val="auto"/>
        </w:rPr>
        <w:t>") hereby enter into this</w:t>
      </w:r>
    </w:p>
    <w:p>
      <w:pPr>
        <w:spacing w:after="0" w:line="43"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Restricted Stock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to the Grantee of certain shares of Common Stock of the Company granted to the Grantee on May 19, 2022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174" w:lineRule="exact"/>
        <w:rPr>
          <w:sz w:val="20"/>
          <w:szCs w:val="20"/>
          <w:color w:val="auto"/>
        </w:rPr>
      </w:pPr>
    </w:p>
    <w:p>
      <w:pPr>
        <w:ind w:left="1500" w:hanging="743"/>
        <w:spacing w:after="0"/>
        <w:tabs>
          <w:tab w:leader="none" w:pos="150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Company hereby awards to the Grantee ________ shares of Common Stock of the Company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right="140" w:firstLine="757"/>
        <w:spacing w:after="0" w:line="238" w:lineRule="auto"/>
        <w:tabs>
          <w:tab w:leader="none" w:pos="149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Relationship to the Plan</w:t>
      </w:r>
      <w:r>
        <w:rPr>
          <w:rFonts w:ascii="Arial" w:cs="Arial" w:eastAsia="Arial" w:hAnsi="Arial"/>
          <w:sz w:val="22"/>
          <w:szCs w:val="22"/>
          <w:color w:val="auto"/>
        </w:rPr>
        <w:t>. The Award shall be subject to the terms and conditions of the Eagle Materials Inc. Amended and Restated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84" w:lineRule="exact"/>
        <w:rPr>
          <w:rFonts w:ascii="Arial" w:cs="Arial" w:eastAsia="Arial" w:hAnsi="Arial"/>
          <w:sz w:val="22"/>
          <w:szCs w:val="22"/>
          <w:color w:val="auto"/>
        </w:rPr>
      </w:pPr>
    </w:p>
    <w:p>
      <w:pPr>
        <w:ind w:left="2260" w:hanging="755"/>
        <w:spacing w:after="0"/>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shall be determined by the Committee.</w:t>
      </w:r>
    </w:p>
    <w:p>
      <w:pPr>
        <w:spacing w:after="0" w:line="206" w:lineRule="exact"/>
        <w:rPr>
          <w:rFonts w:ascii="Arial" w:cs="Arial" w:eastAsia="Arial" w:hAnsi="Arial"/>
          <w:sz w:val="22"/>
          <w:szCs w:val="22"/>
          <w:color w:val="auto"/>
        </w:rPr>
      </w:pPr>
    </w:p>
    <w:p>
      <w:pPr>
        <w:ind w:left="2260" w:right="300" w:hanging="755"/>
        <w:spacing w:after="0"/>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Return on Equity</w:t>
      </w:r>
      <w:r>
        <w:rPr>
          <w:rFonts w:ascii="Arial" w:cs="Arial" w:eastAsia="Arial" w:hAnsi="Arial"/>
          <w:sz w:val="22"/>
          <w:szCs w:val="22"/>
          <w:color w:val="auto"/>
        </w:rPr>
        <w:t>” for any fiscal year shall mean the following calculation (as determined by the Committee): (i) the net earnings of the Company for such fiscal year; divided by (ii) the Company’s Average Stockholders’ Equity for such fiscal year.</w:t>
      </w:r>
    </w:p>
    <w:p>
      <w:pPr>
        <w:spacing w:after="0" w:line="186" w:lineRule="exact"/>
        <w:rPr>
          <w:rFonts w:ascii="Arial" w:cs="Arial" w:eastAsia="Arial" w:hAnsi="Arial"/>
          <w:sz w:val="22"/>
          <w:szCs w:val="22"/>
          <w:color w:val="auto"/>
        </w:rPr>
      </w:pPr>
    </w:p>
    <w:p>
      <w:pPr>
        <w:ind w:left="2260" w:right="300" w:hanging="755"/>
        <w:spacing w:after="0"/>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Average Stockholders’ Equity</w:t>
      </w:r>
      <w:r>
        <w:rPr>
          <w:rFonts w:ascii="Arial" w:cs="Arial" w:eastAsia="Arial" w:hAnsi="Arial"/>
          <w:sz w:val="22"/>
          <w:szCs w:val="22"/>
          <w:color w:val="auto"/>
        </w:rPr>
        <w:t>” for any period shall mean: (i) the Company’s total stockholders’ equity as of the beginning of such period plus the Company’s total stockholders’ equity at the end of such period; divided by (ii) 2.</w:t>
      </w:r>
    </w:p>
    <w:p>
      <w:pPr>
        <w:spacing w:after="0" w:line="186" w:lineRule="exact"/>
        <w:rPr>
          <w:rFonts w:ascii="Arial" w:cs="Arial" w:eastAsia="Arial" w:hAnsi="Arial"/>
          <w:sz w:val="22"/>
          <w:szCs w:val="22"/>
          <w:color w:val="auto"/>
        </w:rPr>
      </w:pPr>
    </w:p>
    <w:p>
      <w:pPr>
        <w:ind w:left="2260" w:hanging="755"/>
        <w:spacing w:after="0"/>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a retirement approved by the Board.</w:t>
      </w:r>
    </w:p>
    <w:p>
      <w:pPr>
        <w:spacing w:after="0" w:line="206" w:lineRule="exact"/>
        <w:rPr>
          <w:rFonts w:ascii="Arial" w:cs="Arial" w:eastAsia="Arial" w:hAnsi="Arial"/>
          <w:sz w:val="22"/>
          <w:szCs w:val="22"/>
          <w:color w:val="auto"/>
        </w:rPr>
      </w:pPr>
    </w:p>
    <w:p>
      <w:pPr>
        <w:ind w:left="2260" w:right="580" w:hanging="755"/>
        <w:spacing w:after="0" w:line="250" w:lineRule="auto"/>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Service Vesting Date</w:t>
      </w:r>
      <w:r>
        <w:rPr>
          <w:rFonts w:ascii="Arial" w:cs="Arial" w:eastAsia="Arial" w:hAnsi="Arial"/>
          <w:sz w:val="22"/>
          <w:szCs w:val="22"/>
          <w:color w:val="auto"/>
        </w:rPr>
        <w:t>” means the first, second or third anniversary of the end of the Performance Period, as applicable.</w:t>
      </w:r>
    </w:p>
    <w:p>
      <w:pPr>
        <w:spacing w:after="0" w:line="174" w:lineRule="exact"/>
        <w:rPr>
          <w:rFonts w:ascii="Arial" w:cs="Arial" w:eastAsia="Arial" w:hAnsi="Arial"/>
          <w:sz w:val="22"/>
          <w:szCs w:val="22"/>
          <w:color w:val="auto"/>
        </w:rPr>
      </w:pPr>
    </w:p>
    <w:p>
      <w:pPr>
        <w:ind w:left="2260" w:right="240" w:hanging="755"/>
        <w:spacing w:after="0" w:line="250" w:lineRule="auto"/>
        <w:tabs>
          <w:tab w:leader="none" w:pos="22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shall mean the period commencing on April 1, 2022 and ending on March 31, 2023.</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60" w:right="20" w:hanging="755"/>
        <w:spacing w:after="0" w:line="287" w:lineRule="auto"/>
        <w:tabs>
          <w:tab w:leader="none" w:pos="226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Vesting Criteria</w:t>
      </w:r>
      <w:r>
        <w:rPr>
          <w:rFonts w:ascii="Arial" w:cs="Arial" w:eastAsia="Arial" w:hAnsi="Arial"/>
          <w:sz w:val="19"/>
          <w:szCs w:val="19"/>
          <w:color w:val="auto"/>
        </w:rPr>
        <w:t>. The Grantee’s interest in the Shares shall vest in accordance with the vesting schedule set forth below in this Section 3(a) (each such vesting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only if the Return on Equity for the fiscal year ending March 31, 2023 is at least 10.0% (the “</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percentage of Shares that will be earned shall be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9" w:name="page40"/>
    <w:bookmarkEnd w:id="39"/>
    <w:tbl>
      <w:tblPr>
        <w:tblLayout w:type="fixed"/>
        <w:tblInd w:w="1140" w:type="dxa"/>
        <w:tblCellMar>
          <w:top w:w="0" w:type="dxa"/>
          <w:left w:w="0" w:type="dxa"/>
          <w:bottom w:w="0" w:type="dxa"/>
          <w:right w:w="0" w:type="dxa"/>
        </w:tblCellMar>
      </w:tblPr>
      <w:tr>
        <w:trPr>
          <w:trHeight w:val="253"/>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w w:val="90"/>
              </w:rPr>
              <w:t>Performance</w:t>
            </w:r>
          </w:p>
        </w:tc>
        <w:tc>
          <w:tcPr>
            <w:tcW w:w="1740" w:type="dxa"/>
            <w:vAlign w:val="bottom"/>
            <w:gridSpan w:val="2"/>
          </w:tcPr>
          <w:p>
            <w:pPr>
              <w:ind w:left="480"/>
              <w:spacing w:after="0"/>
              <w:rPr>
                <w:sz w:val="20"/>
                <w:szCs w:val="20"/>
                <w:color w:val="auto"/>
              </w:rPr>
            </w:pPr>
            <w:r>
              <w:rPr>
                <w:rFonts w:ascii="Arial" w:cs="Arial" w:eastAsia="Arial" w:hAnsi="Arial"/>
                <w:sz w:val="22"/>
                <w:szCs w:val="22"/>
                <w:b w:val="1"/>
                <w:bCs w:val="1"/>
                <w:color w:val="auto"/>
                <w:w w:val="85"/>
              </w:rPr>
              <w:t>Percentage of</w:t>
            </w: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Criteria</w:t>
            </w:r>
          </w:p>
        </w:tc>
        <w:tc>
          <w:tcPr>
            <w:tcW w:w="1740" w:type="dxa"/>
            <w:vAlign w:val="bottom"/>
            <w:gridSpan w:val="2"/>
          </w:tcPr>
          <w:p>
            <w:pPr>
              <w:ind w:left="60"/>
              <w:spacing w:after="0" w:line="230" w:lineRule="exact"/>
              <w:rPr>
                <w:sz w:val="20"/>
                <w:szCs w:val="20"/>
                <w:color w:val="auto"/>
              </w:rPr>
            </w:pPr>
            <w:r>
              <w:rPr>
                <w:rFonts w:ascii="Arial" w:cs="Arial" w:eastAsia="Arial" w:hAnsi="Arial"/>
                <w:sz w:val="22"/>
                <w:szCs w:val="22"/>
                <w:b w:val="1"/>
                <w:bCs w:val="1"/>
                <w:color w:val="auto"/>
              </w:rPr>
              <w:t>Shares Earned</w:t>
            </w:r>
          </w:p>
        </w:tc>
        <w:tc>
          <w:tcPr>
            <w:tcW w:w="0" w:type="dxa"/>
            <w:vAlign w:val="bottom"/>
          </w:tcPr>
          <w:p>
            <w:pPr>
              <w:spacing w:after="0"/>
              <w:rPr>
                <w:sz w:val="1"/>
                <w:szCs w:val="1"/>
                <w:color w:val="auto"/>
              </w:rPr>
            </w:pPr>
          </w:p>
        </w:tc>
      </w:tr>
      <w:tr>
        <w:trPr>
          <w:trHeight w:val="223"/>
        </w:trPr>
        <w:tc>
          <w:tcPr>
            <w:tcW w:w="124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rPr>
              <w:t>&gt; 20.0%</w:t>
            </w:r>
          </w:p>
        </w:tc>
        <w:tc>
          <w:tcPr>
            <w:tcW w:w="1400" w:type="dxa"/>
            <w:vAlign w:val="bottom"/>
            <w:tcBorders>
              <w:top w:val="single" w:sz="8" w:color="auto"/>
            </w:tcBorders>
          </w:tcPr>
          <w:p>
            <w:pPr>
              <w:ind w:left="60"/>
              <w:spacing w:after="0" w:line="223" w:lineRule="exact"/>
              <w:rPr>
                <w:sz w:val="20"/>
                <w:szCs w:val="20"/>
                <w:color w:val="auto"/>
              </w:rPr>
            </w:pPr>
            <w:r>
              <w:rPr>
                <w:rFonts w:ascii="Arial" w:cs="Arial" w:eastAsia="Arial" w:hAnsi="Arial"/>
                <w:sz w:val="22"/>
                <w:szCs w:val="22"/>
                <w:color w:val="auto"/>
              </w:rPr>
              <w:t>100.0%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22"/>
                <w:szCs w:val="22"/>
                <w:color w:val="auto"/>
              </w:rPr>
              <w:t>83.3%</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gridSpan w:val="2"/>
          </w:tcPr>
          <w:p>
            <w:pPr>
              <w:spacing w:after="0" w:line="242" w:lineRule="exact"/>
              <w:rPr>
                <w:sz w:val="20"/>
                <w:szCs w:val="20"/>
                <w:color w:val="auto"/>
              </w:rPr>
            </w:pPr>
            <w:r>
              <w:rPr>
                <w:rFonts w:ascii="Arial" w:cs="Arial" w:eastAsia="Arial" w:hAnsi="Arial"/>
                <w:sz w:val="22"/>
                <w:szCs w:val="22"/>
                <w:color w:val="auto"/>
              </w:rPr>
              <w:t>15.0%</w:t>
            </w:r>
          </w:p>
        </w:tc>
        <w:tc>
          <w:tcPr>
            <w:tcW w:w="14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240" w:type="dxa"/>
            <w:vAlign w:val="bottom"/>
            <w:gridSpan w:val="2"/>
          </w:tcPr>
          <w:p>
            <w:pPr>
              <w:spacing w:after="0"/>
              <w:rPr>
                <w:sz w:val="20"/>
                <w:szCs w:val="20"/>
                <w:color w:val="auto"/>
              </w:rPr>
            </w:pPr>
            <w:r>
              <w:rPr>
                <w:rFonts w:ascii="Arial" w:cs="Arial" w:eastAsia="Arial" w:hAnsi="Arial"/>
                <w:sz w:val="22"/>
                <w:szCs w:val="22"/>
                <w:color w:val="auto"/>
              </w:rPr>
              <w:t>10.0%</w:t>
            </w:r>
          </w:p>
        </w:tc>
        <w:tc>
          <w:tcPr>
            <w:tcW w:w="1400" w:type="dxa"/>
            <w:vAlign w:val="bottom"/>
          </w:tcPr>
          <w:p>
            <w:pPr>
              <w:jc w:val="right"/>
              <w:ind w:right="152"/>
              <w:spacing w:after="0"/>
              <w:rPr>
                <w:sz w:val="20"/>
                <w:szCs w:val="20"/>
                <w:color w:val="auto"/>
              </w:rPr>
            </w:pPr>
            <w:r>
              <w:rPr>
                <w:rFonts w:ascii="Arial" w:cs="Arial" w:eastAsia="Arial" w:hAnsi="Arial"/>
                <w:sz w:val="22"/>
                <w:szCs w:val="22"/>
                <w:color w:val="auto"/>
              </w:rPr>
              <w:t>66.7%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140" w:hanging="6"/>
        <w:spacing w:after="0" w:line="273" w:lineRule="auto"/>
        <w:tabs>
          <w:tab w:leader="none" w:pos="1254"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exact percentage of Shares earned shall be calculated based on straight-line interpolation between the points shown above with fractional points rounded up to the nearest tenth of a percent. After the end of the Performance Period, the Compensation Committee shall certify whether and to what extent the Performance Criteria has been satisfied (“</w:t>
      </w:r>
      <w:r>
        <w:rPr>
          <w:rFonts w:ascii="Arial" w:cs="Arial" w:eastAsia="Arial" w:hAnsi="Arial"/>
          <w:sz w:val="19"/>
          <w:szCs w:val="19"/>
          <w:u w:val="single" w:color="auto"/>
          <w:color w:val="auto"/>
        </w:rPr>
        <w:t>Certification Date</w:t>
      </w:r>
      <w:r>
        <w:rPr>
          <w:rFonts w:ascii="Arial" w:cs="Arial" w:eastAsia="Arial" w:hAnsi="Arial"/>
          <w:sz w:val="19"/>
          <w:szCs w:val="19"/>
          <w:color w:val="auto"/>
        </w:rPr>
        <w:t>”) (such earned Shares shall then be considered “</w:t>
      </w:r>
      <w:r>
        <w:rPr>
          <w:rFonts w:ascii="Arial" w:cs="Arial" w:eastAsia="Arial" w:hAnsi="Arial"/>
          <w:sz w:val="19"/>
          <w:szCs w:val="19"/>
          <w:u w:val="single" w:color="auto"/>
          <w:color w:val="auto"/>
        </w:rPr>
        <w:t>Earned But Unvested Shares</w:t>
      </w:r>
      <w:r>
        <w:rPr>
          <w:rFonts w:ascii="Arial" w:cs="Arial" w:eastAsia="Arial" w:hAnsi="Arial"/>
          <w:sz w:val="19"/>
          <w:szCs w:val="19"/>
          <w:color w:val="auto"/>
        </w:rPr>
        <w:t>” hereunder). Such Earned But Unvested Shares shall vest one-fourth on the seventh business day following the Certification Date and then ratably on the next three Service Vesting Dates. Prior to the Certification Date, all Shares shall be considered “</w:t>
      </w:r>
      <w:r>
        <w:rPr>
          <w:rFonts w:ascii="Arial" w:cs="Arial" w:eastAsia="Arial" w:hAnsi="Arial"/>
          <w:sz w:val="19"/>
          <w:szCs w:val="19"/>
          <w:u w:val="single" w:color="auto"/>
          <w:color w:val="auto"/>
        </w:rPr>
        <w:t>unvested Shares</w:t>
      </w:r>
      <w:r>
        <w:rPr>
          <w:rFonts w:ascii="Arial" w:cs="Arial" w:eastAsia="Arial" w:hAnsi="Arial"/>
          <w:sz w:val="19"/>
          <w:szCs w:val="19"/>
          <w:color w:val="auto"/>
        </w:rPr>
        <w:t>.” If the Performance Criteria has not been satisfied then the Shares shall be immediately and automatically forfeited. Upon the Certification Date, any portion of the Shares that are not earned in accordance with the provisions above shall be forfeited.</w:t>
      </w:r>
    </w:p>
    <w:p>
      <w:pPr>
        <w:spacing w:after="0" w:line="147" w:lineRule="exact"/>
        <w:rPr>
          <w:rFonts w:ascii="Arial" w:cs="Arial" w:eastAsia="Arial" w:hAnsi="Arial"/>
          <w:sz w:val="19"/>
          <w:szCs w:val="19"/>
          <w:color w:val="auto"/>
        </w:rPr>
      </w:pPr>
    </w:p>
    <w:p>
      <w:pPr>
        <w:ind w:left="1140" w:right="40" w:hanging="755"/>
        <w:spacing w:after="0" w:line="279" w:lineRule="auto"/>
        <w:tabs>
          <w:tab w:leader="none" w:pos="114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The period beginning on the Award Date and ending on the date immediately preceding the Vesting Date for a Share shall be known as the restriction period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50" w:lineRule="exact"/>
        <w:rPr>
          <w:rFonts w:ascii="Arial" w:cs="Arial" w:eastAsia="Arial" w:hAnsi="Arial"/>
          <w:sz w:val="19"/>
          <w:szCs w:val="19"/>
          <w:color w:val="auto"/>
        </w:rPr>
      </w:pPr>
    </w:p>
    <w:p>
      <w:pPr>
        <w:ind w:left="1140" w:right="100" w:hanging="755"/>
        <w:spacing w:after="0" w:line="282" w:lineRule="auto"/>
        <w:tabs>
          <w:tab w:leader="none" w:pos="114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Cancellation Right</w:t>
      </w:r>
      <w:r>
        <w:rPr>
          <w:rFonts w:ascii="Arial" w:cs="Arial" w:eastAsia="Arial" w:hAnsi="Arial"/>
          <w:sz w:val="19"/>
          <w:szCs w:val="19"/>
          <w:color w:val="auto"/>
        </w:rPr>
        <w:t>. Subject to Section 4, the Grantee must be in continuous service as an employee of the Company or any of its Affiliates or as a Director from the Award Date through the applicable Vesting Date for an unvested Share to become vested. Subject to Section 4, Grantee’s termination of employment and, if applicable, service as a Director prior to the Vesting Date shall cause the unvested Shares to be automatically forfeited as of such discontinuation of service date.</w:t>
      </w:r>
    </w:p>
    <w:p>
      <w:pPr>
        <w:spacing w:after="0" w:line="147" w:lineRule="exact"/>
        <w:rPr>
          <w:rFonts w:ascii="Arial" w:cs="Arial" w:eastAsia="Arial" w:hAnsi="Arial"/>
          <w:sz w:val="19"/>
          <w:szCs w:val="19"/>
          <w:color w:val="auto"/>
        </w:rPr>
      </w:pPr>
    </w:p>
    <w:p>
      <w:pPr>
        <w:ind w:left="1140" w:hanging="755"/>
        <w:spacing w:after="0" w:line="243" w:lineRule="auto"/>
        <w:tabs>
          <w:tab w:leader="none" w:pos="114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Calculations and Adjustments</w:t>
      </w:r>
      <w:r>
        <w:rPr>
          <w:rFonts w:ascii="Arial" w:cs="Arial" w:eastAsia="Arial" w:hAnsi="Arial"/>
          <w:sz w:val="21"/>
          <w:szCs w:val="21"/>
          <w:color w:val="auto"/>
        </w:rPr>
        <w:t xml:space="preserve">. The Committee shall have the authority to approve the calculations involving the "Return on Equity for the fiscal year ending March 31, 2023" for purposes of vesting, and its approval of such calculations shall be final, conclusive and binding on all parties; </w:t>
      </w:r>
      <w:r>
        <w:rPr>
          <w:rFonts w:ascii="Arial" w:cs="Arial" w:eastAsia="Arial" w:hAnsi="Arial"/>
          <w:sz w:val="21"/>
          <w:szCs w:val="21"/>
          <w:u w:val="single" w:color="auto"/>
          <w:color w:val="auto"/>
        </w:rPr>
        <w:t>provided</w:t>
      </w:r>
      <w:r>
        <w:rPr>
          <w:rFonts w:ascii="Arial" w:cs="Arial" w:eastAsia="Arial" w:hAnsi="Arial"/>
          <w:sz w:val="21"/>
          <w:szCs w:val="21"/>
          <w:color w:val="auto"/>
        </w:rPr>
        <w:t>, that the Performance Criteria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(including legal fees, settlements and adjustments); provided that the amount exceeds $5 million; and (iii) the impact of extraordinary items not related to the Company’s current or ongoing business operations, including impairments, write-downs or other significant non-operational charges. Without limiting the generality of the</w:t>
      </w:r>
    </w:p>
    <w:p>
      <w:pPr>
        <w:spacing w:after="0" w:line="1" w:lineRule="exact"/>
        <w:rPr>
          <w:rFonts w:ascii="Arial" w:cs="Arial" w:eastAsia="Arial" w:hAnsi="Arial"/>
          <w:sz w:val="21"/>
          <w:szCs w:val="21"/>
          <w:color w:val="auto"/>
        </w:rPr>
      </w:pPr>
    </w:p>
    <w:p>
      <w:pPr>
        <w:ind w:left="4460" w:hanging="136"/>
        <w:spacing w:after="0"/>
        <w:tabs>
          <w:tab w:leader="none" w:pos="4460" w:val="left"/>
        </w:tabs>
        <w:numPr>
          <w:ilvl w:val="2"/>
          <w:numId w:val="17"/>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05" w:right="359" w:bottom="1440" w:gutter="0" w:footer="0" w:header="0"/>
        </w:sectPr>
      </w:pPr>
    </w:p>
    <w:bookmarkStart w:id="40" w:name="page41"/>
    <w:bookmarkEnd w:id="40"/>
    <w:p>
      <w:pPr>
        <w:ind w:left="1503" w:right="120"/>
        <w:spacing w:after="0" w:line="279" w:lineRule="auto"/>
        <w:rPr>
          <w:sz w:val="20"/>
          <w:szCs w:val="20"/>
          <w:color w:val="auto"/>
        </w:rPr>
      </w:pPr>
      <w:r>
        <w:rPr>
          <w:rFonts w:ascii="Arial" w:cs="Arial" w:eastAsia="Arial" w:hAnsi="Arial"/>
          <w:sz w:val="19"/>
          <w:szCs w:val="19"/>
          <w:color w:val="auto"/>
        </w:rPr>
        <w:t>foregoing, in the event the Company determines to effect a spin-off that will occur prior to the end of the Performance Period, the Committee shall have the discretion to determine the extent to which the Performance Criteria shall be deemed to have been satisfied through the effective date of such spin-off or earlier, as determined by the Committee and such determination date shall constitute the Certification Date hereunder; provided, the Earned But Unvested Shares so determined shall vest one-fourth on the first anniversary of the Award Date and then ratably on the next three fiscal year-ends.</w:t>
      </w:r>
    </w:p>
    <w:p>
      <w:pPr>
        <w:spacing w:after="0" w:line="137" w:lineRule="exact"/>
        <w:rPr>
          <w:sz w:val="20"/>
          <w:szCs w:val="20"/>
          <w:color w:val="auto"/>
        </w:rPr>
      </w:pPr>
    </w:p>
    <w:p>
      <w:pPr>
        <w:ind w:left="-757" w:firstLine="757"/>
        <w:spacing w:after="0" w:line="271" w:lineRule="auto"/>
        <w:tabs>
          <w:tab w:leader="none" w:pos="74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Change-in-Control; Death or Disability; Retirement</w:t>
      </w:r>
      <w:r>
        <w:rPr>
          <w:rFonts w:ascii="Arial" w:cs="Arial" w:eastAsia="Arial" w:hAnsi="Arial"/>
          <w:sz w:val="19"/>
          <w:szCs w:val="19"/>
          <w:color w:val="auto"/>
        </w:rPr>
        <w:t xml:space="preserve">. The restrictions set forth above in Section 3 shall lapse with respect to any Shares (in the case of a Change in Control) or Earned But Unvested Shares (in the case of termination of employment and, if applicable, discontinuation of service as a Director by reason of death, Disability or Retirement) not previously forfeited and the remaining shares of this Award shall become fully vested without regard to the limitations set forth in Section 3 above, provided that the Grantee has been in continuous employment with the Company or any of its Affiliates or has been in continuous service as a Director from the Award Date through: (A)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or (B) Grantee’s termination of employment and, if applicable, discontinuation of service as a Director by reason of death, Disability or Retirement. Upon a Change in Control, pursuant to Section 15 of the Plan, the Company may, in its discretion, settle the Award by a cash payment that the Committee shall determine in its sole discretion is equal to the fair market value of the Award on the date of such event. In the event Grantee’s employment with the Company or any of its affiliates is terminated (other than a termination for “cause”) after the end of the Performance Period but before the Certification Date, then notwithstanding the restrictions set forth above in Section 3, on the third business day following the Certification Date, one-fourth of the Earned But Unvested Shares shall vest, and the remainder of the Shares shall be forfeited.</w:t>
      </w:r>
    </w:p>
    <w:p>
      <w:pPr>
        <w:spacing w:after="0" w:line="156" w:lineRule="exact"/>
        <w:rPr>
          <w:rFonts w:ascii="Arial" w:cs="Arial" w:eastAsia="Arial" w:hAnsi="Arial"/>
          <w:sz w:val="19"/>
          <w:szCs w:val="19"/>
          <w:color w:val="auto"/>
        </w:rPr>
      </w:pPr>
    </w:p>
    <w:p>
      <w:pPr>
        <w:ind w:left="-757" w:right="120" w:firstLine="757"/>
        <w:spacing w:after="0" w:line="279" w:lineRule="auto"/>
        <w:tabs>
          <w:tab w:leader="none" w:pos="74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The Grantee shall have the right to vote the Shares. On the first dividend payment date following the Certification Date, the Grantee shall be entitled to a cash dividend payment equal to: (i) the sum of per share dividends paid with respect to Common Stock during the period from the Award Date to the Certification Date; provided, the record date for such dividend payment is on or after the Award Date; times (ii) the number of Earned But Unvested Shares (once determined). The Grantee shall also have the right to receive any cash dividends paid on Earned But Unvested Shares after the Certification Date at the same time such amounts are paid with respect to all other shares of Common Stock.</w:t>
      </w:r>
    </w:p>
    <w:p>
      <w:pPr>
        <w:spacing w:after="0" w:line="150" w:lineRule="exact"/>
        <w:rPr>
          <w:rFonts w:ascii="Arial" w:cs="Arial" w:eastAsia="Arial" w:hAnsi="Arial"/>
          <w:sz w:val="19"/>
          <w:szCs w:val="19"/>
          <w:color w:val="auto"/>
        </w:rPr>
      </w:pPr>
    </w:p>
    <w:p>
      <w:pPr>
        <w:ind w:left="-757" w:firstLine="757"/>
        <w:spacing w:after="0" w:line="245" w:lineRule="auto"/>
        <w:tabs>
          <w:tab w:leader="none" w:pos="741"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84" w:lineRule="exact"/>
        <w:rPr>
          <w:rFonts w:ascii="Arial" w:cs="Arial" w:eastAsia="Arial" w:hAnsi="Arial"/>
          <w:sz w:val="21"/>
          <w:szCs w:val="21"/>
          <w:color w:val="auto"/>
        </w:rPr>
      </w:pPr>
    </w:p>
    <w:p>
      <w:pPr>
        <w:ind w:left="4823" w:hanging="136"/>
        <w:spacing w:after="0"/>
        <w:tabs>
          <w:tab w:leader="none" w:pos="4823" w:val="left"/>
        </w:tabs>
        <w:numPr>
          <w:ilvl w:val="1"/>
          <w:numId w:val="18"/>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21" w:right="339" w:bottom="1440" w:gutter="0" w:footer="0" w:header="0"/>
        </w:sectPr>
      </w:pPr>
    </w:p>
    <w:bookmarkStart w:id="41" w:name="page42"/>
    <w:bookmarkEnd w:id="41"/>
    <w:p>
      <w:pPr>
        <w:ind w:left="743" w:hanging="743"/>
        <w:spacing w:after="0"/>
        <w:tabs>
          <w:tab w:leader="none" w:pos="74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22"/>
          <w:szCs w:val="22"/>
          <w:color w:val="auto"/>
        </w:rPr>
        <w:t>The Company shall not be required:</w:t>
      </w:r>
    </w:p>
    <w:p>
      <w:pPr>
        <w:spacing w:after="0" w:line="206" w:lineRule="exact"/>
        <w:rPr>
          <w:sz w:val="20"/>
          <w:szCs w:val="20"/>
          <w:color w:val="auto"/>
        </w:rPr>
      </w:pPr>
    </w:p>
    <w:p>
      <w:pPr>
        <w:ind w:left="1503" w:right="260" w:hanging="755"/>
        <w:spacing w:after="0" w:line="250" w:lineRule="auto"/>
        <w:tabs>
          <w:tab w:leader="none" w:pos="1503"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74" w:lineRule="exact"/>
        <w:rPr>
          <w:rFonts w:ascii="Arial" w:cs="Arial" w:eastAsia="Arial" w:hAnsi="Arial"/>
          <w:sz w:val="22"/>
          <w:szCs w:val="22"/>
          <w:color w:val="auto"/>
        </w:rPr>
      </w:pPr>
    </w:p>
    <w:p>
      <w:pPr>
        <w:ind w:left="1503" w:right="60" w:hanging="755"/>
        <w:spacing w:after="0"/>
        <w:tabs>
          <w:tab w:leader="none" w:pos="1503"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86" w:lineRule="exact"/>
        <w:rPr>
          <w:sz w:val="20"/>
          <w:szCs w:val="20"/>
          <w:color w:val="auto"/>
        </w:rPr>
      </w:pPr>
    </w:p>
    <w:p>
      <w:pPr>
        <w:ind w:left="-757" w:right="660" w:firstLine="757"/>
        <w:spacing w:after="0" w:line="250" w:lineRule="auto"/>
        <w:tabs>
          <w:tab w:leader="none" w:pos="741"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5" w:lineRule="exact"/>
        <w:rPr>
          <w:sz w:val="20"/>
          <w:szCs w:val="20"/>
          <w:color w:val="auto"/>
        </w:rPr>
      </w:pPr>
    </w:p>
    <w:p>
      <w:pPr>
        <w:ind w:left="743" w:right="1800"/>
        <w:spacing w:after="0" w:line="246" w:lineRule="auto"/>
        <w:rPr>
          <w:sz w:val="20"/>
          <w:szCs w:val="20"/>
          <w:color w:val="auto"/>
        </w:rPr>
      </w:pPr>
      <w:r>
        <w:rPr>
          <w:rFonts w:ascii="Arial" w:cs="Arial" w:eastAsia="Arial" w:hAnsi="Arial"/>
          <w:sz w:val="21"/>
          <w:szCs w:val="21"/>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84" w:lineRule="exact"/>
        <w:rPr>
          <w:sz w:val="20"/>
          <w:szCs w:val="20"/>
          <w:color w:val="auto"/>
        </w:rPr>
      </w:pPr>
    </w:p>
    <w:p>
      <w:pPr>
        <w:ind w:left="-757" w:firstLine="757"/>
        <w:spacing w:after="0" w:line="272" w:lineRule="auto"/>
        <w:tabs>
          <w:tab w:leader="none" w:pos="74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60" w:lineRule="exact"/>
        <w:rPr>
          <w:rFonts w:ascii="Arial" w:cs="Arial" w:eastAsia="Arial" w:hAnsi="Arial"/>
          <w:sz w:val="19"/>
          <w:szCs w:val="19"/>
          <w:color w:val="auto"/>
        </w:rPr>
      </w:pPr>
    </w:p>
    <w:p>
      <w:pPr>
        <w:ind w:left="-757" w:right="20" w:firstLine="757"/>
        <w:spacing w:after="0" w:line="234" w:lineRule="auto"/>
        <w:tabs>
          <w:tab w:leader="none" w:pos="74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 obligations. Further, any dividends paid to you pursuant to Section 5 above prior to the end of the Restriction Period will generally be subject to federal, state and local withholding, as appropriate, as additional compensation.</w:t>
      </w:r>
    </w:p>
    <w:p>
      <w:pPr>
        <w:spacing w:after="0" w:line="190" w:lineRule="exact"/>
        <w:rPr>
          <w:rFonts w:ascii="Arial" w:cs="Arial" w:eastAsia="Arial" w:hAnsi="Arial"/>
          <w:sz w:val="22"/>
          <w:szCs w:val="22"/>
          <w:color w:val="auto"/>
        </w:rPr>
      </w:pPr>
    </w:p>
    <w:p>
      <w:pPr>
        <w:ind w:left="-757" w:right="740" w:firstLine="757"/>
        <w:spacing w:after="0" w:line="250" w:lineRule="auto"/>
        <w:tabs>
          <w:tab w:leader="none" w:pos="74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Entire Agreement; Governing Law</w:t>
      </w:r>
      <w:r>
        <w:rPr>
          <w:rFonts w:ascii="Arial" w:cs="Arial" w:eastAsia="Arial" w:hAnsi="Arial"/>
          <w:sz w:val="22"/>
          <w:szCs w:val="22"/>
          <w:color w:val="auto"/>
        </w:rPr>
        <w:t>. The Plan and this Agreement constitute the entire agreement of the Company and the Grantee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 with respect to the subject</w:t>
      </w:r>
    </w:p>
    <w:p>
      <w:pPr>
        <w:spacing w:after="0" w:line="174" w:lineRule="exact"/>
        <w:rPr>
          <w:rFonts w:ascii="Arial" w:cs="Arial" w:eastAsia="Arial" w:hAnsi="Arial"/>
          <w:sz w:val="22"/>
          <w:szCs w:val="22"/>
          <w:color w:val="auto"/>
        </w:rPr>
      </w:pPr>
    </w:p>
    <w:p>
      <w:pPr>
        <w:ind w:left="4823" w:hanging="136"/>
        <w:spacing w:after="0"/>
        <w:tabs>
          <w:tab w:leader="none" w:pos="4823" w:val="left"/>
        </w:tabs>
        <w:numPr>
          <w:ilvl w:val="1"/>
          <w:numId w:val="22"/>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321" w:right="379" w:bottom="1440" w:gutter="0" w:footer="0" w:header="0"/>
        </w:sectPr>
      </w:pPr>
    </w:p>
    <w:bookmarkStart w:id="42" w:name="page43"/>
    <w:bookmarkEnd w:id="42"/>
    <w:p>
      <w:pPr>
        <w:ind w:right="20"/>
        <w:spacing w:after="0" w:line="245" w:lineRule="auto"/>
        <w:rPr>
          <w:sz w:val="20"/>
          <w:szCs w:val="20"/>
          <w:color w:val="auto"/>
        </w:rPr>
      </w:pPr>
      <w:r>
        <w:rPr>
          <w:rFonts w:ascii="Arial" w:cs="Arial" w:eastAsia="Arial" w:hAnsi="Arial"/>
          <w:sz w:val="21"/>
          <w:szCs w:val="21"/>
          <w:color w:val="auto"/>
        </w:rPr>
        <w:t>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84" w:lineRule="exact"/>
        <w:rPr>
          <w:sz w:val="20"/>
          <w:szCs w:val="20"/>
          <w:color w:val="auto"/>
        </w:rPr>
      </w:pPr>
    </w:p>
    <w:p>
      <w:pPr>
        <w:ind w:firstLine="757"/>
        <w:spacing w:after="0" w:line="282" w:lineRule="auto"/>
        <w:tabs>
          <w:tab w:leader="none" w:pos="149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47" w:lineRule="exact"/>
        <w:rPr>
          <w:rFonts w:ascii="Arial" w:cs="Arial" w:eastAsia="Arial" w:hAnsi="Arial"/>
          <w:sz w:val="19"/>
          <w:szCs w:val="19"/>
          <w:color w:val="auto"/>
        </w:rPr>
      </w:pPr>
    </w:p>
    <w:p>
      <w:pPr>
        <w:ind w:right="80" w:firstLine="757"/>
        <w:spacing w:after="0" w:line="249" w:lineRule="auto"/>
        <w:tabs>
          <w:tab w:leader="none" w:pos="149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78" w:lineRule="exact"/>
        <w:rPr>
          <w:rFonts w:ascii="Arial" w:cs="Arial" w:eastAsia="Arial" w:hAnsi="Arial"/>
          <w:sz w:val="21"/>
          <w:szCs w:val="21"/>
          <w:color w:val="auto"/>
        </w:rPr>
      </w:pPr>
    </w:p>
    <w:p>
      <w:pPr>
        <w:ind w:right="120" w:firstLine="757"/>
        <w:spacing w:after="0" w:line="236" w:lineRule="auto"/>
        <w:tabs>
          <w:tab w:leader="none" w:pos="149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This Award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Award (or amounts paid in respect thereof) following a Change in Control.</w:t>
      </w:r>
    </w:p>
    <w:p>
      <w:pPr>
        <w:spacing w:after="0" w:line="187" w:lineRule="exact"/>
        <w:rPr>
          <w:rFonts w:ascii="Arial" w:cs="Arial" w:eastAsia="Arial" w:hAnsi="Arial"/>
          <w:sz w:val="22"/>
          <w:szCs w:val="22"/>
          <w:color w:val="auto"/>
        </w:rPr>
      </w:pPr>
    </w:p>
    <w:p>
      <w:pPr>
        <w:jc w:val="both"/>
        <w:ind w:right="280" w:firstLine="757"/>
        <w:spacing w:after="0" w:line="238" w:lineRule="auto"/>
        <w:tabs>
          <w:tab w:leader="none" w:pos="149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3" w:name="page44"/>
    <w:bookmarkEnd w:id="43"/>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tbl>
      <w:tblPr>
        <w:tblLayout w:type="fixed"/>
        <w:tblInd w:w="4900" w:type="dxa"/>
        <w:tblCellMar>
          <w:top w:w="0" w:type="dxa"/>
          <w:left w:w="0" w:type="dxa"/>
          <w:bottom w:w="0" w:type="dxa"/>
          <w:right w:w="0" w:type="dxa"/>
        </w:tblCellMar>
      </w:tblPr>
      <w:tr>
        <w:trPr>
          <w:trHeight w:val="264"/>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2"/>
                <w:szCs w:val="22"/>
                <w:color w:val="auto"/>
              </w:rPr>
            </w:pPr>
          </w:p>
        </w:tc>
      </w:tr>
      <w:tr>
        <w:trPr>
          <w:trHeight w:val="49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428"/>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85" w:lineRule="exact"/>
        <w:rPr>
          <w:sz w:val="20"/>
          <w:szCs w:val="20"/>
          <w:color w:val="auto"/>
        </w:rPr>
      </w:pPr>
    </w:p>
    <w:p>
      <w:pPr>
        <w:ind w:right="220" w:firstLine="432"/>
        <w:spacing w:after="0" w:line="249"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367" w:lineRule="exact"/>
        <w:rPr>
          <w:sz w:val="20"/>
          <w:szCs w:val="20"/>
          <w:color w:val="auto"/>
        </w:rPr>
      </w:pPr>
    </w:p>
    <w:p>
      <w:pPr>
        <w:ind w:left="4900"/>
        <w:spacing w:after="0"/>
        <w:tabs>
          <w:tab w:leader="none" w:pos="606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3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CHANGE-IN-CONTROL</w:t>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10" w:lineRule="exact"/>
        <w:rPr>
          <w:sz w:val="20"/>
          <w:szCs w:val="20"/>
          <w:color w:val="auto"/>
        </w:rPr>
      </w:pPr>
    </w:p>
    <w:p>
      <w:pPr>
        <w:ind w:right="100" w:firstLine="757"/>
        <w:spacing w:after="0" w:line="246" w:lineRule="auto"/>
        <w:tabs>
          <w:tab w:leader="none" w:pos="1685"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76" w:lineRule="exact"/>
        <w:rPr>
          <w:rFonts w:ascii="Arial" w:cs="Arial" w:eastAsia="Arial" w:hAnsi="Arial"/>
          <w:sz w:val="21"/>
          <w:szCs w:val="21"/>
          <w:color w:val="auto"/>
        </w:rPr>
      </w:pPr>
    </w:p>
    <w:p>
      <w:pPr>
        <w:ind w:firstLine="757"/>
        <w:spacing w:after="0" w:line="275" w:lineRule="auto"/>
        <w:tabs>
          <w:tab w:leader="none" w:pos="1685"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rFonts w:ascii="Arial" w:cs="Arial" w:eastAsia="Arial" w:hAnsi="Arial"/>
          <w:sz w:val="19"/>
          <w:szCs w:val="19"/>
          <w:color w:val="auto"/>
        </w:rPr>
      </w:pPr>
    </w:p>
    <w:p>
      <w:pPr>
        <w:ind w:firstLine="757"/>
        <w:spacing w:after="0" w:line="272" w:lineRule="auto"/>
        <w:tabs>
          <w:tab w:leader="none" w:pos="1685"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295" w:lineRule="exact"/>
        <w:rPr>
          <w:rFonts w:ascii="Arial" w:cs="Arial" w:eastAsia="Arial" w:hAnsi="Arial"/>
          <w:sz w:val="19"/>
          <w:szCs w:val="19"/>
          <w:color w:val="auto"/>
        </w:rPr>
      </w:pPr>
    </w:p>
    <w:p>
      <w:pPr>
        <w:ind w:right="20" w:firstLine="757"/>
        <w:spacing w:after="0" w:line="248" w:lineRule="auto"/>
        <w:tabs>
          <w:tab w:leader="none" w:pos="1685" w:val="left"/>
        </w:tabs>
        <w:numPr>
          <w:ilvl w:val="0"/>
          <w:numId w:val="24"/>
        </w:numPr>
        <w:rPr>
          <w:rFonts w:ascii="Arial" w:cs="Arial" w:eastAsia="Arial" w:hAnsi="Arial"/>
          <w:sz w:val="21"/>
          <w:szCs w:val="21"/>
          <w:color w:val="auto"/>
        </w:rPr>
      </w:pPr>
      <w:r>
        <w:rPr>
          <w:rFonts w:ascii="Arial" w:cs="Arial" w:eastAsia="Arial" w:hAnsi="Arial"/>
          <w:sz w:val="21"/>
          <w:szCs w:val="21"/>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68" w:lineRule="exact"/>
        <w:rPr>
          <w:rFonts w:ascii="Arial" w:cs="Arial" w:eastAsia="Arial" w:hAnsi="Arial"/>
          <w:sz w:val="21"/>
          <w:szCs w:val="21"/>
          <w:color w:val="auto"/>
        </w:rPr>
      </w:pPr>
    </w:p>
    <w:p>
      <w:pPr>
        <w:ind w:left="5580" w:hanging="136"/>
        <w:spacing w:after="0"/>
        <w:tabs>
          <w:tab w:leader="none" w:pos="55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9"/>
          <w:szCs w:val="19"/>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98" w:lineRule="exact"/>
        <w:rPr>
          <w:sz w:val="20"/>
          <w:szCs w:val="20"/>
          <w:color w:val="auto"/>
        </w:rPr>
      </w:pPr>
    </w:p>
    <w:p>
      <w:pPr>
        <w:ind w:left="1500" w:hanging="743"/>
        <w:spacing w:after="0"/>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98" w:lineRule="exact"/>
        <w:rPr>
          <w:rFonts w:ascii="Arial" w:cs="Arial" w:eastAsia="Arial" w:hAnsi="Arial"/>
          <w:sz w:val="22"/>
          <w:szCs w:val="22"/>
          <w:color w:val="auto"/>
        </w:rPr>
      </w:pPr>
    </w:p>
    <w:p>
      <w:pPr>
        <w:ind w:left="1500" w:hanging="743"/>
        <w:spacing w:after="0"/>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98" w:lineRule="exact"/>
        <w:rPr>
          <w:rFonts w:ascii="Arial" w:cs="Arial" w:eastAsia="Arial" w:hAnsi="Arial"/>
          <w:sz w:val="22"/>
          <w:szCs w:val="22"/>
          <w:color w:val="auto"/>
        </w:rPr>
      </w:pPr>
    </w:p>
    <w:p>
      <w:pPr>
        <w:ind w:left="1500" w:right="40" w:hanging="743"/>
        <w:spacing w:after="0" w:line="250" w:lineRule="auto"/>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66" w:lineRule="exact"/>
        <w:rPr>
          <w:rFonts w:ascii="Arial" w:cs="Arial" w:eastAsia="Arial" w:hAnsi="Arial"/>
          <w:sz w:val="22"/>
          <w:szCs w:val="22"/>
          <w:color w:val="auto"/>
        </w:rPr>
      </w:pPr>
    </w:p>
    <w:p>
      <w:pPr>
        <w:ind w:left="1500" w:right="40" w:hanging="743"/>
        <w:spacing w:after="0"/>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78" w:lineRule="exact"/>
        <w:rPr>
          <w:rFonts w:ascii="Arial" w:cs="Arial" w:eastAsia="Arial" w:hAnsi="Arial"/>
          <w:sz w:val="22"/>
          <w:szCs w:val="22"/>
          <w:color w:val="auto"/>
        </w:rPr>
      </w:pPr>
    </w:p>
    <w:p>
      <w:pPr>
        <w:ind w:left="1500" w:hanging="743"/>
        <w:spacing w:after="0"/>
        <w:tabs>
          <w:tab w:leader="none" w:pos="15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32" w:lineRule="exact"/>
        <w:rPr>
          <w:rFonts w:ascii="Arial" w:cs="Arial" w:eastAsia="Arial" w:hAnsi="Arial"/>
          <w:sz w:val="19"/>
          <w:szCs w:val="19"/>
          <w:color w:val="auto"/>
        </w:rPr>
      </w:pPr>
    </w:p>
    <w:p>
      <w:pPr>
        <w:ind w:left="1500" w:hanging="743"/>
        <w:spacing w:after="0"/>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98" w:lineRule="exact"/>
        <w:rPr>
          <w:rFonts w:ascii="Arial" w:cs="Arial" w:eastAsia="Arial" w:hAnsi="Arial"/>
          <w:sz w:val="22"/>
          <w:szCs w:val="22"/>
          <w:color w:val="auto"/>
        </w:rPr>
      </w:pPr>
    </w:p>
    <w:p>
      <w:pPr>
        <w:ind w:left="1500" w:right="220" w:hanging="743"/>
        <w:spacing w:after="0" w:line="238" w:lineRule="auto"/>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76" w:lineRule="exact"/>
        <w:rPr>
          <w:rFonts w:ascii="Arial" w:cs="Arial" w:eastAsia="Arial" w:hAnsi="Arial"/>
          <w:sz w:val="22"/>
          <w:szCs w:val="22"/>
          <w:color w:val="auto"/>
        </w:rPr>
      </w:pPr>
    </w:p>
    <w:p>
      <w:pPr>
        <w:jc w:val="both"/>
        <w:ind w:left="1500" w:right="80" w:hanging="743"/>
        <w:spacing w:after="0" w:line="252" w:lineRule="auto"/>
        <w:tabs>
          <w:tab w:leader="none" w:pos="15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i w:val="1"/>
          <w:iCs w:val="1"/>
          <w:color w:val="auto"/>
        </w:rPr>
        <w:t>Major Asset Disposition</w:t>
      </w:r>
      <w:r>
        <w:rPr>
          <w:rFonts w:ascii="Arial" w:cs="Arial" w:eastAsia="Arial" w:hAnsi="Arial"/>
          <w:sz w:val="21"/>
          <w:szCs w:val="21"/>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65" w:lineRule="exact"/>
        <w:rPr>
          <w:rFonts w:ascii="Arial" w:cs="Arial" w:eastAsia="Arial" w:hAnsi="Arial"/>
          <w:sz w:val="21"/>
          <w:szCs w:val="21"/>
          <w:color w:val="auto"/>
        </w:rPr>
      </w:pPr>
    </w:p>
    <w:p>
      <w:pPr>
        <w:ind w:left="1500" w:right="80" w:hanging="743"/>
        <w:spacing w:after="0" w:line="238" w:lineRule="auto"/>
        <w:tabs>
          <w:tab w:leader="none" w:pos="1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76" w:lineRule="exact"/>
        <w:rPr>
          <w:rFonts w:ascii="Arial" w:cs="Arial" w:eastAsia="Arial" w:hAnsi="Arial"/>
          <w:sz w:val="22"/>
          <w:szCs w:val="22"/>
          <w:color w:val="auto"/>
        </w:rPr>
      </w:pPr>
    </w:p>
    <w:p>
      <w:pPr>
        <w:ind w:left="1500" w:right="20" w:hanging="743"/>
        <w:spacing w:after="0" w:line="279" w:lineRule="auto"/>
        <w:tabs>
          <w:tab w:leader="none" w:pos="15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46" w:name="page47"/>
    <w:bookmarkEnd w:id="46"/>
    <w:p>
      <w:pPr>
        <w:jc w:val="center"/>
        <w:ind w:right="-380"/>
        <w:spacing w:after="0"/>
        <w:rPr>
          <w:sz w:val="20"/>
          <w:szCs w:val="20"/>
          <w:color w:val="auto"/>
        </w:rPr>
      </w:pPr>
      <w:r>
        <w:rPr>
          <w:rFonts w:ascii="Arial" w:cs="Arial" w:eastAsia="Arial" w:hAnsi="Arial"/>
          <w:sz w:val="21"/>
          <w:szCs w:val="21"/>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198755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Vesting)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AGLE</w:t>
      </w:r>
      <w:r>
        <w:rPr>
          <w:rFonts w:ascii="Arial" w:cs="Arial" w:eastAsia="Arial" w:hAnsi="Arial"/>
          <w:sz w:val="20"/>
          <w:szCs w:val="20"/>
          <w:color w:val="auto"/>
        </w:rPr>
        <w:t xml:space="preserve"> M</w:t>
      </w:r>
      <w:r>
        <w:rPr>
          <w:rFonts w:ascii="Arial" w:cs="Arial" w:eastAsia="Arial" w:hAnsi="Arial"/>
          <w:sz w:val="13"/>
          <w:szCs w:val="13"/>
          <w:color w:val="auto"/>
        </w:rPr>
        <w:t>ATERIALS</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 (the "</w:t>
      </w:r>
      <w:r>
        <w:rPr>
          <w:rFonts w:ascii="Arial" w:cs="Arial" w:eastAsia="Arial" w:hAnsi="Arial"/>
          <w:sz w:val="20"/>
          <w:szCs w:val="20"/>
          <w:u w:val="single" w:color="auto"/>
          <w:color w:val="auto"/>
        </w:rPr>
        <w:t>Grantee</w:t>
      </w:r>
      <w:r>
        <w:rPr>
          <w:rFonts w:ascii="Arial" w:cs="Arial" w:eastAsia="Arial" w:hAnsi="Arial"/>
          <w:sz w:val="20"/>
          <w:szCs w:val="20"/>
          <w:color w:val="auto"/>
        </w:rPr>
        <w:t>") hereby enter into this</w:t>
      </w:r>
    </w:p>
    <w:p>
      <w:pPr>
        <w:spacing w:after="0" w:line="31" w:lineRule="exact"/>
        <w:rPr>
          <w:sz w:val="20"/>
          <w:szCs w:val="20"/>
          <w:color w:val="auto"/>
        </w:rPr>
      </w:pPr>
    </w:p>
    <w:p>
      <w:pPr>
        <w:jc w:val="both"/>
        <w:ind w:right="680"/>
        <w:spacing w:after="0" w:line="234" w:lineRule="auto"/>
        <w:rPr>
          <w:sz w:val="20"/>
          <w:szCs w:val="20"/>
          <w:color w:val="auto"/>
        </w:rPr>
      </w:pPr>
      <w:r>
        <w:rPr>
          <w:rFonts w:ascii="Arial" w:cs="Arial" w:eastAsia="Arial" w:hAnsi="Arial"/>
          <w:sz w:val="22"/>
          <w:szCs w:val="22"/>
          <w:color w:val="auto"/>
        </w:rPr>
        <w:t>Restricted Stock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to the Grantee of certain shares of Common Stock of the Company granted to the Grantee on May 19, 2022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174" w:lineRule="exact"/>
        <w:rPr>
          <w:sz w:val="20"/>
          <w:szCs w:val="20"/>
          <w:color w:val="auto"/>
        </w:rPr>
      </w:pPr>
    </w:p>
    <w:p>
      <w:pPr>
        <w:ind w:left="1500" w:hanging="743"/>
        <w:spacing w:after="0"/>
        <w:tabs>
          <w:tab w:leader="none" w:pos="150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Company hereby awards to the Grantee ________ shares of Common Stock of the Company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right="140" w:firstLine="757"/>
        <w:spacing w:after="0" w:line="238" w:lineRule="auto"/>
        <w:tabs>
          <w:tab w:leader="none" w:pos="149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Relationship to the Plan</w:t>
      </w:r>
      <w:r>
        <w:rPr>
          <w:rFonts w:ascii="Arial" w:cs="Arial" w:eastAsia="Arial" w:hAnsi="Arial"/>
          <w:sz w:val="22"/>
          <w:szCs w:val="22"/>
          <w:color w:val="auto"/>
        </w:rPr>
        <w:t>. The Award shall be subject to the terms and conditions of the Eagle Materials Inc. Amended and Restated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84" w:lineRule="exact"/>
        <w:rPr>
          <w:rFonts w:ascii="Arial" w:cs="Arial" w:eastAsia="Arial" w:hAnsi="Arial"/>
          <w:sz w:val="22"/>
          <w:szCs w:val="22"/>
          <w:color w:val="auto"/>
        </w:rPr>
      </w:pPr>
    </w:p>
    <w:p>
      <w:pPr>
        <w:ind w:left="2260" w:hanging="755"/>
        <w:spacing w:after="0"/>
        <w:tabs>
          <w:tab w:leader="none" w:pos="22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shall be determined by the Committee.</w:t>
      </w:r>
    </w:p>
    <w:p>
      <w:pPr>
        <w:spacing w:after="0" w:line="206" w:lineRule="exact"/>
        <w:rPr>
          <w:rFonts w:ascii="Arial" w:cs="Arial" w:eastAsia="Arial" w:hAnsi="Arial"/>
          <w:sz w:val="22"/>
          <w:szCs w:val="22"/>
          <w:color w:val="auto"/>
        </w:rPr>
      </w:pPr>
    </w:p>
    <w:p>
      <w:pPr>
        <w:ind w:left="2260" w:hanging="755"/>
        <w:spacing w:after="0"/>
        <w:tabs>
          <w:tab w:leader="none" w:pos="22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a retirement approved by the Board.</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60" w:right="520" w:hanging="755"/>
        <w:spacing w:after="0" w:line="274" w:lineRule="auto"/>
        <w:tabs>
          <w:tab w:leader="none" w:pos="2260"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Vesting Criteria</w:t>
      </w:r>
      <w:r>
        <w:rPr>
          <w:rFonts w:ascii="Arial" w:cs="Arial" w:eastAsia="Arial" w:hAnsi="Arial"/>
          <w:sz w:val="21"/>
          <w:szCs w:val="21"/>
          <w:color w:val="auto"/>
        </w:rPr>
        <w:t>. The Grantee’s interest in the Shares shall vest on the date designated (a "</w:t>
      </w: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in accordance with the following vesting schedule (the "</w:t>
      </w:r>
      <w:r>
        <w:rPr>
          <w:rFonts w:ascii="Arial" w:cs="Arial" w:eastAsia="Arial" w:hAnsi="Arial"/>
          <w:sz w:val="21"/>
          <w:szCs w:val="21"/>
          <w:u w:val="single" w:color="auto"/>
          <w:color w:val="auto"/>
        </w:rPr>
        <w:t>Vesting Schedule</w:t>
      </w:r>
      <w:r>
        <w:rPr>
          <w:rFonts w:ascii="Arial" w:cs="Arial" w:eastAsia="Arial" w:hAnsi="Arial"/>
          <w:sz w:val="21"/>
          <w:szCs w:val="21"/>
          <w:color w:val="auto"/>
        </w:rPr>
        <w:t>"):</w:t>
      </w:r>
    </w:p>
    <w:p>
      <w:pPr>
        <w:spacing w:after="0" w:line="145" w:lineRule="exact"/>
        <w:rPr>
          <w:sz w:val="20"/>
          <w:szCs w:val="20"/>
          <w:color w:val="auto"/>
        </w:rPr>
      </w:pPr>
    </w:p>
    <w:p>
      <w:pPr>
        <w:ind w:left="4320"/>
        <w:spacing w:after="0"/>
        <w:tabs>
          <w:tab w:leader="none" w:pos="6760" w:val="left"/>
        </w:tabs>
        <w:rPr>
          <w:sz w:val="20"/>
          <w:szCs w:val="20"/>
          <w:color w:val="auto"/>
        </w:rPr>
      </w:pPr>
      <w:r>
        <w:rPr>
          <w:rFonts w:ascii="Arial" w:cs="Arial" w:eastAsia="Arial" w:hAnsi="Arial"/>
          <w:sz w:val="22"/>
          <w:szCs w:val="22"/>
          <w:b w:val="1"/>
          <w:bCs w:val="1"/>
          <w:u w:val="single" w:color="auto"/>
          <w:color w:val="auto"/>
        </w:rPr>
        <w:t>Vesting Date</w:t>
      </w:r>
      <w:r>
        <w:rPr>
          <w:sz w:val="20"/>
          <w:szCs w:val="20"/>
          <w:color w:val="auto"/>
        </w:rPr>
        <w:tab/>
      </w:r>
      <w:r>
        <w:rPr>
          <w:rFonts w:ascii="Arial" w:cs="Arial" w:eastAsia="Arial" w:hAnsi="Arial"/>
          <w:sz w:val="27"/>
          <w:szCs w:val="27"/>
          <w:b w:val="1"/>
          <w:bCs w:val="1"/>
          <w:u w:val="single" w:color="auto"/>
          <w:color w:val="auto"/>
          <w:vertAlign w:val="superscript"/>
        </w:rPr>
        <w:t>Shares</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March 31, 2023</w:t>
      </w:r>
    </w:p>
    <w:p>
      <w:pPr>
        <w:spacing w:after="0" w:line="5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March 31, 2024</w:t>
      </w:r>
    </w:p>
    <w:p>
      <w:pPr>
        <w:spacing w:after="0" w:line="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March 31, 2025</w:t>
      </w:r>
    </w:p>
    <w:p>
      <w:pPr>
        <w:spacing w:after="0" w:line="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March 31, 2026</w:t>
      </w:r>
    </w:p>
    <w:p>
      <w:pPr>
        <w:spacing w:after="0" w:line="65"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Total</w:t>
      </w:r>
    </w:p>
    <w:p>
      <w:pPr>
        <w:spacing w:after="0" w:line="239" w:lineRule="exact"/>
        <w:rPr>
          <w:sz w:val="20"/>
          <w:szCs w:val="20"/>
          <w:color w:val="auto"/>
        </w:rPr>
      </w:pPr>
    </w:p>
    <w:p>
      <w:pPr>
        <w:ind w:left="2260" w:right="60" w:hanging="755"/>
        <w:spacing w:after="0" w:line="279" w:lineRule="auto"/>
        <w:tabs>
          <w:tab w:leader="none" w:pos="226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The period beginning on the Award Date and ending on the date immediately preceding the Vesting Date for a Share shall be known as the restriction period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p>
      <w:pPr>
        <w:ind w:left="1503" w:right="40" w:hanging="755"/>
        <w:spacing w:after="0" w:line="236" w:lineRule="auto"/>
        <w:tabs>
          <w:tab w:leader="none" w:pos="1503"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Cancellation Right</w:t>
      </w:r>
      <w:r>
        <w:rPr>
          <w:rFonts w:ascii="Arial" w:cs="Arial" w:eastAsia="Arial" w:hAnsi="Arial"/>
          <w:sz w:val="22"/>
          <w:szCs w:val="22"/>
          <w:color w:val="auto"/>
        </w:rPr>
        <w:t>. The Grantee must be in continuous service as an employee of the Company or any of its Affiliates or as a Director from the Award Date through the applicable Vesting Date for a Share to become vested. Subject to Section 4, Grantee’s termination of employment and, if applicable, service as a Director prior to the vesting of any Shares shall cause any unvested Shares to be automatically forfeited.</w:t>
      </w:r>
    </w:p>
    <w:p>
      <w:pPr>
        <w:spacing w:after="0" w:line="187" w:lineRule="exact"/>
        <w:rPr>
          <w:rFonts w:ascii="Arial" w:cs="Arial" w:eastAsia="Arial" w:hAnsi="Arial"/>
          <w:sz w:val="22"/>
          <w:szCs w:val="22"/>
          <w:color w:val="auto"/>
        </w:rPr>
      </w:pPr>
    </w:p>
    <w:p>
      <w:pPr>
        <w:ind w:left="-757" w:right="20" w:firstLine="757"/>
        <w:spacing w:after="0" w:line="273" w:lineRule="auto"/>
        <w:tabs>
          <w:tab w:leader="none" w:pos="74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Change-in-Control; Death or Disability; Retirement</w:t>
      </w:r>
      <w:r>
        <w:rPr>
          <w:rFonts w:ascii="Arial" w:cs="Arial" w:eastAsia="Arial" w:hAnsi="Arial"/>
          <w:sz w:val="19"/>
          <w:szCs w:val="19"/>
          <w:color w:val="auto"/>
        </w:rPr>
        <w:t xml:space="preserve">. The restrictions set forth above in Section 3 shall lapse with respect to any unvested Shares not previously forfeited and the remaining shares of this Award shall become fully vested without regard to the limitations set forth in Section 3 above, provided that the Grantee has been in continuous employment with the Company or any of its Affiliates or has been in continuous service as a Director from the Award Date through: (A)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or (B) Grantee’s termination of employment and, if applicable, discontinuation of service as a Director, by reason of death, Disability or Retirement. Upon a Change in Control, pursuant to Section 15 of the Plan, the Company may, in its discretion, settle the Award by a cash payment that the Committee shall determine in its sole discretion is equal to the fair market value of the Award on the date of such event.</w:t>
      </w:r>
    </w:p>
    <w:p>
      <w:pPr>
        <w:spacing w:after="0" w:line="155" w:lineRule="exact"/>
        <w:rPr>
          <w:rFonts w:ascii="Arial" w:cs="Arial" w:eastAsia="Arial" w:hAnsi="Arial"/>
          <w:sz w:val="19"/>
          <w:szCs w:val="19"/>
          <w:color w:val="auto"/>
        </w:rPr>
      </w:pPr>
    </w:p>
    <w:p>
      <w:pPr>
        <w:jc w:val="both"/>
        <w:ind w:left="-757" w:right="40" w:firstLine="757"/>
        <w:spacing w:after="0" w:line="297" w:lineRule="auto"/>
        <w:tabs>
          <w:tab w:leader="none" w:pos="74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such time as any of the unvested Shares are forfeited, the Grantee shall have the right to vote any Shares, and the Grantee shall have the right to receive any cash dividends declared and paid on unvested Shares after the date hereof at the same time such amounts are paid with respect to all other shares of Common Stock.</w:t>
      </w:r>
    </w:p>
    <w:p>
      <w:pPr>
        <w:spacing w:after="0" w:line="133" w:lineRule="exact"/>
        <w:rPr>
          <w:rFonts w:ascii="Arial" w:cs="Arial" w:eastAsia="Arial" w:hAnsi="Arial"/>
          <w:sz w:val="19"/>
          <w:szCs w:val="19"/>
          <w:color w:val="auto"/>
        </w:rPr>
      </w:pPr>
    </w:p>
    <w:p>
      <w:pPr>
        <w:ind w:left="-757" w:firstLine="757"/>
        <w:spacing w:after="0" w:line="245" w:lineRule="auto"/>
        <w:tabs>
          <w:tab w:leader="none" w:pos="741"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84" w:lineRule="exact"/>
        <w:rPr>
          <w:rFonts w:ascii="Arial" w:cs="Arial" w:eastAsia="Arial" w:hAnsi="Arial"/>
          <w:sz w:val="21"/>
          <w:szCs w:val="21"/>
          <w:color w:val="auto"/>
        </w:rPr>
      </w:pPr>
    </w:p>
    <w:p>
      <w:pPr>
        <w:ind w:left="743" w:hanging="743"/>
        <w:spacing w:after="0"/>
        <w:tabs>
          <w:tab w:leader="none" w:pos="743"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22"/>
          <w:szCs w:val="22"/>
          <w:color w:val="auto"/>
        </w:rPr>
        <w:t>The Company shall not be required:</w:t>
      </w:r>
    </w:p>
    <w:p>
      <w:pPr>
        <w:spacing w:after="0" w:line="206" w:lineRule="exact"/>
        <w:rPr>
          <w:sz w:val="20"/>
          <w:szCs w:val="20"/>
          <w:color w:val="auto"/>
        </w:rPr>
      </w:pPr>
    </w:p>
    <w:p>
      <w:pPr>
        <w:ind w:left="1503" w:right="300" w:hanging="755"/>
        <w:spacing w:after="0" w:line="250" w:lineRule="auto"/>
        <w:tabs>
          <w:tab w:leader="none" w:pos="15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74" w:lineRule="exact"/>
        <w:rPr>
          <w:rFonts w:ascii="Arial" w:cs="Arial" w:eastAsia="Arial" w:hAnsi="Arial"/>
          <w:sz w:val="22"/>
          <w:szCs w:val="22"/>
          <w:color w:val="auto"/>
        </w:rPr>
      </w:pPr>
    </w:p>
    <w:p>
      <w:pPr>
        <w:ind w:left="1503" w:right="100" w:hanging="755"/>
        <w:spacing w:after="0"/>
        <w:tabs>
          <w:tab w:leader="none" w:pos="15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86" w:lineRule="exact"/>
        <w:rPr>
          <w:rFonts w:ascii="Arial" w:cs="Arial" w:eastAsia="Arial" w:hAnsi="Arial"/>
          <w:sz w:val="22"/>
          <w:szCs w:val="22"/>
          <w:color w:val="auto"/>
        </w:rPr>
      </w:pPr>
    </w:p>
    <w:p>
      <w:pPr>
        <w:ind w:left="4823" w:hanging="136"/>
        <w:spacing w:after="0"/>
        <w:tabs>
          <w:tab w:leader="none" w:pos="4823" w:val="left"/>
        </w:tabs>
        <w:numPr>
          <w:ilvl w:val="1"/>
          <w:numId w:val="3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21" w:right="339" w:bottom="1440" w:gutter="0" w:footer="0" w:header="0"/>
        </w:sectPr>
      </w:pPr>
    </w:p>
    <w:bookmarkStart w:id="49" w:name="page50"/>
    <w:bookmarkEnd w:id="49"/>
    <w:p>
      <w:pPr>
        <w:ind w:left="-757" w:right="680" w:firstLine="757"/>
        <w:spacing w:after="0" w:line="250" w:lineRule="auto"/>
        <w:tabs>
          <w:tab w:leader="none" w:pos="74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5" w:lineRule="exact"/>
        <w:rPr>
          <w:sz w:val="20"/>
          <w:szCs w:val="20"/>
          <w:color w:val="auto"/>
        </w:rPr>
      </w:pPr>
    </w:p>
    <w:p>
      <w:pPr>
        <w:ind w:left="743" w:right="1820"/>
        <w:spacing w:after="0" w:line="246" w:lineRule="auto"/>
        <w:rPr>
          <w:sz w:val="20"/>
          <w:szCs w:val="20"/>
          <w:color w:val="auto"/>
        </w:rPr>
      </w:pPr>
      <w:r>
        <w:rPr>
          <w:rFonts w:ascii="Arial" w:cs="Arial" w:eastAsia="Arial" w:hAnsi="Arial"/>
          <w:sz w:val="21"/>
          <w:szCs w:val="21"/>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84" w:lineRule="exact"/>
        <w:rPr>
          <w:sz w:val="20"/>
          <w:szCs w:val="20"/>
          <w:color w:val="auto"/>
        </w:rPr>
      </w:pPr>
    </w:p>
    <w:p>
      <w:pPr>
        <w:ind w:left="-757" w:right="20" w:firstLine="757"/>
        <w:spacing w:after="0" w:line="272" w:lineRule="auto"/>
        <w:tabs>
          <w:tab w:leader="none" w:pos="74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60" w:lineRule="exact"/>
        <w:rPr>
          <w:rFonts w:ascii="Arial" w:cs="Arial" w:eastAsia="Arial" w:hAnsi="Arial"/>
          <w:sz w:val="19"/>
          <w:szCs w:val="19"/>
          <w:color w:val="auto"/>
        </w:rPr>
      </w:pPr>
    </w:p>
    <w:p>
      <w:pPr>
        <w:ind w:left="-757" w:right="40" w:firstLine="757"/>
        <w:spacing w:after="0" w:line="234" w:lineRule="auto"/>
        <w:tabs>
          <w:tab w:leader="none" w:pos="74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 obligations. Further, any dividends paid to you pursuant to Section 5 above prior to the end of the Restriction Period will generally be subject to federal, state and local withholding, as appropriate, as additional compensation.</w:t>
      </w:r>
    </w:p>
    <w:p>
      <w:pPr>
        <w:spacing w:after="0" w:line="190" w:lineRule="exact"/>
        <w:rPr>
          <w:rFonts w:ascii="Arial" w:cs="Arial" w:eastAsia="Arial" w:hAnsi="Arial"/>
          <w:sz w:val="22"/>
          <w:szCs w:val="22"/>
          <w:color w:val="auto"/>
        </w:rPr>
      </w:pPr>
    </w:p>
    <w:p>
      <w:pPr>
        <w:ind w:left="-757" w:firstLine="757"/>
        <w:spacing w:after="0" w:line="274" w:lineRule="auto"/>
        <w:tabs>
          <w:tab w:leader="none" w:pos="74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this Agreement constitute the entire agreement of the Company and the Grantee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w:t>
      </w:r>
    </w:p>
    <w:p>
      <w:pPr>
        <w:spacing w:after="0" w:line="158" w:lineRule="exact"/>
        <w:rPr>
          <w:rFonts w:ascii="Arial" w:cs="Arial" w:eastAsia="Arial" w:hAnsi="Arial"/>
          <w:sz w:val="19"/>
          <w:szCs w:val="19"/>
          <w:color w:val="auto"/>
        </w:rPr>
      </w:pPr>
    </w:p>
    <w:p>
      <w:pPr>
        <w:ind w:left="4823" w:hanging="136"/>
        <w:spacing w:after="0"/>
        <w:tabs>
          <w:tab w:leader="none" w:pos="4823" w:val="left"/>
        </w:tabs>
        <w:numPr>
          <w:ilvl w:val="1"/>
          <w:numId w:val="32"/>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1" w:right="35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to the fullest extent allowed by law and the other provisions shall nevertheless remain effective and shall remain enforceable.</w:t>
      </w:r>
    </w:p>
    <w:p>
      <w:pPr>
        <w:spacing w:after="0" w:line="241" w:lineRule="exact"/>
        <w:rPr>
          <w:sz w:val="20"/>
          <w:szCs w:val="20"/>
          <w:color w:val="auto"/>
        </w:rPr>
      </w:pPr>
    </w:p>
    <w:p>
      <w:pPr>
        <w:ind w:firstLine="757"/>
        <w:spacing w:after="0" w:line="282" w:lineRule="auto"/>
        <w:tabs>
          <w:tab w:leader="none" w:pos="149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47" w:lineRule="exact"/>
        <w:rPr>
          <w:rFonts w:ascii="Arial" w:cs="Arial" w:eastAsia="Arial" w:hAnsi="Arial"/>
          <w:sz w:val="19"/>
          <w:szCs w:val="19"/>
          <w:color w:val="auto"/>
        </w:rPr>
      </w:pPr>
    </w:p>
    <w:p>
      <w:pPr>
        <w:ind w:right="80" w:firstLine="757"/>
        <w:spacing w:after="0" w:line="249" w:lineRule="auto"/>
        <w:tabs>
          <w:tab w:leader="none" w:pos="1498"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78" w:lineRule="exact"/>
        <w:rPr>
          <w:rFonts w:ascii="Arial" w:cs="Arial" w:eastAsia="Arial" w:hAnsi="Arial"/>
          <w:sz w:val="21"/>
          <w:szCs w:val="21"/>
          <w:color w:val="auto"/>
        </w:rPr>
      </w:pPr>
    </w:p>
    <w:p>
      <w:pPr>
        <w:ind w:right="120" w:firstLine="757"/>
        <w:spacing w:after="0" w:line="236" w:lineRule="auto"/>
        <w:tabs>
          <w:tab w:leader="none" w:pos="149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This Award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Award (or amounts paid in respect thereof) following a Change in Control.</w:t>
      </w:r>
    </w:p>
    <w:p>
      <w:pPr>
        <w:spacing w:after="0" w:line="187" w:lineRule="exact"/>
        <w:rPr>
          <w:rFonts w:ascii="Arial" w:cs="Arial" w:eastAsia="Arial" w:hAnsi="Arial"/>
          <w:sz w:val="22"/>
          <w:szCs w:val="22"/>
          <w:color w:val="auto"/>
        </w:rPr>
      </w:pPr>
    </w:p>
    <w:p>
      <w:pPr>
        <w:jc w:val="both"/>
        <w:ind w:right="280" w:firstLine="757"/>
        <w:spacing w:after="0" w:line="238" w:lineRule="auto"/>
        <w:tabs>
          <w:tab w:leader="none" w:pos="149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1" w:name="page52"/>
    <w:bookmarkEnd w:id="51"/>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tbl>
      <w:tblPr>
        <w:tblLayout w:type="fixed"/>
        <w:tblInd w:w="4900" w:type="dxa"/>
        <w:tblCellMar>
          <w:top w:w="0" w:type="dxa"/>
          <w:left w:w="0" w:type="dxa"/>
          <w:bottom w:w="0" w:type="dxa"/>
          <w:right w:w="0" w:type="dxa"/>
        </w:tblCellMar>
      </w:tblPr>
      <w:tr>
        <w:trPr>
          <w:trHeight w:val="264"/>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2"/>
                <w:szCs w:val="22"/>
                <w:color w:val="auto"/>
              </w:rPr>
            </w:pPr>
          </w:p>
        </w:tc>
      </w:tr>
      <w:tr>
        <w:trPr>
          <w:trHeight w:val="490"/>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428"/>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85" w:lineRule="exact"/>
        <w:rPr>
          <w:sz w:val="20"/>
          <w:szCs w:val="20"/>
          <w:color w:val="auto"/>
        </w:rPr>
      </w:pPr>
    </w:p>
    <w:p>
      <w:pPr>
        <w:ind w:right="220" w:firstLine="432"/>
        <w:spacing w:after="0" w:line="249"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5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GRANTEE:</w:t>
      </w:r>
    </w:p>
    <w:p>
      <w:pPr>
        <w:sectPr>
          <w:pgSz w:w="11900" w:h="16838" w:orient="portrait"/>
          <w:cols w:equalWidth="0" w:num="1">
            <w:col w:w="11240"/>
          </w:cols>
          <w:pgMar w:left="320" w:top="31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Signed:</w:t>
      </w:r>
    </w:p>
    <w:p>
      <w:pPr>
        <w:spacing w:after="0" w:line="26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w:t>
      </w:r>
    </w:p>
    <w:p>
      <w:pPr>
        <w:spacing w:after="0" w:line="720" w:lineRule="exact"/>
        <w:rPr>
          <w:sz w:val="20"/>
          <w:szCs w:val="20"/>
          <w:color w:val="auto"/>
        </w:rPr>
      </w:pPr>
    </w:p>
    <w:p>
      <w:pPr>
        <w:sectPr>
          <w:pgSz w:w="11900" w:h="16838" w:orient="portrait"/>
          <w:cols w:equalWidth="0" w:num="2">
            <w:col w:w="5560" w:space="520"/>
            <w:col w:w="5160"/>
          </w:cols>
          <w:pgMar w:left="320" w:top="315" w:right="339" w:bottom="1440" w:gutter="0" w:footer="0" w:header="0"/>
          <w:type w:val="continuous"/>
        </w:sectPr>
      </w:pPr>
    </w:p>
    <w:p>
      <w:pPr>
        <w:spacing w:after="0" w:line="249"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240"/>
          </w:cols>
          <w:pgMar w:left="320" w:top="3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CHANGE-IN-CONTROL</w:t>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10" w:lineRule="exact"/>
        <w:rPr>
          <w:sz w:val="20"/>
          <w:szCs w:val="20"/>
          <w:color w:val="auto"/>
        </w:rPr>
      </w:pPr>
    </w:p>
    <w:p>
      <w:pPr>
        <w:ind w:right="100" w:firstLine="757"/>
        <w:spacing w:after="0" w:line="246" w:lineRule="auto"/>
        <w:tabs>
          <w:tab w:leader="none" w:pos="1685"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76" w:lineRule="exact"/>
        <w:rPr>
          <w:rFonts w:ascii="Arial" w:cs="Arial" w:eastAsia="Arial" w:hAnsi="Arial"/>
          <w:sz w:val="21"/>
          <w:szCs w:val="21"/>
          <w:color w:val="auto"/>
        </w:rPr>
      </w:pPr>
    </w:p>
    <w:p>
      <w:pPr>
        <w:ind w:firstLine="757"/>
        <w:spacing w:after="0" w:line="275" w:lineRule="auto"/>
        <w:tabs>
          <w:tab w:leader="none" w:pos="1685"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rFonts w:ascii="Arial" w:cs="Arial" w:eastAsia="Arial" w:hAnsi="Arial"/>
          <w:sz w:val="19"/>
          <w:szCs w:val="19"/>
          <w:color w:val="auto"/>
        </w:rPr>
      </w:pPr>
    </w:p>
    <w:p>
      <w:pPr>
        <w:ind w:firstLine="757"/>
        <w:spacing w:after="0" w:line="272" w:lineRule="auto"/>
        <w:tabs>
          <w:tab w:leader="none" w:pos="1685"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295" w:lineRule="exact"/>
        <w:rPr>
          <w:rFonts w:ascii="Arial" w:cs="Arial" w:eastAsia="Arial" w:hAnsi="Arial"/>
          <w:sz w:val="19"/>
          <w:szCs w:val="19"/>
          <w:color w:val="auto"/>
        </w:rPr>
      </w:pPr>
    </w:p>
    <w:p>
      <w:pPr>
        <w:ind w:right="20" w:firstLine="757"/>
        <w:spacing w:after="0" w:line="248" w:lineRule="auto"/>
        <w:tabs>
          <w:tab w:leader="none" w:pos="1685" w:val="left"/>
        </w:tabs>
        <w:numPr>
          <w:ilvl w:val="0"/>
          <w:numId w:val="34"/>
        </w:numPr>
        <w:rPr>
          <w:rFonts w:ascii="Arial" w:cs="Arial" w:eastAsia="Arial" w:hAnsi="Arial"/>
          <w:sz w:val="21"/>
          <w:szCs w:val="21"/>
          <w:color w:val="auto"/>
        </w:rPr>
      </w:pPr>
      <w:r>
        <w:rPr>
          <w:rFonts w:ascii="Arial" w:cs="Arial" w:eastAsia="Arial" w:hAnsi="Arial"/>
          <w:sz w:val="21"/>
          <w:szCs w:val="21"/>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9"/>
          <w:szCs w:val="19"/>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98" w:lineRule="exact"/>
        <w:rPr>
          <w:sz w:val="20"/>
          <w:szCs w:val="20"/>
          <w:color w:val="auto"/>
        </w:rPr>
      </w:pPr>
    </w:p>
    <w:p>
      <w:pPr>
        <w:ind w:left="1500" w:hanging="7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98" w:lineRule="exact"/>
        <w:rPr>
          <w:rFonts w:ascii="Arial" w:cs="Arial" w:eastAsia="Arial" w:hAnsi="Arial"/>
          <w:sz w:val="22"/>
          <w:szCs w:val="22"/>
          <w:color w:val="auto"/>
        </w:rPr>
      </w:pPr>
    </w:p>
    <w:p>
      <w:pPr>
        <w:ind w:left="1500" w:hanging="7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98" w:lineRule="exact"/>
        <w:rPr>
          <w:rFonts w:ascii="Arial" w:cs="Arial" w:eastAsia="Arial" w:hAnsi="Arial"/>
          <w:sz w:val="22"/>
          <w:szCs w:val="22"/>
          <w:color w:val="auto"/>
        </w:rPr>
      </w:pPr>
    </w:p>
    <w:p>
      <w:pPr>
        <w:ind w:left="1500" w:right="40" w:hanging="743"/>
        <w:spacing w:after="0" w:line="250" w:lineRule="auto"/>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66" w:lineRule="exact"/>
        <w:rPr>
          <w:rFonts w:ascii="Arial" w:cs="Arial" w:eastAsia="Arial" w:hAnsi="Arial"/>
          <w:sz w:val="22"/>
          <w:szCs w:val="22"/>
          <w:color w:val="auto"/>
        </w:rPr>
      </w:pPr>
    </w:p>
    <w:p>
      <w:pPr>
        <w:ind w:left="1500" w:right="40" w:hanging="7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78" w:lineRule="exact"/>
        <w:rPr>
          <w:rFonts w:ascii="Arial" w:cs="Arial" w:eastAsia="Arial" w:hAnsi="Arial"/>
          <w:sz w:val="22"/>
          <w:szCs w:val="22"/>
          <w:color w:val="auto"/>
        </w:rPr>
      </w:pPr>
    </w:p>
    <w:p>
      <w:pPr>
        <w:ind w:left="1500" w:hanging="743"/>
        <w:spacing w:after="0"/>
        <w:tabs>
          <w:tab w:leader="none" w:pos="1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32" w:lineRule="exact"/>
        <w:rPr>
          <w:rFonts w:ascii="Arial" w:cs="Arial" w:eastAsia="Arial" w:hAnsi="Arial"/>
          <w:sz w:val="19"/>
          <w:szCs w:val="19"/>
          <w:color w:val="auto"/>
        </w:rPr>
      </w:pPr>
    </w:p>
    <w:p>
      <w:pPr>
        <w:ind w:left="1500" w:hanging="7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98" w:lineRule="exact"/>
        <w:rPr>
          <w:rFonts w:ascii="Arial" w:cs="Arial" w:eastAsia="Arial" w:hAnsi="Arial"/>
          <w:sz w:val="22"/>
          <w:szCs w:val="22"/>
          <w:color w:val="auto"/>
        </w:rPr>
      </w:pPr>
    </w:p>
    <w:p>
      <w:pPr>
        <w:ind w:left="1500" w:right="220" w:hanging="743"/>
        <w:spacing w:after="0" w:line="238" w:lineRule="auto"/>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76" w:lineRule="exact"/>
        <w:rPr>
          <w:rFonts w:ascii="Arial" w:cs="Arial" w:eastAsia="Arial" w:hAnsi="Arial"/>
          <w:sz w:val="22"/>
          <w:szCs w:val="22"/>
          <w:color w:val="auto"/>
        </w:rPr>
      </w:pPr>
    </w:p>
    <w:p>
      <w:pPr>
        <w:jc w:val="both"/>
        <w:ind w:left="1500" w:right="80" w:hanging="743"/>
        <w:spacing w:after="0" w:line="252" w:lineRule="auto"/>
        <w:tabs>
          <w:tab w:leader="none" w:pos="15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i w:val="1"/>
          <w:iCs w:val="1"/>
          <w:color w:val="auto"/>
        </w:rPr>
        <w:t>Major Asset Disposition</w:t>
      </w:r>
      <w:r>
        <w:rPr>
          <w:rFonts w:ascii="Arial" w:cs="Arial" w:eastAsia="Arial" w:hAnsi="Arial"/>
          <w:sz w:val="21"/>
          <w:szCs w:val="21"/>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65" w:lineRule="exact"/>
        <w:rPr>
          <w:rFonts w:ascii="Arial" w:cs="Arial" w:eastAsia="Arial" w:hAnsi="Arial"/>
          <w:sz w:val="21"/>
          <w:szCs w:val="21"/>
          <w:color w:val="auto"/>
        </w:rPr>
      </w:pPr>
    </w:p>
    <w:p>
      <w:pPr>
        <w:ind w:left="1500" w:right="80" w:hanging="743"/>
        <w:spacing w:after="0" w:line="238" w:lineRule="auto"/>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76" w:lineRule="exact"/>
        <w:rPr>
          <w:rFonts w:ascii="Arial" w:cs="Arial" w:eastAsia="Arial" w:hAnsi="Arial"/>
          <w:sz w:val="22"/>
          <w:szCs w:val="22"/>
          <w:color w:val="auto"/>
        </w:rPr>
      </w:pPr>
    </w:p>
    <w:p>
      <w:pPr>
        <w:ind w:left="1500" w:right="20" w:hanging="743"/>
        <w:spacing w:after="0" w:line="279" w:lineRule="auto"/>
        <w:tabs>
          <w:tab w:leader="none" w:pos="1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INCENTIVE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NON-QUALIFIED STOCK OPTION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Vesting)</w:t>
      </w:r>
    </w:p>
    <w:p>
      <w:pPr>
        <w:spacing w:after="0" w:line="200" w:lineRule="exact"/>
        <w:rPr>
          <w:sz w:val="20"/>
          <w:szCs w:val="20"/>
          <w:color w:val="auto"/>
        </w:rPr>
      </w:pPr>
    </w:p>
    <w:p>
      <w:pPr>
        <w:spacing w:after="0" w:line="215" w:lineRule="exact"/>
        <w:rPr>
          <w:sz w:val="20"/>
          <w:szCs w:val="20"/>
          <w:color w:val="auto"/>
        </w:rPr>
      </w:pPr>
    </w:p>
    <w:p>
      <w:pPr>
        <w:ind w:right="140" w:firstLine="749"/>
        <w:spacing w:after="0" w:line="262" w:lineRule="auto"/>
        <w:rPr>
          <w:sz w:val="20"/>
          <w:szCs w:val="20"/>
          <w:color w:val="auto"/>
        </w:rPr>
      </w:pPr>
      <w:r>
        <w:rPr>
          <w:rFonts w:ascii="Arial" w:cs="Arial" w:eastAsia="Arial" w:hAnsi="Arial"/>
          <w:sz w:val="20"/>
          <w:szCs w:val="20"/>
          <w:color w:val="auto"/>
        </w:rPr>
        <w:t>This option agreement (the “</w:t>
      </w:r>
      <w:r>
        <w:rPr>
          <w:rFonts w:ascii="Arial" w:cs="Arial" w:eastAsia="Arial" w:hAnsi="Arial"/>
          <w:sz w:val="20"/>
          <w:szCs w:val="20"/>
          <w:u w:val="single" w:color="auto"/>
          <w:color w:val="auto"/>
        </w:rPr>
        <w:t>Option Agreement</w:t>
      </w:r>
      <w:r>
        <w:rPr>
          <w:rFonts w:ascii="Arial" w:cs="Arial" w:eastAsia="Arial" w:hAnsi="Arial"/>
          <w:sz w:val="20"/>
          <w:szCs w:val="20"/>
          <w:color w:val="auto"/>
        </w:rPr>
        <w:t>” or “</w:t>
      </w:r>
      <w:r>
        <w:rPr>
          <w:rFonts w:ascii="Arial" w:cs="Arial" w:eastAsia="Arial" w:hAnsi="Arial"/>
          <w:sz w:val="20"/>
          <w:szCs w:val="20"/>
          <w:u w:val="single" w:color="auto"/>
          <w:color w:val="auto"/>
        </w:rPr>
        <w:t>Agreement</w:t>
      </w:r>
      <w:r>
        <w:rPr>
          <w:rFonts w:ascii="Arial" w:cs="Arial" w:eastAsia="Arial" w:hAnsi="Arial"/>
          <w:sz w:val="20"/>
          <w:szCs w:val="20"/>
          <w:color w:val="auto"/>
        </w:rPr>
        <w:t>”) entered into between E</w:t>
      </w:r>
      <w:r>
        <w:rPr>
          <w:rFonts w:ascii="Arial" w:cs="Arial" w:eastAsia="Arial" w:hAnsi="Arial"/>
          <w:sz w:val="13"/>
          <w:szCs w:val="13"/>
          <w:color w:val="auto"/>
        </w:rPr>
        <w:t>AGLE</w:t>
      </w:r>
      <w:r>
        <w:rPr>
          <w:rFonts w:ascii="Arial" w:cs="Arial" w:eastAsia="Arial" w:hAnsi="Arial"/>
          <w:sz w:val="20"/>
          <w:szCs w:val="20"/>
          <w:color w:val="auto"/>
        </w:rPr>
        <w:t xml:space="preserve"> M</w:t>
      </w:r>
      <w:r>
        <w:rPr>
          <w:rFonts w:ascii="Arial" w:cs="Arial" w:eastAsia="Arial" w:hAnsi="Arial"/>
          <w:sz w:val="13"/>
          <w:szCs w:val="13"/>
          <w:color w:val="auto"/>
        </w:rPr>
        <w:t>ATERIALS</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___________ (the “</w:t>
      </w:r>
      <w:r>
        <w:rPr>
          <w:rFonts w:ascii="Arial" w:cs="Arial" w:eastAsia="Arial" w:hAnsi="Arial"/>
          <w:sz w:val="20"/>
          <w:szCs w:val="20"/>
          <w:u w:val="single" w:color="auto"/>
          <w:color w:val="auto"/>
        </w:rPr>
        <w:t>Optionee</w:t>
      </w:r>
      <w:r>
        <w:rPr>
          <w:rFonts w:ascii="Arial" w:cs="Arial" w:eastAsia="Arial" w:hAnsi="Arial"/>
          <w:sz w:val="20"/>
          <w:szCs w:val="20"/>
          <w:color w:val="auto"/>
        </w:rPr>
        <w:t>”), an employee of the Company or its Affiliates, with</w:t>
      </w:r>
    </w:p>
    <w:p>
      <w:pPr>
        <w:spacing w:after="0" w:line="2" w:lineRule="exact"/>
        <w:rPr>
          <w:sz w:val="20"/>
          <w:szCs w:val="20"/>
          <w:color w:val="auto"/>
        </w:rPr>
      </w:pPr>
    </w:p>
    <w:p>
      <w:pPr>
        <w:ind w:right="300"/>
        <w:spacing w:after="0" w:line="266" w:lineRule="auto"/>
        <w:rPr>
          <w:sz w:val="20"/>
          <w:szCs w:val="20"/>
          <w:color w:val="auto"/>
        </w:rPr>
      </w:pPr>
      <w:r>
        <w:rPr>
          <w:rFonts w:ascii="Arial" w:cs="Arial" w:eastAsia="Arial" w:hAnsi="Arial"/>
          <w:sz w:val="19"/>
          <w:szCs w:val="19"/>
          <w:color w:val="auto"/>
        </w:rPr>
        <w:t>respect to a right (the “Option”) awarded to the Optionee under the Eagle Materials Inc. Amended and Restated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on May 19, 2022 (the “</w:t>
      </w:r>
      <w:r>
        <w:rPr>
          <w:rFonts w:ascii="Arial" w:cs="Arial" w:eastAsia="Arial" w:hAnsi="Arial"/>
          <w:sz w:val="19"/>
          <w:szCs w:val="19"/>
          <w:u w:val="single" w:color="auto"/>
          <w:color w:val="auto"/>
        </w:rPr>
        <w:t>Award Date</w:t>
      </w:r>
      <w:r>
        <w:rPr>
          <w:rFonts w:ascii="Arial" w:cs="Arial" w:eastAsia="Arial" w:hAnsi="Arial"/>
          <w:sz w:val="19"/>
          <w:szCs w:val="19"/>
          <w:color w:val="auto"/>
        </w:rPr>
        <w:t>”) to purchase from the Company up to but not exceeding in the aggregate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______ shares of the Company’s common stock, par value $0.01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 price of $126.22 per share</w:t>
      </w:r>
    </w:p>
    <w:p>
      <w:pPr>
        <w:spacing w:after="0" w:line="25"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Exercise Price</w:t>
      </w:r>
      <w:r>
        <w:rPr>
          <w:rFonts w:ascii="Arial" w:cs="Arial" w:eastAsia="Arial" w:hAnsi="Arial"/>
          <w:sz w:val="22"/>
          <w:szCs w:val="22"/>
          <w:color w:val="auto"/>
        </w:rPr>
        <w:t>”), such number of shares and such price per share being subject to adjustment as provided in the Plan, and further subject to the following terms and conditions:</w:t>
      </w:r>
    </w:p>
    <w:p>
      <w:pPr>
        <w:spacing w:after="0" w:line="187" w:lineRule="exact"/>
        <w:rPr>
          <w:sz w:val="20"/>
          <w:szCs w:val="20"/>
          <w:color w:val="auto"/>
        </w:rPr>
      </w:pPr>
    </w:p>
    <w:p>
      <w:pPr>
        <w:ind w:left="2260" w:hanging="1503"/>
        <w:spacing w:after="0"/>
        <w:tabs>
          <w:tab w:leader="none" w:pos="2260" w:val="left"/>
        </w:tabs>
        <w:numPr>
          <w:ilvl w:val="0"/>
          <w:numId w:val="3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Relationship to Plan</w:t>
      </w:r>
    </w:p>
    <w:p>
      <w:pPr>
        <w:spacing w:after="0" w:line="206" w:lineRule="exact"/>
        <w:rPr>
          <w:sz w:val="20"/>
          <w:szCs w:val="20"/>
          <w:color w:val="auto"/>
        </w:rPr>
      </w:pPr>
    </w:p>
    <w:p>
      <w:pPr>
        <w:ind w:right="20" w:firstLine="432"/>
        <w:spacing w:after="0" w:line="238" w:lineRule="auto"/>
        <w:rPr>
          <w:sz w:val="20"/>
          <w:szCs w:val="20"/>
          <w:color w:val="auto"/>
        </w:rPr>
      </w:pPr>
      <w:r>
        <w:rPr>
          <w:rFonts w:ascii="Arial" w:cs="Arial" w:eastAsia="Arial" w:hAnsi="Arial"/>
          <w:sz w:val="22"/>
          <w:szCs w:val="22"/>
          <w:color w:val="auto"/>
        </w:rPr>
        <w:t>This Option is subject to all of the terms, conditions and provisions of the Plan and administrative interpretations thereunder, if any, which have been adopted by the Company’s Compensation Committee (“</w:t>
      </w:r>
      <w:r>
        <w:rPr>
          <w:rFonts w:ascii="Arial" w:cs="Arial" w:eastAsia="Arial" w:hAnsi="Arial"/>
          <w:sz w:val="22"/>
          <w:szCs w:val="22"/>
          <w:u w:val="single" w:color="auto"/>
          <w:color w:val="auto"/>
        </w:rPr>
        <w:t>Committee</w:t>
      </w:r>
      <w:r>
        <w:rPr>
          <w:rFonts w:ascii="Arial" w:cs="Arial" w:eastAsia="Arial" w:hAnsi="Arial"/>
          <w:sz w:val="22"/>
          <w:szCs w:val="22"/>
          <w:color w:val="auto"/>
        </w:rPr>
        <w:t>”) and are in effect on the date hereof. Except as defined herein, capitalized terms shall have the same meanings ascribed to them under the Plan. For purposes of this Option Agreement:</w:t>
      </w:r>
    </w:p>
    <w:p>
      <w:pPr>
        <w:spacing w:after="0" w:line="185" w:lineRule="exact"/>
        <w:rPr>
          <w:sz w:val="20"/>
          <w:szCs w:val="20"/>
          <w:color w:val="auto"/>
        </w:rPr>
      </w:pPr>
    </w:p>
    <w:p>
      <w:pPr>
        <w:ind w:left="3000" w:hanging="1495"/>
        <w:spacing w:after="0"/>
        <w:tabs>
          <w:tab w:leader="none" w:pos="3000" w:val="left"/>
        </w:tabs>
        <w:numPr>
          <w:ilvl w:val="2"/>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shall be determined by the Committee.</w:t>
      </w:r>
    </w:p>
    <w:p>
      <w:pPr>
        <w:spacing w:after="0" w:line="206" w:lineRule="exact"/>
        <w:rPr>
          <w:rFonts w:ascii="Arial" w:cs="Arial" w:eastAsia="Arial" w:hAnsi="Arial"/>
          <w:sz w:val="22"/>
          <w:szCs w:val="22"/>
          <w:color w:val="auto"/>
        </w:rPr>
      </w:pPr>
    </w:p>
    <w:p>
      <w:pPr>
        <w:jc w:val="both"/>
        <w:ind w:firstLine="1505"/>
        <w:spacing w:after="0"/>
        <w:tabs>
          <w:tab w:leader="none" w:pos="2995" w:val="left"/>
        </w:tabs>
        <w:numPr>
          <w:ilvl w:val="2"/>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Return on Equity</w:t>
      </w:r>
      <w:r>
        <w:rPr>
          <w:rFonts w:ascii="Arial" w:cs="Arial" w:eastAsia="Arial" w:hAnsi="Arial"/>
          <w:sz w:val="22"/>
          <w:szCs w:val="22"/>
          <w:color w:val="auto"/>
        </w:rPr>
        <w:t>” for any fiscal year shall mean the following calculation (as determined by the Committee): (i) the net earnings of the Company for such fiscal year; divided by (ii) the Company’s Average Stockholders’ Equity for such fiscal year.</w:t>
      </w:r>
    </w:p>
    <w:p>
      <w:pPr>
        <w:spacing w:after="0" w:line="186" w:lineRule="exact"/>
        <w:rPr>
          <w:rFonts w:ascii="Arial" w:cs="Arial" w:eastAsia="Arial" w:hAnsi="Arial"/>
          <w:sz w:val="22"/>
          <w:szCs w:val="22"/>
          <w:color w:val="auto"/>
        </w:rPr>
      </w:pPr>
    </w:p>
    <w:p>
      <w:pPr>
        <w:jc w:val="both"/>
        <w:ind w:firstLine="1505"/>
        <w:spacing w:after="0"/>
        <w:tabs>
          <w:tab w:leader="none" w:pos="2995" w:val="left"/>
        </w:tabs>
        <w:numPr>
          <w:ilvl w:val="2"/>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Average Stockholders’ Equity</w:t>
      </w:r>
      <w:r>
        <w:rPr>
          <w:rFonts w:ascii="Arial" w:cs="Arial" w:eastAsia="Arial" w:hAnsi="Arial"/>
          <w:sz w:val="22"/>
          <w:szCs w:val="22"/>
          <w:color w:val="auto"/>
        </w:rPr>
        <w:t>” for any period shall mean: (i) the Company’s total stockholders’ equity as of the beginning of such period plus the Company’s total stockholders’ equity at the end of such period; divided by (ii) 2.</w:t>
      </w:r>
    </w:p>
    <w:p>
      <w:pPr>
        <w:spacing w:after="0" w:line="186" w:lineRule="exact"/>
        <w:rPr>
          <w:rFonts w:ascii="Arial" w:cs="Arial" w:eastAsia="Arial" w:hAnsi="Arial"/>
          <w:sz w:val="22"/>
          <w:szCs w:val="22"/>
          <w:color w:val="auto"/>
        </w:rPr>
      </w:pPr>
    </w:p>
    <w:p>
      <w:pPr>
        <w:ind w:left="3000" w:hanging="1495"/>
        <w:spacing w:after="0"/>
        <w:tabs>
          <w:tab w:leader="none" w:pos="3000" w:val="left"/>
        </w:tabs>
        <w:numPr>
          <w:ilvl w:val="2"/>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a retirement approved by the Board.</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2"/>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Service Vesting Date</w:t>
      </w:r>
      <w:r>
        <w:rPr>
          <w:rFonts w:ascii="Arial" w:cs="Arial" w:eastAsia="Arial" w:hAnsi="Arial"/>
          <w:sz w:val="19"/>
          <w:szCs w:val="19"/>
          <w:color w:val="auto"/>
        </w:rPr>
        <w:t>” means the first, second or third anniversary of the end of the Performance Period,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applicable.</w:t>
      </w:r>
    </w:p>
    <w:p>
      <w:pPr>
        <w:spacing w:after="0" w:line="188" w:lineRule="exact"/>
        <w:rPr>
          <w:rFonts w:ascii="Arial" w:cs="Arial" w:eastAsia="Arial" w:hAnsi="Arial"/>
          <w:sz w:val="19"/>
          <w:szCs w:val="19"/>
          <w:color w:val="auto"/>
        </w:rPr>
      </w:pPr>
    </w:p>
    <w:p>
      <w:pPr>
        <w:ind w:left="1300" w:hanging="428"/>
        <w:spacing w:after="0"/>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means the period commencing on April 1, 2022 and ending on March 31, 2023.</w:t>
      </w:r>
    </w:p>
    <w:p>
      <w:pPr>
        <w:spacing w:after="0" w:line="206" w:lineRule="exact"/>
        <w:rPr>
          <w:rFonts w:ascii="Arial" w:cs="Arial" w:eastAsia="Arial" w:hAnsi="Arial"/>
          <w:sz w:val="22"/>
          <w:szCs w:val="22"/>
          <w:color w:val="auto"/>
        </w:rPr>
      </w:pPr>
    </w:p>
    <w:p>
      <w:pPr>
        <w:ind w:left="2260" w:hanging="1503"/>
        <w:spacing w:after="0"/>
        <w:tabs>
          <w:tab w:leader="none" w:pos="2260" w:val="left"/>
        </w:tabs>
        <w:numPr>
          <w:ilvl w:val="0"/>
          <w:numId w:val="3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Vesting and Exercise Schedules</w:t>
      </w:r>
      <w:r>
        <w:rPr>
          <w:rFonts w:ascii="Arial" w:cs="Arial" w:eastAsia="Arial" w:hAnsi="Arial"/>
          <w:sz w:val="22"/>
          <w:szCs w:val="22"/>
          <w:i w:val="1"/>
          <w:iCs w:val="1"/>
          <w:color w:val="auto"/>
        </w:rPr>
        <w:t>.</w:t>
      </w:r>
    </w:p>
    <w:p>
      <w:pPr>
        <w:spacing w:after="0" w:line="206" w:lineRule="exact"/>
        <w:rPr>
          <w:rFonts w:ascii="Arial" w:cs="Arial" w:eastAsia="Arial" w:hAnsi="Arial"/>
          <w:sz w:val="22"/>
          <w:szCs w:val="22"/>
          <w:b w:val="1"/>
          <w:bCs w:val="1"/>
          <w:i w:val="1"/>
          <w:iCs w:val="1"/>
          <w:color w:val="auto"/>
        </w:rPr>
      </w:pPr>
    </w:p>
    <w:p>
      <w:pPr>
        <w:ind w:right="200" w:firstLine="1505"/>
        <w:spacing w:after="0"/>
        <w:tabs>
          <w:tab w:leader="none" w:pos="2433" w:val="left"/>
        </w:tabs>
        <w:numPr>
          <w:ilvl w:val="2"/>
          <w:numId w:val="39"/>
        </w:numPr>
        <w:rPr>
          <w:rFonts w:ascii="Arial" w:cs="Arial" w:eastAsia="Arial" w:hAnsi="Arial"/>
          <w:sz w:val="22"/>
          <w:szCs w:val="22"/>
          <w:color w:val="auto"/>
        </w:rPr>
      </w:pPr>
      <w:r>
        <w:rPr>
          <w:rFonts w:ascii="Arial" w:cs="Arial" w:eastAsia="Arial" w:hAnsi="Arial"/>
          <w:sz w:val="22"/>
          <w:szCs w:val="22"/>
          <w:u w:val="single" w:color="auto"/>
          <w:color w:val="auto"/>
        </w:rPr>
        <w:t>Vesting Criteria</w:t>
      </w:r>
      <w:r>
        <w:rPr>
          <w:rFonts w:ascii="Arial" w:cs="Arial" w:eastAsia="Arial" w:hAnsi="Arial"/>
          <w:sz w:val="22"/>
          <w:szCs w:val="22"/>
          <w:color w:val="auto"/>
        </w:rPr>
        <w:t>. The shares of Common Stock covered by this Option (“</w:t>
      </w:r>
      <w:r>
        <w:rPr>
          <w:rFonts w:ascii="Arial" w:cs="Arial" w:eastAsia="Arial" w:hAnsi="Arial"/>
          <w:sz w:val="22"/>
          <w:szCs w:val="22"/>
          <w:u w:val="single" w:color="auto"/>
          <w:color w:val="auto"/>
        </w:rPr>
        <w:t>Option Shares</w:t>
      </w:r>
      <w:r>
        <w:rPr>
          <w:rFonts w:ascii="Arial" w:cs="Arial" w:eastAsia="Arial" w:hAnsi="Arial"/>
          <w:sz w:val="22"/>
          <w:szCs w:val="22"/>
          <w:color w:val="auto"/>
        </w:rPr>
        <w:t>”) shall vest in accordance with the vesting schedule set forth below in this Section 2 (each such vesting date, a “</w:t>
      </w:r>
      <w:r>
        <w:rPr>
          <w:rFonts w:ascii="Arial" w:cs="Arial" w:eastAsia="Arial" w:hAnsi="Arial"/>
          <w:sz w:val="22"/>
          <w:szCs w:val="22"/>
          <w:u w:val="single" w:color="auto"/>
          <w:color w:val="auto"/>
        </w:rPr>
        <w:t>Vesting Date</w:t>
      </w:r>
      <w:r>
        <w:rPr>
          <w:rFonts w:ascii="Arial" w:cs="Arial" w:eastAsia="Arial" w:hAnsi="Arial"/>
          <w:sz w:val="22"/>
          <w:szCs w:val="22"/>
          <w:color w:val="auto"/>
        </w:rPr>
        <w:t>”) only if the Return on Equity for the fiscal year ending March 31, 2023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ind w:right="160"/>
        <w:spacing w:after="0" w:line="250" w:lineRule="auto"/>
        <w:rPr>
          <w:sz w:val="20"/>
          <w:szCs w:val="20"/>
          <w:color w:val="auto"/>
        </w:rPr>
      </w:pPr>
      <w:r>
        <w:rPr>
          <w:rFonts w:ascii="Arial" w:cs="Arial" w:eastAsia="Arial" w:hAnsi="Arial"/>
          <w:sz w:val="22"/>
          <w:szCs w:val="22"/>
          <w:color w:val="auto"/>
        </w:rPr>
        <w:t>at least 10.0% (the “</w:t>
      </w:r>
      <w:r>
        <w:rPr>
          <w:rFonts w:ascii="Arial" w:cs="Arial" w:eastAsia="Arial" w:hAnsi="Arial"/>
          <w:sz w:val="22"/>
          <w:szCs w:val="22"/>
          <w:u w:val="single" w:color="auto"/>
          <w:color w:val="auto"/>
        </w:rPr>
        <w:t>Performance Criteria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the percentage of Option Shares that will be earned shall be based on the following:</w:t>
      </w:r>
    </w:p>
    <w:p>
      <w:pPr>
        <w:spacing w:after="0" w:line="200" w:lineRule="exact"/>
        <w:rPr>
          <w:sz w:val="20"/>
          <w:szCs w:val="20"/>
          <w:color w:val="auto"/>
        </w:rPr>
      </w:pP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253"/>
        </w:trPr>
        <w:tc>
          <w:tcPr>
            <w:tcW w:w="1240" w:type="dxa"/>
            <w:vAlign w:val="bottom"/>
            <w:gridSpan w:val="2"/>
          </w:tcPr>
          <w:p>
            <w:pPr>
              <w:spacing w:after="0"/>
              <w:rPr>
                <w:sz w:val="20"/>
                <w:szCs w:val="20"/>
                <w:color w:val="auto"/>
              </w:rPr>
            </w:pPr>
            <w:r>
              <w:rPr>
                <w:rFonts w:ascii="Arial" w:cs="Arial" w:eastAsia="Arial" w:hAnsi="Arial"/>
                <w:sz w:val="22"/>
                <w:szCs w:val="22"/>
                <w:b w:val="1"/>
                <w:bCs w:val="1"/>
                <w:color w:val="auto"/>
                <w:w w:val="90"/>
              </w:rPr>
              <w:t>Performance</w:t>
            </w:r>
          </w:p>
        </w:tc>
        <w:tc>
          <w:tcPr>
            <w:tcW w:w="1780" w:type="dxa"/>
            <w:vAlign w:val="bottom"/>
          </w:tcPr>
          <w:p>
            <w:pPr>
              <w:ind w:left="480"/>
              <w:spacing w:after="0"/>
              <w:rPr>
                <w:sz w:val="20"/>
                <w:szCs w:val="20"/>
                <w:color w:val="auto"/>
              </w:rPr>
            </w:pPr>
            <w:r>
              <w:rPr>
                <w:rFonts w:ascii="Arial" w:cs="Arial" w:eastAsia="Arial" w:hAnsi="Arial"/>
                <w:sz w:val="22"/>
                <w:szCs w:val="22"/>
                <w:b w:val="1"/>
                <w:bCs w:val="1"/>
                <w:color w:val="auto"/>
                <w:w w:val="87"/>
              </w:rPr>
              <w:t>Percentage of</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22"/>
                <w:szCs w:val="22"/>
                <w:b w:val="1"/>
                <w:bCs w:val="1"/>
                <w:color w:val="auto"/>
              </w:rPr>
              <w:t>Criteria</w:t>
            </w:r>
          </w:p>
        </w:tc>
        <w:tc>
          <w:tcPr>
            <w:tcW w:w="1780" w:type="dxa"/>
            <w:vAlign w:val="bottom"/>
            <w:tcBorders>
              <w:bottom w:val="single" w:sz="8" w:color="auto"/>
            </w:tcBorders>
          </w:tcPr>
          <w:p>
            <w:pPr>
              <w:ind w:left="60"/>
              <w:spacing w:after="0" w:line="230" w:lineRule="exact"/>
              <w:rPr>
                <w:sz w:val="20"/>
                <w:szCs w:val="20"/>
                <w:color w:val="auto"/>
              </w:rPr>
            </w:pPr>
            <w:r>
              <w:rPr>
                <w:rFonts w:ascii="Arial" w:cs="Arial" w:eastAsia="Arial" w:hAnsi="Arial"/>
                <w:sz w:val="22"/>
                <w:szCs w:val="22"/>
                <w:b w:val="1"/>
                <w:bCs w:val="1"/>
                <w:color w:val="auto"/>
              </w:rPr>
              <w:t>Options Earned</w:t>
            </w: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line="223" w:lineRule="exact"/>
              <w:rPr>
                <w:sz w:val="20"/>
                <w:szCs w:val="20"/>
                <w:color w:val="auto"/>
              </w:rPr>
            </w:pPr>
            <w:r>
              <w:rPr>
                <w:rFonts w:ascii="Arial" w:cs="Arial" w:eastAsia="Arial" w:hAnsi="Arial"/>
                <w:sz w:val="22"/>
                <w:szCs w:val="22"/>
                <w:color w:val="auto"/>
              </w:rPr>
              <w:t>&gt; 20.0%</w:t>
            </w:r>
          </w:p>
        </w:tc>
        <w:tc>
          <w:tcPr>
            <w:tcW w:w="1780" w:type="dxa"/>
            <w:vAlign w:val="bottom"/>
          </w:tcPr>
          <w:p>
            <w:pPr>
              <w:ind w:left="60"/>
              <w:spacing w:after="0" w:line="223" w:lineRule="exact"/>
              <w:rPr>
                <w:sz w:val="20"/>
                <w:szCs w:val="20"/>
                <w:color w:val="auto"/>
              </w:rPr>
            </w:pPr>
            <w:r>
              <w:rPr>
                <w:rFonts w:ascii="Arial" w:cs="Arial" w:eastAsia="Arial" w:hAnsi="Arial"/>
                <w:sz w:val="22"/>
                <w:szCs w:val="22"/>
                <w:color w:val="auto"/>
              </w:rPr>
              <w:t>100.0%</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vMerge w:val="restart"/>
          </w:tcPr>
          <w:p>
            <w:pPr>
              <w:jc w:val="right"/>
              <w:ind w:right="532"/>
              <w:spacing w:after="0"/>
              <w:rPr>
                <w:sz w:val="20"/>
                <w:szCs w:val="20"/>
                <w:color w:val="auto"/>
              </w:rPr>
            </w:pPr>
            <w:r>
              <w:rPr>
                <w:rFonts w:ascii="Arial" w:cs="Arial" w:eastAsia="Arial" w:hAnsi="Arial"/>
                <w:sz w:val="22"/>
                <w:szCs w:val="22"/>
                <w:color w:val="auto"/>
              </w:rPr>
              <w:t>83.3%</w:t>
            </w:r>
          </w:p>
        </w:tc>
        <w:tc>
          <w:tcPr>
            <w:tcW w:w="0" w:type="dxa"/>
            <w:vAlign w:val="bottom"/>
          </w:tcPr>
          <w:p>
            <w:pPr>
              <w:spacing w:after="0" w:line="20" w:lineRule="exact"/>
              <w:rPr>
                <w:sz w:val="1"/>
                <w:szCs w:val="1"/>
                <w:color w:val="auto"/>
              </w:rPr>
            </w:pPr>
          </w:p>
        </w:tc>
      </w:tr>
      <w:tr>
        <w:trPr>
          <w:trHeight w:val="242"/>
        </w:trPr>
        <w:tc>
          <w:tcPr>
            <w:tcW w:w="1240" w:type="dxa"/>
            <w:vAlign w:val="bottom"/>
            <w:gridSpan w:val="2"/>
          </w:tcPr>
          <w:p>
            <w:pPr>
              <w:spacing w:after="0" w:line="242" w:lineRule="exact"/>
              <w:rPr>
                <w:sz w:val="20"/>
                <w:szCs w:val="20"/>
                <w:color w:val="auto"/>
              </w:rPr>
            </w:pPr>
            <w:r>
              <w:rPr>
                <w:rFonts w:ascii="Arial" w:cs="Arial" w:eastAsia="Arial" w:hAnsi="Arial"/>
                <w:sz w:val="22"/>
                <w:szCs w:val="22"/>
                <w:color w:val="auto"/>
              </w:rPr>
              <w:t>15.0%</w:t>
            </w: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240" w:type="dxa"/>
            <w:vAlign w:val="bottom"/>
            <w:gridSpan w:val="2"/>
          </w:tcPr>
          <w:p>
            <w:pPr>
              <w:spacing w:after="0"/>
              <w:rPr>
                <w:sz w:val="20"/>
                <w:szCs w:val="20"/>
                <w:color w:val="auto"/>
              </w:rPr>
            </w:pPr>
            <w:r>
              <w:rPr>
                <w:rFonts w:ascii="Arial" w:cs="Arial" w:eastAsia="Arial" w:hAnsi="Arial"/>
                <w:sz w:val="22"/>
                <w:szCs w:val="22"/>
                <w:color w:val="auto"/>
              </w:rPr>
              <w:t>10.0%</w:t>
            </w:r>
          </w:p>
        </w:tc>
        <w:tc>
          <w:tcPr>
            <w:tcW w:w="1780" w:type="dxa"/>
            <w:vAlign w:val="bottom"/>
          </w:tcPr>
          <w:p>
            <w:pPr>
              <w:jc w:val="right"/>
              <w:ind w:right="532"/>
              <w:spacing w:after="0"/>
              <w:rPr>
                <w:sz w:val="20"/>
                <w:szCs w:val="20"/>
                <w:color w:val="auto"/>
              </w:rPr>
            </w:pPr>
            <w:r>
              <w:rPr>
                <w:rFonts w:ascii="Arial" w:cs="Arial" w:eastAsia="Arial" w:hAnsi="Arial"/>
                <w:sz w:val="22"/>
                <w:szCs w:val="22"/>
                <w:color w:val="auto"/>
              </w:rPr>
              <w:t>66.7%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firstLine="8"/>
        <w:spacing w:after="0" w:line="235" w:lineRule="auto"/>
        <w:tabs>
          <w:tab w:leader="none" w:pos="11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exact percentage of Option Shares earned shall be calculated based on straight-line interpolation between the points shown above with fractional points rounded up to the nearest tenth of a percent. After the end of the Performance Period, the Compensation Committee shall certify whether and to what extent the Performance Criteria has been satisfied (“</w:t>
      </w:r>
      <w:r>
        <w:rPr>
          <w:rFonts w:ascii="Arial" w:cs="Arial" w:eastAsia="Arial" w:hAnsi="Arial"/>
          <w:sz w:val="22"/>
          <w:szCs w:val="22"/>
          <w:u w:val="single" w:color="auto"/>
          <w:color w:val="auto"/>
        </w:rPr>
        <w:t>Certification Date</w:t>
      </w:r>
      <w:r>
        <w:rPr>
          <w:rFonts w:ascii="Arial" w:cs="Arial" w:eastAsia="Arial" w:hAnsi="Arial"/>
          <w:sz w:val="22"/>
          <w:szCs w:val="22"/>
          <w:color w:val="auto"/>
        </w:rPr>
        <w:t>”). If the Performance Criteria has not been satisfied then the Option Shares shall be immediately and automatically forfeited. Upon the Certification Date, any portion of the Option Shares that are not earned in accordance with the provisions above shall be forfeited.</w:t>
      </w:r>
    </w:p>
    <w:p>
      <w:pPr>
        <w:spacing w:after="0" w:line="187" w:lineRule="exact"/>
        <w:rPr>
          <w:rFonts w:ascii="Arial" w:cs="Arial" w:eastAsia="Arial" w:hAnsi="Arial"/>
          <w:sz w:val="22"/>
          <w:szCs w:val="22"/>
          <w:color w:val="auto"/>
        </w:rPr>
      </w:pPr>
    </w:p>
    <w:p>
      <w:pPr>
        <w:ind w:firstLine="1505"/>
        <w:spacing w:after="0" w:line="271" w:lineRule="auto"/>
        <w:tabs>
          <w:tab w:leader="none" w:pos="1929"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i w:val="1"/>
          <w:iCs w:val="1"/>
          <w:color w:val="auto"/>
        </w:rPr>
        <w:t>.</w:t>
      </w:r>
      <w:r>
        <w:rPr>
          <w:rFonts w:ascii="Arial" w:cs="Arial" w:eastAsia="Arial" w:hAnsi="Arial"/>
          <w:sz w:val="19"/>
          <w:szCs w:val="19"/>
          <w:color w:val="auto"/>
        </w:rPr>
        <w:t xml:space="preserve"> The earned Option Shares shall vest and become exercisable one-fourth promptly following the Certification Date and then ratably on the next three Service Vesting Dates. The Optionee must be in continuous service as an employee of the Company or any of its Affiliates or as a Director from the Award Date through the applicable Vesting Date on which the portion of the Option Shares would otherwise become exercisable in order for the Option to become exercisable with respect to that portion of the Option Shares, otherwise such Option Shares shall be forfeited. Notwithstanding the foregoing, in the event the Optionee’s employment and, if applicable, service as a Director terminates by reason of death, Disability or Retirement following the end of the Performance Period and prior to any Vesting Date, any then exercisable Option Shares shall continue to be exercisable for a period of two years following such termination, and any earned but unexercisable Option Shares shall continue to become exercisable as if the Optionee had remained employed or continued to serve as a Director for a period of two years following such termination. In the event Optionee’s employment with the Company or any of its affiliates is terminated (other than a termination for “cause”) after the end of the Performance Period but before the Certification Date, then notwithstanding the restrictions set forth above in this Section 2, promptly following the Certification Date, one-fourth of any earned Option Shares shall vest and become exercisable for a period of 90 days following the Certification Date (or two years following the Certification Date in the case of the death, Disability or Retirement of the Optionee), and the remainder of the Option Shares shall be forfeited.</w:t>
      </w:r>
    </w:p>
    <w:p>
      <w:pPr>
        <w:spacing w:after="0" w:line="200" w:lineRule="exact"/>
        <w:rPr>
          <w:sz w:val="20"/>
          <w:szCs w:val="20"/>
          <w:color w:val="auto"/>
        </w:rPr>
      </w:pPr>
    </w:p>
    <w:p>
      <w:pPr>
        <w:spacing w:after="0" w:line="207" w:lineRule="exact"/>
        <w:rPr>
          <w:sz w:val="20"/>
          <w:szCs w:val="20"/>
          <w:color w:val="auto"/>
        </w:rPr>
      </w:pPr>
    </w:p>
    <w:p>
      <w:pPr>
        <w:jc w:val="both"/>
        <w:ind w:right="120" w:firstLine="1497"/>
        <w:spacing w:after="0"/>
        <w:rPr>
          <w:sz w:val="20"/>
          <w:szCs w:val="20"/>
          <w:color w:val="auto"/>
        </w:rPr>
      </w:pPr>
      <w:r>
        <w:rPr>
          <w:rFonts w:ascii="Arial" w:cs="Arial" w:eastAsia="Arial" w:hAnsi="Arial"/>
          <w:sz w:val="22"/>
          <w:szCs w:val="22"/>
          <w:color w:val="auto"/>
        </w:rPr>
        <w:t>To the extent the Option becomes exercisable, such Option may be exercised in whole or in part (at any time or from time to time, except as otherwise provided herein) until expiration of the Option pursuant to the terms of this Agreement or the Plan.</w:t>
      </w:r>
    </w:p>
    <w:p>
      <w:pPr>
        <w:spacing w:after="0" w:line="186" w:lineRule="exact"/>
        <w:rPr>
          <w:sz w:val="20"/>
          <w:szCs w:val="20"/>
          <w:color w:val="auto"/>
        </w:rPr>
      </w:pPr>
    </w:p>
    <w:p>
      <w:pPr>
        <w:ind w:firstLine="1505"/>
        <w:spacing w:after="0" w:line="246" w:lineRule="auto"/>
        <w:tabs>
          <w:tab w:leader="none" w:pos="1929"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Calculations and Adjustments</w:t>
      </w:r>
      <w:r>
        <w:rPr>
          <w:rFonts w:ascii="Arial" w:cs="Arial" w:eastAsia="Arial" w:hAnsi="Arial"/>
          <w:sz w:val="21"/>
          <w:szCs w:val="21"/>
          <w:color w:val="auto"/>
        </w:rPr>
        <w:t xml:space="preserve">. The Committee shall have the authority to approve the calculations involving the "Return on Equity for the fiscal year ending March 31, 2023" for purposes of vesting, and its approval of such calculations shall be final, conclusive and binding on all parties; </w:t>
      </w:r>
      <w:r>
        <w:rPr>
          <w:rFonts w:ascii="Arial" w:cs="Arial" w:eastAsia="Arial" w:hAnsi="Arial"/>
          <w:sz w:val="21"/>
          <w:szCs w:val="21"/>
          <w:u w:val="single" w:color="auto"/>
          <w:color w:val="auto"/>
        </w:rPr>
        <w:t>provided</w:t>
      </w:r>
      <w:r>
        <w:rPr>
          <w:rFonts w:ascii="Arial" w:cs="Arial" w:eastAsia="Arial" w:hAnsi="Arial"/>
          <w:sz w:val="21"/>
          <w:szCs w:val="21"/>
          <w:color w:val="auto"/>
        </w:rPr>
        <w:t>, that the Performance Criteria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(including legal fees, settlements and adjustments); provided that the amount exceeds $5 million; and (iii) the impact of extraordinary items not related to the Company’s current or ongoing business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6" w:name="page57"/>
    <w:bookmarkEnd w:id="56"/>
    <w:p>
      <w:pPr>
        <w:ind w:right="40"/>
        <w:spacing w:after="0" w:line="279" w:lineRule="auto"/>
        <w:rPr>
          <w:sz w:val="20"/>
          <w:szCs w:val="20"/>
          <w:color w:val="auto"/>
        </w:rPr>
      </w:pPr>
      <w:r>
        <w:rPr>
          <w:rFonts w:ascii="Arial" w:cs="Arial" w:eastAsia="Arial" w:hAnsi="Arial"/>
          <w:sz w:val="19"/>
          <w:szCs w:val="19"/>
          <w:color w:val="auto"/>
        </w:rPr>
        <w:t>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the Performance Criteria shall be deemed to have been satisfied through the effective date of such spin-off or earlier, as determined by the Committee and such determination date shall constitute the Certification Date hereunder; provided, the earned Option Shares so determined shall vest one-fourth on the first anniversary of the Award Date and then ratably on the next three fiscal year-ends.</w:t>
      </w:r>
    </w:p>
    <w:p>
      <w:pPr>
        <w:spacing w:after="0" w:line="150" w:lineRule="exact"/>
        <w:rPr>
          <w:sz w:val="20"/>
          <w:szCs w:val="20"/>
          <w:color w:val="auto"/>
        </w:rPr>
      </w:pPr>
    </w:p>
    <w:p>
      <w:pPr>
        <w:ind w:firstLine="1505"/>
        <w:spacing w:after="0" w:line="274" w:lineRule="auto"/>
        <w:tabs>
          <w:tab w:leader="none" w:pos="192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i w:val="1"/>
          <w:iCs w:val="1"/>
          <w:color w:val="auto"/>
        </w:rPr>
        <w:t>.</w:t>
      </w:r>
      <w:r>
        <w:rPr>
          <w:rFonts w:ascii="Arial" w:cs="Arial" w:eastAsia="Arial" w:hAnsi="Arial"/>
          <w:sz w:val="19"/>
          <w:szCs w:val="19"/>
          <w:color w:val="auto"/>
        </w:rPr>
        <w:t xml:space="preserve"> This Option shall become fully vested and exercisable, without regard to the limitations set forth in subparagraph (a) above, provided that the Optionee has been in continuous employment with the Company or any of its Affiliates or served as a Director from the Award Date through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Option is to be replaced within a reasonable time after the Change in Control with an option of equivalent value to purchase shares of the surviving parent corporation or (ii) the Option is to be settled in cash in accordance with the last sentence of this subparagraph (d). Upon a Change in Control, pursuant to Section 15 of the Plan, the Company may, in its discretion, settle the Option by a cash payment equal to the difference between the Fair Market Value per share of Common Stock on the settlement date and the Exercise Price for the Option, multiplied by the number of shares then subject to the Option.</w:t>
      </w:r>
    </w:p>
    <w:p>
      <w:pPr>
        <w:spacing w:after="0" w:line="158" w:lineRule="exact"/>
        <w:rPr>
          <w:rFonts w:ascii="Arial" w:cs="Arial" w:eastAsia="Arial" w:hAnsi="Arial"/>
          <w:sz w:val="19"/>
          <w:szCs w:val="19"/>
          <w:color w:val="auto"/>
        </w:rPr>
      </w:pPr>
    </w:p>
    <w:p>
      <w:pPr>
        <w:ind w:right="40" w:firstLine="1505"/>
        <w:spacing w:after="0" w:line="273" w:lineRule="auto"/>
        <w:tabs>
          <w:tab w:leader="none" w:pos="192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Capital Adjustments and Corporate Events</w:t>
      </w:r>
      <w:r>
        <w:rPr>
          <w:rFonts w:ascii="Arial" w:cs="Arial" w:eastAsia="Arial" w:hAnsi="Arial"/>
          <w:sz w:val="19"/>
          <w:szCs w:val="19"/>
          <w:color w:val="auto"/>
        </w:rPr>
        <w:t>. If, from time to time during the term of the Option prior to its exercise, there is any capital adjustment affecting the outstanding Common Stock as a class without the Company’s receipt of consideration, including, without limitation, as a result of a spin-off or business disposition or an extraordinary cash dividend, the Option Shares and other applicable terms of this Option shall be adjusted in accordance with the provisions of Section 15 of the Plan, which adjustment shall include (as may be applicable) without limitation, equitable adjustments to the number of Option Shares, exercise price and type of property or securities to which the Option relates, in each case as determined by the Committee in its discretion and in accordance with Code Section 409A.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61" w:lineRule="exact"/>
        <w:rPr>
          <w:sz w:val="20"/>
          <w:szCs w:val="20"/>
          <w:color w:val="auto"/>
        </w:rPr>
      </w:pPr>
    </w:p>
    <w:p>
      <w:pPr>
        <w:ind w:left="2260" w:hanging="1503"/>
        <w:spacing w:after="0"/>
        <w:tabs>
          <w:tab w:leader="none" w:pos="2260" w:val="left"/>
        </w:tabs>
        <w:numPr>
          <w:ilvl w:val="0"/>
          <w:numId w:val="4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Termination of Option</w:t>
      </w:r>
      <w:r>
        <w:rPr>
          <w:rFonts w:ascii="Arial" w:cs="Arial" w:eastAsia="Arial" w:hAnsi="Arial"/>
          <w:sz w:val="22"/>
          <w:szCs w:val="22"/>
          <w:i w:val="1"/>
          <w:iCs w:val="1"/>
          <w:color w:val="auto"/>
        </w:rPr>
        <w:t>.</w:t>
      </w:r>
    </w:p>
    <w:p>
      <w:pPr>
        <w:spacing w:after="0" w:line="206" w:lineRule="exact"/>
        <w:rPr>
          <w:sz w:val="20"/>
          <w:szCs w:val="20"/>
          <w:color w:val="auto"/>
        </w:rPr>
      </w:pPr>
    </w:p>
    <w:p>
      <w:pPr>
        <w:ind w:right="340" w:firstLine="432"/>
        <w:spacing w:after="0" w:line="250" w:lineRule="auto"/>
        <w:rPr>
          <w:sz w:val="20"/>
          <w:szCs w:val="20"/>
          <w:color w:val="auto"/>
        </w:rPr>
      </w:pPr>
      <w:r>
        <w:rPr>
          <w:rFonts w:ascii="Arial" w:cs="Arial" w:eastAsia="Arial" w:hAnsi="Arial"/>
          <w:sz w:val="22"/>
          <w:szCs w:val="22"/>
          <w:color w:val="auto"/>
        </w:rPr>
        <w:t>The Option hereby granted shall terminate and be of no force and effect with respect to any Option Shares not previously purchased by the Optionee at the earliest time specified below:</w:t>
      </w:r>
    </w:p>
    <w:p>
      <w:pPr>
        <w:spacing w:after="0" w:line="175" w:lineRule="exact"/>
        <w:rPr>
          <w:sz w:val="20"/>
          <w:szCs w:val="20"/>
          <w:color w:val="auto"/>
        </w:rPr>
      </w:pPr>
    </w:p>
    <w:p>
      <w:pPr>
        <w:ind w:left="3000" w:hanging="1495"/>
        <w:spacing w:after="0"/>
        <w:tabs>
          <w:tab w:leader="none" w:pos="30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tenth anniversary of the Award Date;</w:t>
      </w:r>
    </w:p>
    <w:p>
      <w:pPr>
        <w:spacing w:after="0" w:line="206" w:lineRule="exact"/>
        <w:rPr>
          <w:rFonts w:ascii="Arial" w:cs="Arial" w:eastAsia="Arial" w:hAnsi="Arial"/>
          <w:sz w:val="22"/>
          <w:szCs w:val="22"/>
          <w:color w:val="auto"/>
        </w:rPr>
      </w:pPr>
    </w:p>
    <w:p>
      <w:pPr>
        <w:ind w:right="80" w:firstLine="1505"/>
        <w:spacing w:after="0" w:line="257" w:lineRule="auto"/>
        <w:tabs>
          <w:tab w:leader="none" w:pos="2995" w:val="left"/>
        </w:tabs>
        <w:numPr>
          <w:ilvl w:val="0"/>
          <w:numId w:val="44"/>
        </w:numPr>
        <w:rPr>
          <w:rFonts w:ascii="Arial" w:cs="Arial" w:eastAsia="Arial" w:hAnsi="Arial"/>
          <w:sz w:val="21"/>
          <w:szCs w:val="21"/>
          <w:color w:val="auto"/>
        </w:rPr>
      </w:pPr>
      <w:r>
        <w:rPr>
          <w:rFonts w:ascii="Arial" w:cs="Arial" w:eastAsia="Arial" w:hAnsi="Arial"/>
          <w:sz w:val="21"/>
          <w:szCs w:val="21"/>
          <w:color w:val="auto"/>
        </w:rPr>
        <w:t>if Optionee’s employment with the Company and its Affiliates or service as a Director is terminated by the Company or a Subsidiary for “cause” (as determined by the Committee) at any time after the Award Date, then the Option shall terminate immediately upon such termination of Optionee’s employment or service;</w:t>
      </w:r>
    </w:p>
    <w:p>
      <w:pPr>
        <w:spacing w:after="0" w:line="169" w:lineRule="exact"/>
        <w:rPr>
          <w:rFonts w:ascii="Arial" w:cs="Arial" w:eastAsia="Arial" w:hAnsi="Arial"/>
          <w:sz w:val="21"/>
          <w:szCs w:val="21"/>
          <w:color w:val="auto"/>
        </w:rPr>
      </w:pPr>
    </w:p>
    <w:p>
      <w:pPr>
        <w:ind w:right="200" w:firstLine="1505"/>
        <w:spacing w:after="0" w:line="297" w:lineRule="auto"/>
        <w:tabs>
          <w:tab w:leader="none" w:pos="2995"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Optionee’s employment with the Company and its Affiliates and, if applicable, service as a Director is terminated for any reason other than death, Disability, Retirement or termination for “cause,” then the Option shall terminate on the first business day following the expiration of the 90-day period beginning on such date of termination;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7" w:name="page58"/>
    <w:bookmarkEnd w:id="57"/>
    <w:p>
      <w:pPr>
        <w:ind w:right="120" w:firstLine="1505"/>
        <w:spacing w:after="0" w:line="277" w:lineRule="auto"/>
        <w:tabs>
          <w:tab w:leader="none" w:pos="2995"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Optionee’s employment with the Company and its Affiliates and, if applicable, service as a Director is terminated due to the death, Disability or Retirement of the Optionee, and in any such case such termination is at any time after the Award Date, then the Option shall terminate on the later of (i) the first business day following the expiration of the two-year period following such termination and (ii) with respect to any Option Shares which become exercisable after such termination, the first business day following the expiration of the 90-day period beginning on the date the Options Shares first become exercisable; provided, the Committee in its discretion may extend such expiration date up to the full remaining term of the Option under such circumstances as it deems appropriate.</w:t>
      </w:r>
    </w:p>
    <w:p>
      <w:pPr>
        <w:spacing w:after="0" w:line="151" w:lineRule="exact"/>
        <w:rPr>
          <w:rFonts w:ascii="Arial" w:cs="Arial" w:eastAsia="Arial" w:hAnsi="Arial"/>
          <w:sz w:val="19"/>
          <w:szCs w:val="19"/>
          <w:color w:val="auto"/>
        </w:rPr>
      </w:pPr>
    </w:p>
    <w:p>
      <w:pPr>
        <w:ind w:left="2260" w:hanging="1503"/>
        <w:spacing w:after="0"/>
        <w:tabs>
          <w:tab w:leader="none" w:pos="2260" w:val="left"/>
        </w:tabs>
        <w:numPr>
          <w:ilvl w:val="0"/>
          <w:numId w:val="4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Exercise of Option</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color w:val="auto"/>
        </w:rPr>
        <w:t>Subject to the limitations set forth herein and in the Plan, this Option may be exercised by notice provided to the Company as set forth in Section 5. The payment of the Exercise Price for the Common Stock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Such notice shall be accompanied by cash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Section 8).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200" w:lineRule="exact"/>
        <w:rPr>
          <w:sz w:val="20"/>
          <w:szCs w:val="20"/>
          <w:color w:val="auto"/>
        </w:rPr>
      </w:pPr>
    </w:p>
    <w:p>
      <w:pPr>
        <w:spacing w:after="0" w:line="211" w:lineRule="exact"/>
        <w:rPr>
          <w:sz w:val="20"/>
          <w:szCs w:val="20"/>
          <w:color w:val="auto"/>
        </w:rPr>
      </w:pPr>
    </w:p>
    <w:p>
      <w:pPr>
        <w:ind w:right="20" w:firstLine="749"/>
        <w:spacing w:after="0" w:line="246" w:lineRule="auto"/>
        <w:rPr>
          <w:sz w:val="20"/>
          <w:szCs w:val="20"/>
          <w:color w:val="auto"/>
        </w:rPr>
      </w:pPr>
      <w:r>
        <w:rPr>
          <w:rFonts w:ascii="Arial" w:cs="Arial" w:eastAsia="Arial" w:hAnsi="Arial"/>
          <w:sz w:val="21"/>
          <w:szCs w:val="21"/>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80" w:lineRule="exact"/>
        <w:rPr>
          <w:sz w:val="20"/>
          <w:szCs w:val="20"/>
          <w:color w:val="auto"/>
        </w:rPr>
      </w:pPr>
    </w:p>
    <w:p>
      <w:pPr>
        <w:ind w:right="80" w:firstLine="749"/>
        <w:spacing w:after="0" w:line="282" w:lineRule="auto"/>
        <w:rPr>
          <w:sz w:val="20"/>
          <w:szCs w:val="20"/>
          <w:color w:val="auto"/>
        </w:rPr>
      </w:pPr>
      <w:r>
        <w:rPr>
          <w:rFonts w:ascii="Arial" w:cs="Arial" w:eastAsia="Arial" w:hAnsi="Arial"/>
          <w:sz w:val="19"/>
          <w:szCs w:val="19"/>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8" w:name="page59"/>
    <w:bookmarkEnd w:id="58"/>
    <w:p>
      <w:pPr>
        <w:spacing w:after="0" w:line="297" w:lineRule="auto"/>
        <w:rPr>
          <w:sz w:val="20"/>
          <w:szCs w:val="20"/>
          <w:color w:val="auto"/>
        </w:rPr>
      </w:pPr>
      <w:r>
        <w:rPr>
          <w:rFonts w:ascii="Arial" w:cs="Arial" w:eastAsia="Arial" w:hAnsi="Arial"/>
          <w:sz w:val="19"/>
          <w:szCs w:val="19"/>
          <w:color w:val="auto"/>
        </w:rPr>
        <w:t>the Securities Act of 1933, as amended,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34" w:lineRule="exact"/>
        <w:rPr>
          <w:sz w:val="20"/>
          <w:szCs w:val="20"/>
          <w:color w:val="auto"/>
        </w:rPr>
      </w:pPr>
    </w:p>
    <w:p>
      <w:pPr>
        <w:jc w:val="both"/>
        <w:ind w:right="140" w:firstLine="749"/>
        <w:spacing w:after="0"/>
        <w:rPr>
          <w:sz w:val="20"/>
          <w:szCs w:val="20"/>
          <w:color w:val="auto"/>
        </w:rPr>
      </w:pPr>
      <w:r>
        <w:rPr>
          <w:rFonts w:ascii="Arial" w:cs="Arial" w:eastAsia="Arial" w:hAnsi="Arial"/>
          <w:sz w:val="22"/>
          <w:szCs w:val="22"/>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86" w:lineRule="exact"/>
        <w:rPr>
          <w:sz w:val="20"/>
          <w:szCs w:val="20"/>
          <w:color w:val="auto"/>
        </w:rPr>
      </w:pPr>
    </w:p>
    <w:p>
      <w:pPr>
        <w:ind w:left="2260" w:hanging="1503"/>
        <w:spacing w:after="0"/>
        <w:tabs>
          <w:tab w:leader="none" w:pos="2260" w:val="left"/>
        </w:tabs>
        <w:numPr>
          <w:ilvl w:val="0"/>
          <w:numId w:val="4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Notices</w:t>
      </w:r>
      <w:r>
        <w:rPr>
          <w:rFonts w:ascii="Arial" w:cs="Arial" w:eastAsia="Arial" w:hAnsi="Arial"/>
          <w:sz w:val="22"/>
          <w:szCs w:val="22"/>
          <w:i w:val="1"/>
          <w:iCs w:val="1"/>
          <w:color w:val="auto"/>
        </w:rPr>
        <w:t>.</w:t>
      </w:r>
    </w:p>
    <w:p>
      <w:pPr>
        <w:spacing w:after="0" w:line="206" w:lineRule="exact"/>
        <w:rPr>
          <w:sz w:val="20"/>
          <w:szCs w:val="20"/>
          <w:color w:val="auto"/>
        </w:rPr>
      </w:pPr>
    </w:p>
    <w:p>
      <w:pPr>
        <w:ind w:right="340" w:firstLine="749"/>
        <w:spacing w:after="0" w:line="250" w:lineRule="auto"/>
        <w:rPr>
          <w:sz w:val="20"/>
          <w:szCs w:val="20"/>
          <w:color w:val="auto"/>
        </w:rPr>
      </w:pPr>
      <w:r>
        <w:rPr>
          <w:rFonts w:ascii="Arial" w:cs="Arial" w:eastAsia="Arial" w:hAnsi="Arial"/>
          <w:sz w:val="22"/>
          <w:szCs w:val="22"/>
          <w:color w:val="auto"/>
        </w:rPr>
        <w:t>Notice of exercise of the Option must be made in the following manner, using such forms as the Company may from time to time provide:</w:t>
      </w:r>
    </w:p>
    <w:p>
      <w:pPr>
        <w:spacing w:after="0" w:line="175" w:lineRule="exact"/>
        <w:rPr>
          <w:sz w:val="20"/>
          <w:szCs w:val="20"/>
          <w:color w:val="auto"/>
        </w:rPr>
      </w:pPr>
    </w:p>
    <w:p>
      <w:pPr>
        <w:ind w:right="160" w:firstLine="1505"/>
        <w:spacing w:after="0" w:line="250" w:lineRule="auto"/>
        <w:tabs>
          <w:tab w:leader="none" w:pos="29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electronic means as designated by the Committee, in which case the date of exercise shall be the date when receipt is acknowledged by the Company;</w:t>
      </w:r>
    </w:p>
    <w:p>
      <w:pPr>
        <w:spacing w:after="0" w:line="174" w:lineRule="exact"/>
        <w:rPr>
          <w:rFonts w:ascii="Arial" w:cs="Arial" w:eastAsia="Arial" w:hAnsi="Arial"/>
          <w:sz w:val="22"/>
          <w:szCs w:val="22"/>
          <w:color w:val="auto"/>
        </w:rPr>
      </w:pPr>
    </w:p>
    <w:p>
      <w:pPr>
        <w:ind w:right="160" w:firstLine="1505"/>
        <w:spacing w:after="0"/>
        <w:tabs>
          <w:tab w:leader="none" w:pos="29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86" w:lineRule="exact"/>
        <w:rPr>
          <w:rFonts w:ascii="Arial" w:cs="Arial" w:eastAsia="Arial" w:hAnsi="Arial"/>
          <w:sz w:val="22"/>
          <w:szCs w:val="22"/>
          <w:color w:val="auto"/>
        </w:rPr>
      </w:pPr>
    </w:p>
    <w:p>
      <w:pPr>
        <w:jc w:val="both"/>
        <w:ind w:right="300" w:firstLine="1505"/>
        <w:spacing w:after="0"/>
        <w:tabs>
          <w:tab w:leader="none" w:pos="29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86" w:lineRule="exact"/>
        <w:rPr>
          <w:sz w:val="20"/>
          <w:szCs w:val="20"/>
          <w:color w:val="auto"/>
        </w:rPr>
      </w:pPr>
    </w:p>
    <w:p>
      <w:pPr>
        <w:jc w:val="both"/>
        <w:ind w:right="60" w:firstLine="749"/>
        <w:spacing w:after="0" w:line="328" w:lineRule="auto"/>
        <w:rPr>
          <w:sz w:val="20"/>
          <w:szCs w:val="20"/>
          <w:color w:val="auto"/>
        </w:rPr>
      </w:pPr>
      <w:r>
        <w:rPr>
          <w:rFonts w:ascii="Arial" w:cs="Arial" w:eastAsia="Arial" w:hAnsi="Arial"/>
          <w:sz w:val="19"/>
          <w:szCs w:val="19"/>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05" w:lineRule="exact"/>
        <w:rPr>
          <w:sz w:val="20"/>
          <w:szCs w:val="20"/>
          <w:color w:val="auto"/>
        </w:rPr>
      </w:pPr>
    </w:p>
    <w:p>
      <w:pPr>
        <w:jc w:val="both"/>
        <w:ind w:right="40" w:firstLine="749"/>
        <w:spacing w:after="0" w:line="236" w:lineRule="auto"/>
        <w:rPr>
          <w:sz w:val="20"/>
          <w:szCs w:val="20"/>
          <w:color w:val="auto"/>
        </w:rPr>
      </w:pPr>
      <w:r>
        <w:rPr>
          <w:rFonts w:ascii="Arial" w:cs="Arial" w:eastAsia="Arial" w:hAnsi="Arial"/>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187" w:lineRule="exact"/>
        <w:rPr>
          <w:sz w:val="20"/>
          <w:szCs w:val="20"/>
          <w:color w:val="auto"/>
        </w:rPr>
      </w:pPr>
    </w:p>
    <w:p>
      <w:pPr>
        <w:ind w:left="2260" w:hanging="1503"/>
        <w:spacing w:after="0"/>
        <w:tabs>
          <w:tab w:leader="none" w:pos="2260" w:val="left"/>
        </w:tabs>
        <w:numPr>
          <w:ilvl w:val="0"/>
          <w:numId w:val="4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Assignment of Option</w:t>
      </w:r>
      <w:r>
        <w:rPr>
          <w:rFonts w:ascii="Arial" w:cs="Arial" w:eastAsia="Arial" w:hAnsi="Arial"/>
          <w:sz w:val="22"/>
          <w:szCs w:val="22"/>
          <w:i w:val="1"/>
          <w:iCs w:val="1"/>
          <w:color w:val="auto"/>
        </w:rPr>
        <w:t>.</w:t>
      </w:r>
    </w:p>
    <w:p>
      <w:pPr>
        <w:spacing w:after="0" w:line="206" w:lineRule="exact"/>
        <w:rPr>
          <w:sz w:val="20"/>
          <w:szCs w:val="20"/>
          <w:color w:val="auto"/>
        </w:rPr>
      </w:pPr>
    </w:p>
    <w:p>
      <w:pPr>
        <w:ind w:right="300" w:firstLine="749"/>
        <w:spacing w:after="0" w:line="236" w:lineRule="auto"/>
        <w:rPr>
          <w:sz w:val="20"/>
          <w:szCs w:val="20"/>
          <w:color w:val="auto"/>
        </w:rPr>
      </w:pPr>
      <w:r>
        <w:rPr>
          <w:rFonts w:ascii="Arial" w:cs="Arial" w:eastAsia="Arial" w:hAnsi="Arial"/>
          <w:sz w:val="22"/>
          <w:szCs w:val="22"/>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expressly provided in this Agreement.</w:t>
      </w:r>
    </w:p>
    <w:p>
      <w:pPr>
        <w:spacing w:after="0" w:line="187" w:lineRule="exact"/>
        <w:rPr>
          <w:sz w:val="20"/>
          <w:szCs w:val="20"/>
          <w:color w:val="auto"/>
        </w:rPr>
      </w:pPr>
    </w:p>
    <w:p>
      <w:pPr>
        <w:ind w:right="80" w:firstLine="749"/>
        <w:spacing w:after="0" w:line="252" w:lineRule="auto"/>
        <w:rPr>
          <w:sz w:val="20"/>
          <w:szCs w:val="20"/>
          <w:color w:val="auto"/>
        </w:rPr>
      </w:pPr>
      <w:r>
        <w:rPr>
          <w:rFonts w:ascii="Arial" w:cs="Arial" w:eastAsia="Arial" w:hAnsi="Arial"/>
          <w:sz w:val="21"/>
          <w:szCs w:val="21"/>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to the extent that the Option is exercisable on or after the date of the Optionee’s death, as set forth in Sections 2(a) and 3(d) hereof.</w:t>
      </w:r>
    </w:p>
    <w:p>
      <w:pPr>
        <w:spacing w:after="0" w:line="160" w:lineRule="exact"/>
        <w:rPr>
          <w:sz w:val="20"/>
          <w:szCs w:val="20"/>
          <w:color w:val="auto"/>
        </w:rPr>
      </w:pPr>
    </w:p>
    <w:p>
      <w:pPr>
        <w:ind w:left="2260" w:hanging="1503"/>
        <w:spacing w:after="0"/>
        <w:tabs>
          <w:tab w:leader="none" w:pos="2260" w:val="left"/>
        </w:tabs>
        <w:numPr>
          <w:ilvl w:val="0"/>
          <w:numId w:val="5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Stock Certificates</w:t>
      </w:r>
      <w:r>
        <w:rPr>
          <w:rFonts w:ascii="Arial" w:cs="Arial" w:eastAsia="Arial" w:hAnsi="Arial"/>
          <w:sz w:val="22"/>
          <w:szCs w:val="22"/>
          <w:i w:val="1"/>
          <w:iCs w:val="1"/>
          <w:color w:val="auto"/>
        </w:rPr>
        <w: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59" w:name="page60"/>
    <w:bookmarkEnd w:id="59"/>
    <w:p>
      <w:pPr>
        <w:ind w:right="200" w:firstLine="749"/>
        <w:spacing w:after="0" w:line="328" w:lineRule="auto"/>
        <w:rPr>
          <w:sz w:val="20"/>
          <w:szCs w:val="20"/>
          <w:color w:val="auto"/>
        </w:rPr>
      </w:pPr>
      <w:r>
        <w:rPr>
          <w:rFonts w:ascii="Arial" w:cs="Arial" w:eastAsia="Arial" w:hAnsi="Arial"/>
          <w:sz w:val="19"/>
          <w:szCs w:val="19"/>
          <w:color w:val="auto"/>
        </w:rPr>
        <w:t>Certificates or other evidences of or representing the Common Stock issued pursuant to the exercise of the Option will bear all legends required by law and necessary or advisable to effectuate the provisions of the Plan and this Option.</w:t>
      </w:r>
    </w:p>
    <w:p>
      <w:pPr>
        <w:spacing w:after="0" w:line="105" w:lineRule="exact"/>
        <w:rPr>
          <w:sz w:val="20"/>
          <w:szCs w:val="20"/>
          <w:color w:val="auto"/>
        </w:rPr>
      </w:pPr>
    </w:p>
    <w:p>
      <w:pPr>
        <w:ind w:left="2260" w:hanging="1503"/>
        <w:spacing w:after="0"/>
        <w:tabs>
          <w:tab w:leader="none" w:pos="2260" w:val="left"/>
        </w:tabs>
        <w:numPr>
          <w:ilvl w:val="0"/>
          <w:numId w:val="5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Withholding</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45" w:lineRule="auto"/>
        <w:rPr>
          <w:sz w:val="20"/>
          <w:szCs w:val="20"/>
          <w:color w:val="auto"/>
        </w:rPr>
      </w:pPr>
      <w:r>
        <w:rPr>
          <w:rFonts w:ascii="Arial" w:cs="Arial" w:eastAsia="Arial" w:hAnsi="Arial"/>
          <w:sz w:val="21"/>
          <w:szCs w:val="21"/>
          <w:color w:val="auto"/>
        </w:rPr>
        <w:t>No certificates representing shares of Common Stock purchased hereunder shall be delivered to or in respect of an Optionee unless the amount of all federal, state and other governmental withholding tax requirements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Option. The Optionee may pay all or any portion of the taxes required to be withheld by the Company or paid by the Optionee in connection with the exercise of all or any portion of this Option by delivering cash,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spacing w:after="0" w:line="181" w:lineRule="exact"/>
        <w:rPr>
          <w:sz w:val="20"/>
          <w:szCs w:val="20"/>
          <w:color w:val="auto"/>
        </w:rPr>
      </w:pPr>
    </w:p>
    <w:p>
      <w:pPr>
        <w:ind w:left="2260" w:hanging="1503"/>
        <w:spacing w:after="0"/>
        <w:tabs>
          <w:tab w:leader="none" w:pos="2260" w:val="left"/>
        </w:tabs>
        <w:numPr>
          <w:ilvl w:val="0"/>
          <w:numId w:val="5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Shareholder Rights</w:t>
      </w:r>
      <w:r>
        <w:rPr>
          <w:rFonts w:ascii="Arial" w:cs="Arial" w:eastAsia="Arial" w:hAnsi="Arial"/>
          <w:sz w:val="22"/>
          <w:szCs w:val="22"/>
          <w:i w:val="1"/>
          <w:iCs w:val="1"/>
          <w:color w:val="auto"/>
        </w:rPr>
        <w:t>.</w:t>
      </w:r>
    </w:p>
    <w:p>
      <w:pPr>
        <w:spacing w:after="0" w:line="206" w:lineRule="exact"/>
        <w:rPr>
          <w:sz w:val="20"/>
          <w:szCs w:val="20"/>
          <w:color w:val="auto"/>
        </w:rPr>
      </w:pPr>
    </w:p>
    <w:p>
      <w:pPr>
        <w:jc w:val="both"/>
        <w:ind w:right="60" w:firstLine="749"/>
        <w:spacing w:after="0"/>
        <w:rPr>
          <w:sz w:val="20"/>
          <w:szCs w:val="20"/>
          <w:color w:val="auto"/>
        </w:rPr>
      </w:pPr>
      <w:r>
        <w:rPr>
          <w:rFonts w:ascii="Arial" w:cs="Arial" w:eastAsia="Arial" w:hAnsi="Arial"/>
          <w:sz w:val="22"/>
          <w:szCs w:val="22"/>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86" w:lineRule="exact"/>
        <w:rPr>
          <w:sz w:val="20"/>
          <w:szCs w:val="20"/>
          <w:color w:val="auto"/>
        </w:rPr>
      </w:pPr>
    </w:p>
    <w:p>
      <w:pPr>
        <w:ind w:left="2260" w:hanging="1503"/>
        <w:spacing w:after="0"/>
        <w:tabs>
          <w:tab w:leader="none" w:pos="2260" w:val="left"/>
        </w:tabs>
        <w:numPr>
          <w:ilvl w:val="0"/>
          <w:numId w:val="5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Recoupment</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This Option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Option (or amounts paid in respect thereof) following a Change in Control.</w:t>
      </w:r>
    </w:p>
    <w:p>
      <w:pPr>
        <w:spacing w:after="0" w:line="187" w:lineRule="exact"/>
        <w:rPr>
          <w:sz w:val="20"/>
          <w:szCs w:val="20"/>
          <w:color w:val="auto"/>
        </w:rPr>
      </w:pPr>
    </w:p>
    <w:p>
      <w:pPr>
        <w:ind w:left="2260" w:hanging="1503"/>
        <w:spacing w:after="0"/>
        <w:tabs>
          <w:tab w:leader="none" w:pos="2260" w:val="left"/>
        </w:tabs>
        <w:numPr>
          <w:ilvl w:val="0"/>
          <w:numId w:val="5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Successors and Assigns</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97" w:lineRule="auto"/>
        <w:rPr>
          <w:sz w:val="20"/>
          <w:szCs w:val="20"/>
          <w:color w:val="auto"/>
        </w:rPr>
      </w:pPr>
      <w:r>
        <w:rPr>
          <w:rFonts w:ascii="Arial" w:cs="Arial" w:eastAsia="Arial" w:hAnsi="Arial"/>
          <w:sz w:val="19"/>
          <w:szCs w:val="19"/>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134" w:lineRule="exact"/>
        <w:rPr>
          <w:sz w:val="20"/>
          <w:szCs w:val="20"/>
          <w:color w:val="auto"/>
        </w:rPr>
      </w:pPr>
    </w:p>
    <w:p>
      <w:pPr>
        <w:ind w:left="2260" w:hanging="1503"/>
        <w:spacing w:after="0"/>
        <w:tabs>
          <w:tab w:leader="none" w:pos="2260" w:val="left"/>
        </w:tabs>
        <w:numPr>
          <w:ilvl w:val="0"/>
          <w:numId w:val="5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 Employment Guaranteed</w:t>
      </w:r>
      <w:r>
        <w:rPr>
          <w:rFonts w:ascii="Arial" w:cs="Arial" w:eastAsia="Arial" w:hAnsi="Arial"/>
          <w:sz w:val="22"/>
          <w:szCs w:val="22"/>
          <w:i w:val="1"/>
          <w:iCs w:val="1"/>
          <w:color w:val="auto"/>
        </w:rPr>
        <w:t>.</w:t>
      </w:r>
    </w:p>
    <w:p>
      <w:pPr>
        <w:spacing w:after="0" w:line="206" w:lineRule="exact"/>
        <w:rPr>
          <w:sz w:val="20"/>
          <w:szCs w:val="20"/>
          <w:color w:val="auto"/>
        </w:rPr>
      </w:pPr>
    </w:p>
    <w:p>
      <w:pPr>
        <w:ind w:right="480" w:firstLine="749"/>
        <w:spacing w:after="0" w:line="250" w:lineRule="auto"/>
        <w:rPr>
          <w:sz w:val="20"/>
          <w:szCs w:val="20"/>
          <w:color w:val="auto"/>
        </w:rPr>
      </w:pPr>
      <w:r>
        <w:rPr>
          <w:rFonts w:ascii="Arial" w:cs="Arial" w:eastAsia="Arial" w:hAnsi="Arial"/>
          <w:sz w:val="22"/>
          <w:szCs w:val="22"/>
          <w:color w:val="auto"/>
        </w:rPr>
        <w:t>No provision of this Option Agreement shall confer any right upon the Optionee to continued employment with the Company or any Subsidiary.</w:t>
      </w:r>
    </w:p>
    <w:p>
      <w:pPr>
        <w:spacing w:after="0" w:line="175" w:lineRule="exact"/>
        <w:rPr>
          <w:sz w:val="20"/>
          <w:szCs w:val="20"/>
          <w:color w:val="auto"/>
        </w:rPr>
      </w:pPr>
    </w:p>
    <w:p>
      <w:pPr>
        <w:ind w:left="2260" w:hanging="1503"/>
        <w:spacing w:after="0"/>
        <w:tabs>
          <w:tab w:leader="none" w:pos="2260" w:val="left"/>
        </w:tabs>
        <w:numPr>
          <w:ilvl w:val="0"/>
          <w:numId w:val="5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Governing Law</w:t>
      </w:r>
      <w:r>
        <w:rPr>
          <w:rFonts w:ascii="Arial" w:cs="Arial" w:eastAsia="Arial" w:hAnsi="Arial"/>
          <w:sz w:val="22"/>
          <w:szCs w:val="22"/>
          <w:i w:val="1"/>
          <w:i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Option Agreement shall be governed by, construed and enforced in accordance with the laws of the State of Texas.</w:t>
      </w:r>
    </w:p>
    <w:p>
      <w:pPr>
        <w:spacing w:after="0" w:line="24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60" w:name="page61"/>
    <w:bookmarkEnd w:id="60"/>
    <w:p>
      <w:pPr>
        <w:ind w:left="2260" w:hanging="1503"/>
        <w:spacing w:after="0"/>
        <w:tabs>
          <w:tab w:leader="none" w:pos="2260" w:val="left"/>
        </w:tabs>
        <w:numPr>
          <w:ilvl w:val="0"/>
          <w:numId w:val="5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Amendment</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This Agreement cannot be modified, altered or amended except by an agreement, in writing, signed by both the Company and the Optionee.</w:t>
      </w:r>
    </w:p>
    <w:p>
      <w:pPr>
        <w:spacing w:after="0" w:line="269" w:lineRule="exact"/>
        <w:rPr>
          <w:sz w:val="20"/>
          <w:szCs w:val="20"/>
          <w:color w:val="auto"/>
        </w:rPr>
      </w:pPr>
    </w:p>
    <w:p>
      <w:pPr>
        <w:jc w:val="center"/>
        <w:ind w:right="-859"/>
        <w:spacing w:after="0"/>
        <w:rPr>
          <w:sz w:val="20"/>
          <w:szCs w:val="20"/>
          <w:color w:val="auto"/>
        </w:rPr>
      </w:pPr>
      <w:r>
        <w:rPr>
          <w:rFonts w:ascii="Arial" w:cs="Arial" w:eastAsia="Arial" w:hAnsi="Arial"/>
          <w:sz w:val="22"/>
          <w:szCs w:val="22"/>
          <w:color w:val="auto"/>
        </w:rPr>
        <w:t>[REMAINDER OF PAGE INTENTIONALLY LEFT BLANK]</w:t>
      </w:r>
    </w:p>
    <w:p>
      <w:pPr>
        <w:spacing w:after="0" w:line="30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21" w:right="1179" w:bottom="1440" w:gutter="0" w:footer="0" w:header="0"/>
        </w:sectPr>
      </w:pPr>
    </w:p>
    <w:bookmarkStart w:id="61" w:name="page62"/>
    <w:bookmarkEnd w:id="61"/>
    <w:p>
      <w:pPr>
        <w:ind w:left="4760"/>
        <w:spacing w:after="0"/>
        <w:rPr>
          <w:sz w:val="20"/>
          <w:szCs w:val="20"/>
          <w:color w:val="auto"/>
        </w:rPr>
      </w:pPr>
      <w:r>
        <w:rPr>
          <w:rFonts w:ascii="Arial" w:cs="Arial" w:eastAsia="Arial" w:hAnsi="Arial"/>
          <w:sz w:val="22"/>
          <w:szCs w:val="22"/>
          <w:b w:val="1"/>
          <w:bCs w:val="1"/>
          <w:color w:val="auto"/>
        </w:rPr>
        <w:t>EAGLE MATERIALS INC.</w:t>
      </w:r>
    </w:p>
    <w:p>
      <w:pPr>
        <w:spacing w:after="0" w:line="200" w:lineRule="exact"/>
        <w:rPr>
          <w:sz w:val="20"/>
          <w:szCs w:val="20"/>
          <w:color w:val="auto"/>
        </w:rPr>
      </w:pPr>
    </w:p>
    <w:p>
      <w:pPr>
        <w:spacing w:after="0" w:line="228" w:lineRule="exact"/>
        <w:rPr>
          <w:sz w:val="20"/>
          <w:szCs w:val="20"/>
          <w:color w:val="auto"/>
        </w:rPr>
      </w:pPr>
    </w:p>
    <w:tbl>
      <w:tblPr>
        <w:tblLayout w:type="fixed"/>
        <w:tblInd w:w="4760" w:type="dxa"/>
        <w:tblCellMar>
          <w:top w:w="0" w:type="dxa"/>
          <w:left w:w="0" w:type="dxa"/>
          <w:bottom w:w="0" w:type="dxa"/>
          <w:right w:w="0" w:type="dxa"/>
        </w:tblCellMar>
      </w:tblPr>
      <w:tr>
        <w:trPr>
          <w:trHeight w:val="264"/>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380" w:type="dxa"/>
            <w:vAlign w:val="bottom"/>
            <w:tcBorders>
              <w:bottom w:val="single" w:sz="8" w:color="auto"/>
            </w:tcBorders>
          </w:tcPr>
          <w:p>
            <w:pPr>
              <w:spacing w:after="0"/>
              <w:rPr>
                <w:sz w:val="22"/>
                <w:szCs w:val="22"/>
                <w:color w:val="auto"/>
              </w:rPr>
            </w:pPr>
          </w:p>
        </w:tc>
      </w:tr>
      <w:tr>
        <w:trPr>
          <w:trHeight w:val="49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38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486"/>
        </w:trPr>
        <w:tc>
          <w:tcPr>
            <w:tcW w:w="1100" w:type="dxa"/>
            <w:vAlign w:val="bottom"/>
          </w:tcPr>
          <w:p>
            <w:pPr>
              <w:spacing w:after="0"/>
              <w:rPr>
                <w:sz w:val="20"/>
                <w:szCs w:val="20"/>
                <w:color w:val="auto"/>
              </w:rPr>
            </w:pPr>
            <w:r>
              <w:rPr>
                <w:rFonts w:ascii="Arial" w:cs="Arial" w:eastAsia="Arial" w:hAnsi="Arial"/>
                <w:sz w:val="22"/>
                <w:szCs w:val="22"/>
                <w:color w:val="auto"/>
              </w:rPr>
              <w:t>Its:</w:t>
            </w:r>
          </w:p>
        </w:tc>
        <w:tc>
          <w:tcPr>
            <w:tcW w:w="538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428"/>
        </w:trPr>
        <w:tc>
          <w:tcPr>
            <w:tcW w:w="1100" w:type="dxa"/>
            <w:vAlign w:val="bottom"/>
          </w:tcPr>
          <w:p>
            <w:pPr>
              <w:spacing w:after="0"/>
              <w:rPr>
                <w:sz w:val="20"/>
                <w:szCs w:val="20"/>
                <w:color w:val="auto"/>
              </w:rPr>
            </w:pPr>
            <w:r>
              <w:rPr>
                <w:rFonts w:ascii="Arial" w:cs="Arial" w:eastAsia="Arial" w:hAnsi="Arial"/>
                <w:sz w:val="22"/>
                <w:szCs w:val="22"/>
                <w:color w:val="auto"/>
              </w:rPr>
              <w:t>Address:</w:t>
            </w:r>
          </w:p>
        </w:tc>
        <w:tc>
          <w:tcPr>
            <w:tcW w:w="538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100" w:type="dxa"/>
            <w:vAlign w:val="bottom"/>
          </w:tcPr>
          <w:p>
            <w:pPr>
              <w:spacing w:after="0"/>
              <w:rPr>
                <w:sz w:val="23"/>
                <w:szCs w:val="23"/>
                <w:color w:val="auto"/>
              </w:rPr>
            </w:pPr>
          </w:p>
        </w:tc>
        <w:tc>
          <w:tcPr>
            <w:tcW w:w="538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387" w:lineRule="exact"/>
        <w:rPr>
          <w:sz w:val="20"/>
          <w:szCs w:val="20"/>
          <w:color w:val="auto"/>
        </w:rPr>
      </w:pPr>
    </w:p>
    <w:p>
      <w:pPr>
        <w:ind w:right="620" w:firstLine="749"/>
        <w:spacing w:after="0" w:line="250" w:lineRule="auto"/>
        <w:rPr>
          <w:sz w:val="20"/>
          <w:szCs w:val="20"/>
          <w:color w:val="auto"/>
        </w:rPr>
      </w:pPr>
      <w:r>
        <w:rPr>
          <w:rFonts w:ascii="Arial" w:cs="Arial" w:eastAsia="Arial" w:hAnsi="Arial"/>
          <w:sz w:val="22"/>
          <w:szCs w:val="22"/>
          <w:color w:val="auto"/>
        </w:rPr>
        <w:t>The Optionee hereby accepts the foregoing Option Agreement, subject to the terms and provisions of the Plan and administrative interpretations thereof referred to above.</w:t>
      </w:r>
    </w:p>
    <w:p>
      <w:pPr>
        <w:spacing w:after="0" w:line="15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OPTIONEE:</w:t>
      </w:r>
    </w:p>
    <w:p>
      <w:pPr>
        <w:spacing w:after="0" w:line="200" w:lineRule="exact"/>
        <w:rPr>
          <w:sz w:val="20"/>
          <w:szCs w:val="20"/>
          <w:color w:val="auto"/>
        </w:rPr>
      </w:pPr>
    </w:p>
    <w:p>
      <w:pPr>
        <w:spacing w:after="0" w:line="228" w:lineRule="exact"/>
        <w:rPr>
          <w:sz w:val="20"/>
          <w:szCs w:val="20"/>
          <w:color w:val="auto"/>
        </w:rPr>
      </w:pPr>
    </w:p>
    <w:p>
      <w:pPr>
        <w:ind w:left="4660"/>
        <w:spacing w:after="0"/>
        <w:tabs>
          <w:tab w:leader="none" w:pos="584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CHANGE-IN-CONTROL</w:t>
      </w:r>
    </w:p>
    <w:p>
      <w:pPr>
        <w:spacing w:after="0" w:line="199"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218" w:lineRule="exact"/>
        <w:rPr>
          <w:sz w:val="20"/>
          <w:szCs w:val="20"/>
          <w:color w:val="auto"/>
        </w:rPr>
      </w:pPr>
    </w:p>
    <w:p>
      <w:pPr>
        <w:ind w:left="-20" w:right="20" w:firstLine="1505"/>
        <w:spacing w:after="0" w:line="246" w:lineRule="auto"/>
        <w:tabs>
          <w:tab w:leader="none" w:pos="2975"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184" w:lineRule="exact"/>
        <w:rPr>
          <w:rFonts w:ascii="Arial" w:cs="Arial" w:eastAsia="Arial" w:hAnsi="Arial"/>
          <w:sz w:val="21"/>
          <w:szCs w:val="21"/>
          <w:color w:val="auto"/>
        </w:rPr>
      </w:pPr>
    </w:p>
    <w:p>
      <w:pPr>
        <w:ind w:left="-20" w:firstLine="1505"/>
        <w:spacing w:after="0" w:line="245" w:lineRule="auto"/>
        <w:tabs>
          <w:tab w:leader="none" w:pos="2975"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184" w:lineRule="exact"/>
        <w:rPr>
          <w:rFonts w:ascii="Arial" w:cs="Arial" w:eastAsia="Arial" w:hAnsi="Arial"/>
          <w:sz w:val="21"/>
          <w:szCs w:val="21"/>
          <w:color w:val="auto"/>
        </w:rPr>
      </w:pPr>
    </w:p>
    <w:p>
      <w:pPr>
        <w:ind w:left="-20" w:firstLine="1505"/>
        <w:spacing w:after="0" w:line="272" w:lineRule="auto"/>
        <w:tabs>
          <w:tab w:leader="none" w:pos="2975"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155" w:lineRule="exact"/>
        <w:rPr>
          <w:rFonts w:ascii="Arial" w:cs="Arial" w:eastAsia="Arial" w:hAnsi="Arial"/>
          <w:sz w:val="19"/>
          <w:szCs w:val="19"/>
          <w:color w:val="auto"/>
        </w:rPr>
      </w:pPr>
    </w:p>
    <w:p>
      <w:pPr>
        <w:ind w:left="-20" w:right="160" w:firstLine="1505"/>
        <w:spacing w:after="0"/>
        <w:tabs>
          <w:tab w:leader="none" w:pos="2975" w:val="left"/>
        </w:tabs>
        <w:numPr>
          <w:ilvl w:val="0"/>
          <w:numId w:val="58"/>
        </w:numPr>
        <w:rPr>
          <w:rFonts w:ascii="Arial" w:cs="Arial" w:eastAsia="Arial" w:hAnsi="Arial"/>
          <w:sz w:val="22"/>
          <w:szCs w:val="22"/>
          <w:color w:val="auto"/>
        </w:rPr>
      </w:pPr>
      <w:r>
        <w:rPr>
          <w:rFonts w:ascii="Arial" w:cs="Arial" w:eastAsia="Arial" w:hAnsi="Arial"/>
          <w:sz w:val="22"/>
          <w:szCs w:val="22"/>
          <w:color w:val="auto"/>
        </w:rPr>
        <w:t>Approval by the Board and the shareholders of the Company of (i) a complete liquidation or dissolution of the Company or (ii) a Major Asset Disposition (or, if there is no such approval by shareholders, consummation of such Major Asset Disposition)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5" w:right="359" w:bottom="1440" w:gutter="0" w:footer="0" w:header="0"/>
        </w:sectPr>
      </w:pPr>
    </w:p>
    <w:bookmarkStart w:id="63" w:name="page64"/>
    <w:bookmarkEnd w:id="63"/>
    <w:p>
      <w:pPr>
        <w:ind w:firstLine="1497"/>
        <w:spacing w:after="0" w:line="273" w:lineRule="auto"/>
        <w:rPr>
          <w:sz w:val="20"/>
          <w:szCs w:val="20"/>
          <w:color w:val="auto"/>
        </w:rPr>
      </w:pPr>
      <w:r>
        <w:rPr>
          <w:rFonts w:ascii="Arial" w:cs="Arial" w:eastAsia="Arial" w:hAnsi="Arial"/>
          <w:sz w:val="19"/>
          <w:szCs w:val="19"/>
          <w:color w:val="auto"/>
        </w:rPr>
        <w:t>(e)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206" w:lineRule="exact"/>
        <w:rPr>
          <w:sz w:val="20"/>
          <w:szCs w:val="20"/>
          <w:color w:val="auto"/>
        </w:rPr>
      </w:pPr>
    </w:p>
    <w:p>
      <w:pPr>
        <w:ind w:left="2200" w:hanging="695"/>
        <w:spacing w:after="0"/>
        <w:tabs>
          <w:tab w:leader="none" w:pos="22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“Person” means an individual, entity or group;</w:t>
      </w:r>
    </w:p>
    <w:p>
      <w:pPr>
        <w:spacing w:after="0" w:line="206" w:lineRule="exact"/>
        <w:rPr>
          <w:rFonts w:ascii="Arial" w:cs="Arial" w:eastAsia="Arial" w:hAnsi="Arial"/>
          <w:sz w:val="22"/>
          <w:szCs w:val="22"/>
          <w:color w:val="auto"/>
        </w:rPr>
      </w:pPr>
    </w:p>
    <w:p>
      <w:pPr>
        <w:ind w:left="2200" w:hanging="695"/>
        <w:spacing w:after="0"/>
        <w:tabs>
          <w:tab w:leader="none" w:pos="22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term “group” is used as it is defined for purposes of Section 13(d)(3) of the Exchange Act;</w:t>
      </w:r>
    </w:p>
    <w:p>
      <w:pPr>
        <w:spacing w:after="0" w:line="217" w:lineRule="exact"/>
        <w:rPr>
          <w:rFonts w:ascii="Arial" w:cs="Arial" w:eastAsia="Arial" w:hAnsi="Arial"/>
          <w:sz w:val="21"/>
          <w:szCs w:val="21"/>
          <w:color w:val="auto"/>
        </w:rPr>
      </w:pPr>
    </w:p>
    <w:p>
      <w:pPr>
        <w:ind w:left="2200" w:right="1360" w:hanging="695"/>
        <w:spacing w:after="0" w:line="250" w:lineRule="auto"/>
        <w:tabs>
          <w:tab w:leader="none" w:pos="22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terms “beneficial owner”, “beneficial ownership” and “beneficially own” are used as defined for purposes of Rule 13d-3 under the Exchange Act;</w:t>
      </w:r>
    </w:p>
    <w:p>
      <w:pPr>
        <w:spacing w:after="0" w:line="174" w:lineRule="exact"/>
        <w:rPr>
          <w:rFonts w:ascii="Arial" w:cs="Arial" w:eastAsia="Arial" w:hAnsi="Arial"/>
          <w:sz w:val="22"/>
          <w:szCs w:val="22"/>
          <w:color w:val="auto"/>
        </w:rPr>
      </w:pPr>
    </w:p>
    <w:p>
      <w:pPr>
        <w:ind w:left="2200" w:right="980" w:hanging="695"/>
        <w:spacing w:after="0" w:line="257" w:lineRule="auto"/>
        <w:tabs>
          <w:tab w:leader="none" w:pos="22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term “Business Combination” means (x) a merger, consolidation or share exchange involving the Company or its stock or (y) an acquisition by the Company, directly or through one or more subsidiaries, of another entity or its stock or assets;</w:t>
      </w:r>
    </w:p>
    <w:p>
      <w:pPr>
        <w:spacing w:after="0" w:line="169" w:lineRule="exact"/>
        <w:rPr>
          <w:rFonts w:ascii="Arial" w:cs="Arial" w:eastAsia="Arial" w:hAnsi="Arial"/>
          <w:sz w:val="21"/>
          <w:szCs w:val="21"/>
          <w:color w:val="auto"/>
        </w:rPr>
      </w:pPr>
    </w:p>
    <w:p>
      <w:pPr>
        <w:ind w:left="2200" w:right="880" w:hanging="695"/>
        <w:spacing w:after="0" w:line="250" w:lineRule="auto"/>
        <w:tabs>
          <w:tab w:leader="none" w:pos="22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“Company Common Stock” shall mean the Common Stock, par value $.01 per share, of the Company;</w:t>
      </w:r>
    </w:p>
    <w:p>
      <w:pPr>
        <w:spacing w:after="0" w:line="174" w:lineRule="exact"/>
        <w:rPr>
          <w:rFonts w:ascii="Arial" w:cs="Arial" w:eastAsia="Arial" w:hAnsi="Arial"/>
          <w:sz w:val="22"/>
          <w:szCs w:val="22"/>
          <w:color w:val="auto"/>
        </w:rPr>
      </w:pPr>
    </w:p>
    <w:p>
      <w:pPr>
        <w:ind w:left="2200" w:hanging="695"/>
        <w:spacing w:after="0"/>
        <w:tabs>
          <w:tab w:leader="none" w:pos="22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“Exchange Act” means the Securities Exchange Act of 1934, as amended.</w:t>
      </w:r>
    </w:p>
    <w:p>
      <w:pPr>
        <w:spacing w:after="0" w:line="206" w:lineRule="exact"/>
        <w:rPr>
          <w:rFonts w:ascii="Arial" w:cs="Arial" w:eastAsia="Arial" w:hAnsi="Arial"/>
          <w:sz w:val="22"/>
          <w:szCs w:val="22"/>
          <w:color w:val="auto"/>
        </w:rPr>
      </w:pPr>
    </w:p>
    <w:p>
      <w:pPr>
        <w:ind w:left="2200" w:right="740" w:hanging="695"/>
        <w:spacing w:after="0" w:line="287" w:lineRule="auto"/>
        <w:tabs>
          <w:tab w:leader="none" w:pos="22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phrase “parent corporation resulting from a Business Combination”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142" w:lineRule="exact"/>
        <w:rPr>
          <w:rFonts w:ascii="Arial" w:cs="Arial" w:eastAsia="Arial" w:hAnsi="Arial"/>
          <w:sz w:val="19"/>
          <w:szCs w:val="19"/>
          <w:color w:val="auto"/>
        </w:rPr>
      </w:pPr>
    </w:p>
    <w:p>
      <w:pPr>
        <w:ind w:left="2200" w:right="900" w:hanging="695"/>
        <w:spacing w:after="0" w:line="236" w:lineRule="auto"/>
        <w:tabs>
          <w:tab w:leader="none" w:pos="22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“Major Asset Disposition”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64" w:name="page65"/>
    <w:bookmarkEnd w:id="64"/>
    <w:p>
      <w:pPr>
        <w:ind w:left="1080" w:hanging="695"/>
        <w:spacing w:after="0" w:line="252" w:lineRule="auto"/>
        <w:tabs>
          <w:tab w:leader="none" w:pos="10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term “Acquiring Entity”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173" w:lineRule="exact"/>
        <w:rPr>
          <w:rFonts w:ascii="Arial" w:cs="Arial" w:eastAsia="Arial" w:hAnsi="Arial"/>
          <w:sz w:val="21"/>
          <w:szCs w:val="21"/>
          <w:color w:val="auto"/>
        </w:rPr>
      </w:pPr>
    </w:p>
    <w:p>
      <w:pPr>
        <w:ind w:left="1080" w:hanging="695"/>
        <w:spacing w:after="0" w:line="277" w:lineRule="auto"/>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phrase “substantially the same proportions,”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440" w:top="321" w:right="109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INCENTIVE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NON-QUALIFIED STOCK OPTION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Vesting)</w:t>
      </w:r>
    </w:p>
    <w:p>
      <w:pPr>
        <w:spacing w:after="0" w:line="200" w:lineRule="exact"/>
        <w:rPr>
          <w:sz w:val="20"/>
          <w:szCs w:val="20"/>
          <w:color w:val="auto"/>
        </w:rPr>
      </w:pPr>
    </w:p>
    <w:p>
      <w:pPr>
        <w:spacing w:after="0" w:line="215" w:lineRule="exact"/>
        <w:rPr>
          <w:sz w:val="20"/>
          <w:szCs w:val="20"/>
          <w:color w:val="auto"/>
        </w:rPr>
      </w:pPr>
    </w:p>
    <w:p>
      <w:pPr>
        <w:ind w:right="260" w:firstLine="749"/>
        <w:spacing w:after="0" w:line="276" w:lineRule="auto"/>
        <w:rPr>
          <w:sz w:val="20"/>
          <w:szCs w:val="20"/>
          <w:color w:val="auto"/>
        </w:rPr>
      </w:pPr>
      <w:r>
        <w:rPr>
          <w:rFonts w:ascii="Arial" w:cs="Arial" w:eastAsia="Arial" w:hAnsi="Arial"/>
          <w:sz w:val="19"/>
          <w:szCs w:val="19"/>
          <w:color w:val="auto"/>
        </w:rPr>
        <w:t>This option agreement (the “</w:t>
      </w:r>
      <w:r>
        <w:rPr>
          <w:rFonts w:ascii="Arial" w:cs="Arial" w:eastAsia="Arial" w:hAnsi="Arial"/>
          <w:sz w:val="19"/>
          <w:szCs w:val="19"/>
          <w:u w:val="single" w:color="auto"/>
          <w:color w:val="auto"/>
        </w:rPr>
        <w:t>Option Agreement</w:t>
      </w:r>
      <w:r>
        <w:rPr>
          <w:rFonts w:ascii="Arial" w:cs="Arial" w:eastAsia="Arial" w:hAnsi="Arial"/>
          <w:sz w:val="19"/>
          <w:szCs w:val="19"/>
          <w:color w:val="auto"/>
        </w:rPr>
        <w:t>” or “</w:t>
      </w:r>
      <w:r>
        <w:rPr>
          <w:rFonts w:ascii="Arial" w:cs="Arial" w:eastAsia="Arial" w:hAnsi="Arial"/>
          <w:sz w:val="19"/>
          <w:szCs w:val="19"/>
          <w:u w:val="single" w:color="auto"/>
          <w:color w:val="auto"/>
        </w:rPr>
        <w:t>Agreement</w:t>
      </w:r>
      <w:r>
        <w:rPr>
          <w:rFonts w:ascii="Arial" w:cs="Arial" w:eastAsia="Arial" w:hAnsi="Arial"/>
          <w:sz w:val="19"/>
          <w:szCs w:val="19"/>
          <w:color w:val="auto"/>
        </w:rPr>
        <w:t>”) entered into between E</w:t>
      </w:r>
      <w:r>
        <w:rPr>
          <w:rFonts w:ascii="Arial" w:cs="Arial" w:eastAsia="Arial" w:hAnsi="Arial"/>
          <w:sz w:val="13"/>
          <w:szCs w:val="13"/>
          <w:color w:val="auto"/>
        </w:rPr>
        <w:t>AGLE</w:t>
      </w:r>
      <w:r>
        <w:rPr>
          <w:rFonts w:ascii="Arial" w:cs="Arial" w:eastAsia="Arial" w:hAnsi="Arial"/>
          <w:sz w:val="19"/>
          <w:szCs w:val="19"/>
          <w:color w:val="auto"/>
        </w:rPr>
        <w:t xml:space="preserve"> M</w:t>
      </w:r>
      <w:r>
        <w:rPr>
          <w:rFonts w:ascii="Arial" w:cs="Arial" w:eastAsia="Arial" w:hAnsi="Arial"/>
          <w:sz w:val="13"/>
          <w:szCs w:val="13"/>
          <w:color w:val="auto"/>
        </w:rPr>
        <w:t>ATERIALS</w:t>
      </w:r>
      <w:r>
        <w:rPr>
          <w:rFonts w:ascii="Arial" w:cs="Arial" w:eastAsia="Arial" w:hAnsi="Arial"/>
          <w:sz w:val="19"/>
          <w:szCs w:val="19"/>
          <w:color w:val="auto"/>
        </w:rPr>
        <w:t xml:space="preserve"> I</w:t>
      </w:r>
      <w:r>
        <w:rPr>
          <w:rFonts w:ascii="Arial" w:cs="Arial" w:eastAsia="Arial" w:hAnsi="Arial"/>
          <w:sz w:val="13"/>
          <w:szCs w:val="13"/>
          <w:color w:val="auto"/>
        </w:rPr>
        <w:t>NC</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 (the “</w:t>
      </w:r>
      <w:r>
        <w:rPr>
          <w:rFonts w:ascii="Arial" w:cs="Arial" w:eastAsia="Arial" w:hAnsi="Arial"/>
          <w:sz w:val="19"/>
          <w:szCs w:val="19"/>
          <w:u w:val="single" w:color="auto"/>
          <w:color w:val="auto"/>
        </w:rPr>
        <w:t>Optionee</w:t>
      </w:r>
      <w:r>
        <w:rPr>
          <w:rFonts w:ascii="Arial" w:cs="Arial" w:eastAsia="Arial" w:hAnsi="Arial"/>
          <w:sz w:val="19"/>
          <w:szCs w:val="19"/>
          <w:color w:val="auto"/>
        </w:rPr>
        <w:t>”), an employee of the Company or its Affiliates, with</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respect to a right (the “</w:t>
      </w:r>
      <w:r>
        <w:rPr>
          <w:rFonts w:ascii="Arial" w:cs="Arial" w:eastAsia="Arial" w:hAnsi="Arial"/>
          <w:sz w:val="19"/>
          <w:szCs w:val="19"/>
          <w:u w:val="single" w:color="auto"/>
          <w:color w:val="auto"/>
        </w:rPr>
        <w:t>Option</w:t>
      </w:r>
      <w:r>
        <w:rPr>
          <w:rFonts w:ascii="Arial" w:cs="Arial" w:eastAsia="Arial" w:hAnsi="Arial"/>
          <w:sz w:val="19"/>
          <w:szCs w:val="19"/>
          <w:color w:val="auto"/>
        </w:rPr>
        <w:t>”) awarded to the Optionee under the Eagle Materials Inc. Amended and Restated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on May 19, 2022 (the “</w:t>
      </w:r>
      <w:r>
        <w:rPr>
          <w:rFonts w:ascii="Arial" w:cs="Arial" w:eastAsia="Arial" w:hAnsi="Arial"/>
          <w:sz w:val="19"/>
          <w:szCs w:val="19"/>
          <w:u w:val="single" w:color="auto"/>
          <w:color w:val="auto"/>
        </w:rPr>
        <w:t>Award Date</w:t>
      </w:r>
      <w:r>
        <w:rPr>
          <w:rFonts w:ascii="Arial" w:cs="Arial" w:eastAsia="Arial" w:hAnsi="Arial"/>
          <w:sz w:val="19"/>
          <w:szCs w:val="19"/>
          <w:color w:val="auto"/>
        </w:rPr>
        <w:t>”) to purchase from the Company up to but not exceeding in the aggregate _____ shares of the Company’s common stock, par value $0.01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 price of $126.22 per share (the</w:t>
      </w:r>
    </w:p>
    <w:p>
      <w:pPr>
        <w:spacing w:after="0" w:line="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such number of shares and such price per share being subject to adjustment as provided in the Plan, and further subject to the following terms and conditions:</w:t>
      </w:r>
    </w:p>
    <w:p>
      <w:pPr>
        <w:spacing w:after="0" w:line="187" w:lineRule="exact"/>
        <w:rPr>
          <w:sz w:val="20"/>
          <w:szCs w:val="20"/>
          <w:color w:val="auto"/>
        </w:rPr>
      </w:pPr>
    </w:p>
    <w:p>
      <w:pPr>
        <w:ind w:left="2260" w:hanging="1503"/>
        <w:spacing w:after="0"/>
        <w:tabs>
          <w:tab w:leader="none" w:pos="2260" w:val="left"/>
        </w:tabs>
        <w:numPr>
          <w:ilvl w:val="0"/>
          <w:numId w:val="6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Relationship to Plan</w:t>
      </w:r>
    </w:p>
    <w:p>
      <w:pPr>
        <w:spacing w:after="0" w:line="206" w:lineRule="exact"/>
        <w:rPr>
          <w:sz w:val="20"/>
          <w:szCs w:val="20"/>
          <w:color w:val="auto"/>
        </w:rPr>
      </w:pPr>
    </w:p>
    <w:p>
      <w:pPr>
        <w:ind w:right="20" w:firstLine="432"/>
        <w:spacing w:after="0" w:line="238" w:lineRule="auto"/>
        <w:rPr>
          <w:sz w:val="20"/>
          <w:szCs w:val="20"/>
          <w:color w:val="auto"/>
        </w:rPr>
      </w:pPr>
      <w:r>
        <w:rPr>
          <w:rFonts w:ascii="Arial" w:cs="Arial" w:eastAsia="Arial" w:hAnsi="Arial"/>
          <w:sz w:val="22"/>
          <w:szCs w:val="22"/>
          <w:color w:val="auto"/>
        </w:rPr>
        <w:t>This Option is subject to all of the terms, conditions and provisions of the Plan and administrative interpretations thereunder, if any, which have been adopted by the Company’s Compensation Committee (“</w:t>
      </w:r>
      <w:r>
        <w:rPr>
          <w:rFonts w:ascii="Arial" w:cs="Arial" w:eastAsia="Arial" w:hAnsi="Arial"/>
          <w:sz w:val="22"/>
          <w:szCs w:val="22"/>
          <w:u w:val="single" w:color="auto"/>
          <w:color w:val="auto"/>
        </w:rPr>
        <w:t>Committee</w:t>
      </w:r>
      <w:r>
        <w:rPr>
          <w:rFonts w:ascii="Arial" w:cs="Arial" w:eastAsia="Arial" w:hAnsi="Arial"/>
          <w:sz w:val="22"/>
          <w:szCs w:val="22"/>
          <w:color w:val="auto"/>
        </w:rPr>
        <w:t>”) and are in effect on the date hereof. Except as defined herein, capitalized terms shall have the same meanings ascribed to them under the Plan. For purposes of this Option Agreement:</w:t>
      </w:r>
    </w:p>
    <w:p>
      <w:pPr>
        <w:spacing w:after="0" w:line="185" w:lineRule="exact"/>
        <w:rPr>
          <w:sz w:val="20"/>
          <w:szCs w:val="20"/>
          <w:color w:val="auto"/>
        </w:rPr>
      </w:pPr>
    </w:p>
    <w:p>
      <w:pPr>
        <w:ind w:left="3000" w:hanging="1495"/>
        <w:spacing w:after="0"/>
        <w:tabs>
          <w:tab w:leader="none" w:pos="30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shall be determined by the Committee.</w:t>
      </w:r>
    </w:p>
    <w:p>
      <w:pPr>
        <w:spacing w:after="0" w:line="206" w:lineRule="exact"/>
        <w:rPr>
          <w:rFonts w:ascii="Arial" w:cs="Arial" w:eastAsia="Arial" w:hAnsi="Arial"/>
          <w:sz w:val="22"/>
          <w:szCs w:val="22"/>
          <w:color w:val="auto"/>
        </w:rPr>
      </w:pPr>
    </w:p>
    <w:p>
      <w:pPr>
        <w:ind w:left="3000" w:hanging="1495"/>
        <w:spacing w:after="0"/>
        <w:tabs>
          <w:tab w:leader="none" w:pos="30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a retirement approved by the Board.</w:t>
      </w:r>
    </w:p>
    <w:p>
      <w:pPr>
        <w:spacing w:after="0" w:line="206" w:lineRule="exact"/>
        <w:rPr>
          <w:rFonts w:ascii="Arial" w:cs="Arial" w:eastAsia="Arial" w:hAnsi="Arial"/>
          <w:sz w:val="22"/>
          <w:szCs w:val="22"/>
          <w:color w:val="auto"/>
        </w:rPr>
      </w:pPr>
    </w:p>
    <w:p>
      <w:pPr>
        <w:ind w:left="2260" w:hanging="1503"/>
        <w:spacing w:after="0"/>
        <w:tabs>
          <w:tab w:leader="none" w:pos="2260" w:val="left"/>
        </w:tabs>
        <w:numPr>
          <w:ilvl w:val="0"/>
          <w:numId w:val="6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Vesting and Exercise Schedules</w:t>
      </w:r>
      <w:r>
        <w:rPr>
          <w:rFonts w:ascii="Arial" w:cs="Arial" w:eastAsia="Arial" w:hAnsi="Arial"/>
          <w:sz w:val="22"/>
          <w:szCs w:val="22"/>
          <w:i w:val="1"/>
          <w:iCs w:val="1"/>
          <w:color w:val="auto"/>
        </w:rPr>
        <w:t>.</w:t>
      </w:r>
    </w:p>
    <w:p>
      <w:pPr>
        <w:spacing w:after="0" w:line="206" w:lineRule="exact"/>
        <w:rPr>
          <w:rFonts w:ascii="Arial" w:cs="Arial" w:eastAsia="Arial" w:hAnsi="Arial"/>
          <w:sz w:val="22"/>
          <w:szCs w:val="22"/>
          <w:b w:val="1"/>
          <w:bCs w:val="1"/>
          <w:i w:val="1"/>
          <w:iCs w:val="1"/>
          <w:color w:val="auto"/>
        </w:rPr>
      </w:pPr>
    </w:p>
    <w:p>
      <w:pPr>
        <w:ind w:right="360" w:firstLine="1505"/>
        <w:spacing w:after="0"/>
        <w:tabs>
          <w:tab w:leader="none" w:pos="1929"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i w:val="1"/>
          <w:iCs w:val="1"/>
          <w:color w:val="auto"/>
        </w:rPr>
        <w:t>.</w:t>
      </w:r>
      <w:r>
        <w:rPr>
          <w:rFonts w:ascii="Arial" w:cs="Arial" w:eastAsia="Arial" w:hAnsi="Arial"/>
          <w:sz w:val="22"/>
          <w:szCs w:val="22"/>
          <w:color w:val="auto"/>
        </w:rPr>
        <w:t xml:space="preserve"> The shares of Common Stock covered by this Option (“</w:t>
      </w:r>
      <w:r>
        <w:rPr>
          <w:rFonts w:ascii="Arial" w:cs="Arial" w:eastAsia="Arial" w:hAnsi="Arial"/>
          <w:sz w:val="22"/>
          <w:szCs w:val="22"/>
          <w:u w:val="single" w:color="auto"/>
          <w:color w:val="auto"/>
        </w:rPr>
        <w:t>Option Shares</w:t>
      </w:r>
      <w:r>
        <w:rPr>
          <w:rFonts w:ascii="Arial" w:cs="Arial" w:eastAsia="Arial" w:hAnsi="Arial"/>
          <w:sz w:val="22"/>
          <w:szCs w:val="22"/>
          <w:color w:val="auto"/>
        </w:rPr>
        <w:t>”) shall vest and become exercisable on the date designated (a "</w:t>
      </w:r>
      <w:r>
        <w:rPr>
          <w:rFonts w:ascii="Arial" w:cs="Arial" w:eastAsia="Arial" w:hAnsi="Arial"/>
          <w:sz w:val="22"/>
          <w:szCs w:val="22"/>
          <w:u w:val="single" w:color="auto"/>
          <w:color w:val="auto"/>
        </w:rPr>
        <w:t>Vesting Date</w:t>
      </w:r>
      <w:r>
        <w:rPr>
          <w:rFonts w:ascii="Arial" w:cs="Arial" w:eastAsia="Arial" w:hAnsi="Arial"/>
          <w:sz w:val="22"/>
          <w:szCs w:val="22"/>
          <w:color w:val="auto"/>
        </w:rPr>
        <w:t>") in accordance with the following vesting schedule (the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157" w:lineRule="exact"/>
        <w:rPr>
          <w:sz w:val="20"/>
          <w:szCs w:val="20"/>
          <w:color w:val="auto"/>
        </w:rPr>
      </w:pPr>
    </w:p>
    <w:tbl>
      <w:tblPr>
        <w:tblLayout w:type="fixed"/>
        <w:tblInd w:w="432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940" w:type="dxa"/>
            <w:vAlign w:val="bottom"/>
            <w:gridSpan w:val="4"/>
          </w:tcPr>
          <w:p>
            <w:pPr>
              <w:ind w:left="1240"/>
              <w:spacing w:after="0"/>
              <w:rPr>
                <w:sz w:val="20"/>
                <w:szCs w:val="20"/>
                <w:color w:val="auto"/>
              </w:rPr>
            </w:pPr>
            <w:r>
              <w:rPr>
                <w:rFonts w:ascii="Arial" w:cs="Arial" w:eastAsia="Arial" w:hAnsi="Arial"/>
                <w:sz w:val="22"/>
                <w:szCs w:val="22"/>
                <w:b w:val="1"/>
                <w:bCs w:val="1"/>
                <w:color w:val="auto"/>
                <w:w w:val="95"/>
              </w:rPr>
              <w:t>Option</w:t>
            </w: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20"/>
                <w:szCs w:val="20"/>
                <w:color w:val="auto"/>
              </w:rPr>
            </w:pPr>
            <w:r>
              <w:rPr>
                <w:rFonts w:ascii="Arial" w:cs="Arial" w:eastAsia="Arial" w:hAnsi="Arial"/>
                <w:sz w:val="22"/>
                <w:szCs w:val="22"/>
                <w:b w:val="1"/>
                <w:bCs w:val="1"/>
                <w:color w:val="auto"/>
                <w:w w:val="85"/>
              </w:rPr>
              <w:t>Vesting Date</w:t>
            </w:r>
          </w:p>
        </w:tc>
        <w:tc>
          <w:tcPr>
            <w:tcW w:w="1240" w:type="dxa"/>
            <w:vAlign w:val="bottom"/>
          </w:tcPr>
          <w:p>
            <w:pPr>
              <w:spacing w:after="0"/>
              <w:rPr>
                <w:sz w:val="17"/>
                <w:szCs w:val="17"/>
                <w:color w:val="auto"/>
              </w:rPr>
            </w:pPr>
          </w:p>
        </w:tc>
        <w:tc>
          <w:tcPr>
            <w:tcW w:w="70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22"/>
                <w:szCs w:val="22"/>
                <w:b w:val="1"/>
                <w:bCs w:val="1"/>
                <w:color w:val="auto"/>
                <w:w w:val="87"/>
              </w:rPr>
              <w:t>Shares</w:t>
            </w:r>
          </w:p>
        </w:tc>
        <w:tc>
          <w:tcPr>
            <w:tcW w:w="0" w:type="dxa"/>
            <w:vAlign w:val="bottom"/>
          </w:tcPr>
          <w:p>
            <w:pPr>
              <w:spacing w:after="0"/>
              <w:rPr>
                <w:sz w:val="1"/>
                <w:szCs w:val="1"/>
                <w:color w:val="auto"/>
              </w:rPr>
            </w:pPr>
          </w:p>
        </w:tc>
      </w:tr>
      <w:tr>
        <w:trPr>
          <w:trHeight w:val="93"/>
        </w:trPr>
        <w:tc>
          <w:tcPr>
            <w:tcW w:w="1160" w:type="dxa"/>
            <w:vAlign w:val="bottom"/>
            <w:tcBorders>
              <w:bottom w:val="single" w:sz="8" w:color="auto"/>
            </w:tcBorders>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2023</w:t>
      </w:r>
    </w:p>
    <w:p>
      <w:pPr>
        <w:spacing w:after="0" w:line="7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2024</w:t>
      </w:r>
    </w:p>
    <w:p>
      <w:pPr>
        <w:spacing w:after="0" w:line="7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2025</w:t>
      </w:r>
    </w:p>
    <w:p>
      <w:pPr>
        <w:spacing w:after="0" w:line="7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March 31, 2026</w:t>
      </w:r>
    </w:p>
    <w:p>
      <w:pPr>
        <w:spacing w:after="0" w:line="65"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Total</w:t>
      </w:r>
    </w:p>
    <w:p>
      <w:pPr>
        <w:spacing w:after="0" w:line="239"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The Optionee must be in continuous service as an employee of the Company or any of its Affiliates or as a Director from the Award Date through the applicable Vesting Date on which the portion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ind w:right="40"/>
        <w:spacing w:after="0" w:line="234" w:lineRule="auto"/>
        <w:rPr>
          <w:sz w:val="20"/>
          <w:szCs w:val="20"/>
          <w:color w:val="auto"/>
        </w:rPr>
      </w:pPr>
      <w:r>
        <w:rPr>
          <w:rFonts w:ascii="Arial" w:cs="Arial" w:eastAsia="Arial" w:hAnsi="Arial"/>
          <w:sz w:val="22"/>
          <w:szCs w:val="22"/>
          <w:color w:val="auto"/>
        </w:rPr>
        <w:t>Shares would otherwise become exercisable in order for the Option to become exercisable with respect to that portion of the Option Shares, otherwise such Option Shares shall be forfeited. Notwithstanding the foregoing, in the event the Optionee’s employment and, if applicable, service as a Director terminates by reason of death, Disability or Retirement, and in any such case such termination follows the Award Date and is prior to any Vesting Date, any then exercisable Option Shares shall continue to be exercisable for a period of two years following such termination, and any unexercisable Option Shares shall continue to become exercisable as if the Optionee had remained employed or continued to serve as a Director for a period of two years following such termination.</w:t>
      </w:r>
    </w:p>
    <w:p>
      <w:pPr>
        <w:spacing w:after="0" w:line="191" w:lineRule="exact"/>
        <w:rPr>
          <w:sz w:val="20"/>
          <w:szCs w:val="20"/>
          <w:color w:val="auto"/>
        </w:rPr>
      </w:pPr>
    </w:p>
    <w:p>
      <w:pPr>
        <w:jc w:val="both"/>
        <w:ind w:right="120" w:firstLine="1497"/>
        <w:spacing w:after="0"/>
        <w:rPr>
          <w:sz w:val="20"/>
          <w:szCs w:val="20"/>
          <w:color w:val="auto"/>
        </w:rPr>
      </w:pPr>
      <w:r>
        <w:rPr>
          <w:rFonts w:ascii="Arial" w:cs="Arial" w:eastAsia="Arial" w:hAnsi="Arial"/>
          <w:sz w:val="22"/>
          <w:szCs w:val="22"/>
          <w:color w:val="auto"/>
        </w:rPr>
        <w:t>To the extent the Option becomes exercisable, such Option may be exercised in whole or in part (at any time or from time to time, except as otherwise provided herein) until expiration of the Option pursuant to the terms of this Agreement or the Plan.</w:t>
      </w:r>
    </w:p>
    <w:p>
      <w:pPr>
        <w:spacing w:after="0" w:line="186" w:lineRule="exact"/>
        <w:rPr>
          <w:sz w:val="20"/>
          <w:szCs w:val="20"/>
          <w:color w:val="auto"/>
        </w:rPr>
      </w:pPr>
    </w:p>
    <w:p>
      <w:pPr>
        <w:ind w:firstLine="1505"/>
        <w:spacing w:after="0" w:line="274" w:lineRule="auto"/>
        <w:tabs>
          <w:tab w:leader="none" w:pos="192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i w:val="1"/>
          <w:iCs w:val="1"/>
          <w:color w:val="auto"/>
        </w:rPr>
        <w:t>.</w:t>
      </w:r>
      <w:r>
        <w:rPr>
          <w:rFonts w:ascii="Arial" w:cs="Arial" w:eastAsia="Arial" w:hAnsi="Arial"/>
          <w:sz w:val="19"/>
          <w:szCs w:val="19"/>
          <w:color w:val="auto"/>
        </w:rPr>
        <w:t xml:space="preserve"> This Option shall become fully vested and exercisable, without regard to the limitations set forth in subparagraph (a) above, provided that the Optionee has been in continuous employment with the Company or any of its Affiliates or served as a Director from the Award Date through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Option is to be replaced within a reasonable time after the Change in Control with an option of equivalent value to purchase shares of the surviving parent corporation or (ii) the Option is to be settled in cash in accordance with the last sentence of this subparagraph (b). Upon a Change in Control, pursuant to Section 15 of the Plan, the Company may, in its discretion, settle the Option by a cash payment equal to the difference between the Fair Market Value per share of Common Stock on the settlement date and the Exercise Price for the Option, multiplied by the number of shares then subject to the Option.</w:t>
      </w:r>
    </w:p>
    <w:p>
      <w:pPr>
        <w:spacing w:after="0" w:line="158" w:lineRule="exact"/>
        <w:rPr>
          <w:rFonts w:ascii="Arial" w:cs="Arial" w:eastAsia="Arial" w:hAnsi="Arial"/>
          <w:sz w:val="19"/>
          <w:szCs w:val="19"/>
          <w:color w:val="auto"/>
        </w:rPr>
      </w:pPr>
    </w:p>
    <w:p>
      <w:pPr>
        <w:ind w:right="40" w:firstLine="1505"/>
        <w:spacing w:after="0" w:line="273" w:lineRule="auto"/>
        <w:tabs>
          <w:tab w:leader="none" w:pos="192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Capital Adjustments and Corporate Events</w:t>
      </w:r>
      <w:r>
        <w:rPr>
          <w:rFonts w:ascii="Arial" w:cs="Arial" w:eastAsia="Arial" w:hAnsi="Arial"/>
          <w:sz w:val="19"/>
          <w:szCs w:val="19"/>
          <w:color w:val="auto"/>
        </w:rPr>
        <w:t>. If, from time to time during the term of the Option prior to its exercise, there is any capital adjustment affecting the outstanding Common Stock as a class without the Company’s receipt of consideration, including, without limitation, as a result of a spin-off or business disposition or an extraordinary cash dividend, the Option Shares and other applicable terms of this Option shall be adjusted in accordance with the provisions of Section 15 of the Plan, which adjustment shall include (as may be applicable) without limitation, equitable adjustments to the number of Option Shares, exercise price and type of property or securities to which the Option relates, in each case as determined by the Committee in its discretion and in accordance with Code Section 409A.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61" w:lineRule="exact"/>
        <w:rPr>
          <w:sz w:val="20"/>
          <w:szCs w:val="20"/>
          <w:color w:val="auto"/>
        </w:rPr>
      </w:pPr>
    </w:p>
    <w:p>
      <w:pPr>
        <w:ind w:left="2260" w:hanging="1503"/>
        <w:spacing w:after="0"/>
        <w:tabs>
          <w:tab w:leader="none" w:pos="2260" w:val="left"/>
        </w:tabs>
        <w:numPr>
          <w:ilvl w:val="0"/>
          <w:numId w:val="6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Termination of Option</w:t>
      </w:r>
      <w:r>
        <w:rPr>
          <w:rFonts w:ascii="Arial" w:cs="Arial" w:eastAsia="Arial" w:hAnsi="Arial"/>
          <w:sz w:val="22"/>
          <w:szCs w:val="22"/>
          <w:i w:val="1"/>
          <w:iCs w:val="1"/>
          <w:color w:val="auto"/>
        </w:rPr>
        <w:t>.</w:t>
      </w:r>
    </w:p>
    <w:p>
      <w:pPr>
        <w:spacing w:after="0" w:line="206" w:lineRule="exact"/>
        <w:rPr>
          <w:sz w:val="20"/>
          <w:szCs w:val="20"/>
          <w:color w:val="auto"/>
        </w:rPr>
      </w:pPr>
    </w:p>
    <w:p>
      <w:pPr>
        <w:ind w:right="340" w:firstLine="432"/>
        <w:spacing w:after="0" w:line="250" w:lineRule="auto"/>
        <w:rPr>
          <w:sz w:val="20"/>
          <w:szCs w:val="20"/>
          <w:color w:val="auto"/>
        </w:rPr>
      </w:pPr>
      <w:r>
        <w:rPr>
          <w:rFonts w:ascii="Arial" w:cs="Arial" w:eastAsia="Arial" w:hAnsi="Arial"/>
          <w:sz w:val="22"/>
          <w:szCs w:val="22"/>
          <w:color w:val="auto"/>
        </w:rPr>
        <w:t>The Option hereby granted shall terminate and be of no force and effect with respect to any Option Shares not previously purchased by the Optionee at the earliest time specified below:</w:t>
      </w:r>
    </w:p>
    <w:p>
      <w:pPr>
        <w:spacing w:after="0" w:line="175" w:lineRule="exact"/>
        <w:rPr>
          <w:sz w:val="20"/>
          <w:szCs w:val="20"/>
          <w:color w:val="auto"/>
        </w:rPr>
      </w:pPr>
    </w:p>
    <w:p>
      <w:pPr>
        <w:ind w:left="3000" w:hanging="1495"/>
        <w:spacing w:after="0"/>
        <w:tabs>
          <w:tab w:leader="none" w:pos="30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tenth anniversary of the Award Date;</w:t>
      </w:r>
    </w:p>
    <w:p>
      <w:pPr>
        <w:spacing w:after="0" w:line="206" w:lineRule="exact"/>
        <w:rPr>
          <w:rFonts w:ascii="Arial" w:cs="Arial" w:eastAsia="Arial" w:hAnsi="Arial"/>
          <w:sz w:val="22"/>
          <w:szCs w:val="22"/>
          <w:color w:val="auto"/>
        </w:rPr>
      </w:pPr>
    </w:p>
    <w:p>
      <w:pPr>
        <w:ind w:right="80" w:firstLine="1505"/>
        <w:spacing w:after="0" w:line="257" w:lineRule="auto"/>
        <w:tabs>
          <w:tab w:leader="none" w:pos="2995" w:val="left"/>
        </w:tabs>
        <w:numPr>
          <w:ilvl w:val="0"/>
          <w:numId w:val="66"/>
        </w:numPr>
        <w:rPr>
          <w:rFonts w:ascii="Arial" w:cs="Arial" w:eastAsia="Arial" w:hAnsi="Arial"/>
          <w:sz w:val="21"/>
          <w:szCs w:val="21"/>
          <w:color w:val="auto"/>
        </w:rPr>
      </w:pPr>
      <w:r>
        <w:rPr>
          <w:rFonts w:ascii="Arial" w:cs="Arial" w:eastAsia="Arial" w:hAnsi="Arial"/>
          <w:sz w:val="21"/>
          <w:szCs w:val="21"/>
          <w:color w:val="auto"/>
        </w:rPr>
        <w:t>if Optionee’s employment with the Company and its Affiliates or service as a Director is terminated by the Company or a Subsidiary for “cause” (as determined by the Committee) at any time after the Award Date, then the Option shall terminate immediately upon such termination of Optionee’s employment or service;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7" w:name="page68"/>
    <w:bookmarkEnd w:id="67"/>
    <w:p>
      <w:pPr>
        <w:ind w:right="200" w:firstLine="1505"/>
        <w:spacing w:after="0" w:line="297" w:lineRule="auto"/>
        <w:tabs>
          <w:tab w:leader="none" w:pos="2995"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Optionee’s employment with the Company and its Affiliates and, if applicable, service as a Director is terminated for any reason other than death, Disability, Retirement or termination for “cause,” then the Option shall terminate on the first business day following the expiration of the 90-day period beginning on such date of termination; or</w:t>
      </w:r>
    </w:p>
    <w:p>
      <w:pPr>
        <w:spacing w:after="0" w:line="133" w:lineRule="exact"/>
        <w:rPr>
          <w:rFonts w:ascii="Arial" w:cs="Arial" w:eastAsia="Arial" w:hAnsi="Arial"/>
          <w:sz w:val="19"/>
          <w:szCs w:val="19"/>
          <w:color w:val="auto"/>
        </w:rPr>
      </w:pPr>
    </w:p>
    <w:p>
      <w:pPr>
        <w:ind w:right="120" w:firstLine="1505"/>
        <w:spacing w:after="0" w:line="277" w:lineRule="auto"/>
        <w:tabs>
          <w:tab w:leader="none" w:pos="2995"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Optionee’s employment with the Company and its Affiliates and, if applicable, service as a Director is terminated due to the death, Disability or Retirement of the Optionee, and in any such case such termination is at any time after the Award Date, then the Option shall terminate on the later of (i) the first business day following the expiration of the two-year period following such termination and (ii) with respect to any Option Shares which become exercisable after such termination, the first business day following the expiration of the 90-day period beginning on the date the Options Shares first become exercisable; provided, the Committee in its discretion may extend such expiration date up to the full remaining term of the Option under such circumstances as it deems appropriate.</w:t>
      </w:r>
    </w:p>
    <w:p>
      <w:pPr>
        <w:spacing w:after="0" w:line="151" w:lineRule="exact"/>
        <w:rPr>
          <w:rFonts w:ascii="Arial" w:cs="Arial" w:eastAsia="Arial" w:hAnsi="Arial"/>
          <w:sz w:val="19"/>
          <w:szCs w:val="19"/>
          <w:color w:val="auto"/>
        </w:rPr>
      </w:pPr>
    </w:p>
    <w:p>
      <w:pPr>
        <w:ind w:left="2260" w:hanging="1503"/>
        <w:spacing w:after="0"/>
        <w:tabs>
          <w:tab w:leader="none" w:pos="2260" w:val="left"/>
        </w:tabs>
        <w:numPr>
          <w:ilvl w:val="0"/>
          <w:numId w:val="6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Exercise of Option</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color w:val="auto"/>
        </w:rPr>
        <w:t>Subject to the limitations set forth herein and in the Plan, this Option may be exercised by notice provided to the Company as set forth in Section 5. The payment of the Exercise Price for the Common Stock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Such notice shall be accompanied by cash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Section 8).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200" w:lineRule="exact"/>
        <w:rPr>
          <w:sz w:val="20"/>
          <w:szCs w:val="20"/>
          <w:color w:val="auto"/>
        </w:rPr>
      </w:pPr>
    </w:p>
    <w:p>
      <w:pPr>
        <w:spacing w:after="0" w:line="211" w:lineRule="exact"/>
        <w:rPr>
          <w:sz w:val="20"/>
          <w:szCs w:val="20"/>
          <w:color w:val="auto"/>
        </w:rPr>
      </w:pPr>
    </w:p>
    <w:p>
      <w:pPr>
        <w:ind w:right="20" w:firstLine="749"/>
        <w:spacing w:after="0" w:line="246" w:lineRule="auto"/>
        <w:rPr>
          <w:sz w:val="20"/>
          <w:szCs w:val="20"/>
          <w:color w:val="auto"/>
        </w:rPr>
      </w:pPr>
      <w:r>
        <w:rPr>
          <w:rFonts w:ascii="Arial" w:cs="Arial" w:eastAsia="Arial" w:hAnsi="Arial"/>
          <w:sz w:val="21"/>
          <w:szCs w:val="21"/>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8" w:name="page69"/>
    <w:bookmarkEnd w:id="68"/>
    <w:p>
      <w:pPr>
        <w:ind w:firstLine="749"/>
        <w:spacing w:after="0" w:line="275" w:lineRule="auto"/>
        <w:rPr>
          <w:sz w:val="20"/>
          <w:szCs w:val="20"/>
          <w:color w:val="auto"/>
        </w:rPr>
      </w:pPr>
      <w:r>
        <w:rPr>
          <w:rFonts w:ascii="Arial" w:cs="Arial" w:eastAsia="Arial" w:hAnsi="Arial"/>
          <w:sz w:val="19"/>
          <w:szCs w:val="19"/>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57" w:lineRule="exact"/>
        <w:rPr>
          <w:sz w:val="20"/>
          <w:szCs w:val="20"/>
          <w:color w:val="auto"/>
        </w:rPr>
      </w:pPr>
    </w:p>
    <w:p>
      <w:pPr>
        <w:jc w:val="both"/>
        <w:ind w:right="120" w:firstLine="749"/>
        <w:spacing w:after="0"/>
        <w:rPr>
          <w:sz w:val="20"/>
          <w:szCs w:val="20"/>
          <w:color w:val="auto"/>
        </w:rPr>
      </w:pPr>
      <w:r>
        <w:rPr>
          <w:rFonts w:ascii="Arial" w:cs="Arial" w:eastAsia="Arial" w:hAnsi="Arial"/>
          <w:sz w:val="22"/>
          <w:szCs w:val="22"/>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86" w:lineRule="exact"/>
        <w:rPr>
          <w:sz w:val="20"/>
          <w:szCs w:val="20"/>
          <w:color w:val="auto"/>
        </w:rPr>
      </w:pPr>
    </w:p>
    <w:p>
      <w:pPr>
        <w:ind w:left="2260" w:hanging="1503"/>
        <w:spacing w:after="0"/>
        <w:tabs>
          <w:tab w:leader="none" w:pos="2260" w:val="left"/>
        </w:tabs>
        <w:numPr>
          <w:ilvl w:val="0"/>
          <w:numId w:val="6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Notices</w:t>
      </w:r>
      <w:r>
        <w:rPr>
          <w:rFonts w:ascii="Arial" w:cs="Arial" w:eastAsia="Arial" w:hAnsi="Arial"/>
          <w:sz w:val="22"/>
          <w:szCs w:val="22"/>
          <w:i w:val="1"/>
          <w:iCs w:val="1"/>
          <w:color w:val="auto"/>
        </w:rPr>
        <w:t>.</w:t>
      </w:r>
    </w:p>
    <w:p>
      <w:pPr>
        <w:spacing w:after="0" w:line="206" w:lineRule="exact"/>
        <w:rPr>
          <w:sz w:val="20"/>
          <w:szCs w:val="20"/>
          <w:color w:val="auto"/>
        </w:rPr>
      </w:pPr>
    </w:p>
    <w:p>
      <w:pPr>
        <w:ind w:right="320" w:firstLine="749"/>
        <w:spacing w:after="0" w:line="250" w:lineRule="auto"/>
        <w:rPr>
          <w:sz w:val="20"/>
          <w:szCs w:val="20"/>
          <w:color w:val="auto"/>
        </w:rPr>
      </w:pPr>
      <w:r>
        <w:rPr>
          <w:rFonts w:ascii="Arial" w:cs="Arial" w:eastAsia="Arial" w:hAnsi="Arial"/>
          <w:sz w:val="22"/>
          <w:szCs w:val="22"/>
          <w:color w:val="auto"/>
        </w:rPr>
        <w:t>Notice of exercise of the Option must be made in the following manner, using such forms as the Company may from time to time provide:</w:t>
      </w:r>
    </w:p>
    <w:p>
      <w:pPr>
        <w:spacing w:after="0" w:line="175" w:lineRule="exact"/>
        <w:rPr>
          <w:sz w:val="20"/>
          <w:szCs w:val="20"/>
          <w:color w:val="auto"/>
        </w:rPr>
      </w:pPr>
    </w:p>
    <w:p>
      <w:pPr>
        <w:ind w:right="140" w:firstLine="1505"/>
        <w:spacing w:after="0" w:line="250" w:lineRule="auto"/>
        <w:tabs>
          <w:tab w:leader="none" w:pos="2995" w:val="left"/>
        </w:tabs>
        <w:numPr>
          <w:ilvl w:val="0"/>
          <w:numId w:val="70"/>
        </w:numPr>
        <w:rPr>
          <w:rFonts w:ascii="Arial" w:cs="Arial" w:eastAsia="Arial" w:hAnsi="Arial"/>
          <w:sz w:val="22"/>
          <w:szCs w:val="22"/>
          <w:color w:val="auto"/>
        </w:rPr>
      </w:pPr>
      <w:r>
        <w:rPr>
          <w:rFonts w:ascii="Arial" w:cs="Arial" w:eastAsia="Arial" w:hAnsi="Arial"/>
          <w:sz w:val="22"/>
          <w:szCs w:val="22"/>
          <w:color w:val="auto"/>
        </w:rPr>
        <w:t>by electronic means as designated by the Committee, in which case the date of exercise shall be the date when receipt is acknowledged by the Company;</w:t>
      </w:r>
    </w:p>
    <w:p>
      <w:pPr>
        <w:spacing w:after="0" w:line="174" w:lineRule="exact"/>
        <w:rPr>
          <w:rFonts w:ascii="Arial" w:cs="Arial" w:eastAsia="Arial" w:hAnsi="Arial"/>
          <w:sz w:val="22"/>
          <w:szCs w:val="22"/>
          <w:color w:val="auto"/>
        </w:rPr>
      </w:pPr>
    </w:p>
    <w:p>
      <w:pPr>
        <w:ind w:right="140" w:firstLine="1505"/>
        <w:spacing w:after="0"/>
        <w:tabs>
          <w:tab w:leader="none" w:pos="2995" w:val="left"/>
        </w:tabs>
        <w:numPr>
          <w:ilvl w:val="0"/>
          <w:numId w:val="70"/>
        </w:numPr>
        <w:rPr>
          <w:rFonts w:ascii="Arial" w:cs="Arial" w:eastAsia="Arial" w:hAnsi="Arial"/>
          <w:sz w:val="22"/>
          <w:szCs w:val="22"/>
          <w:color w:val="auto"/>
        </w:rPr>
      </w:pPr>
      <w:r>
        <w:rPr>
          <w:rFonts w:ascii="Arial" w:cs="Arial" w:eastAsia="Arial" w:hAnsi="Arial"/>
          <w:sz w:val="22"/>
          <w:szCs w:val="22"/>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86" w:lineRule="exact"/>
        <w:rPr>
          <w:rFonts w:ascii="Arial" w:cs="Arial" w:eastAsia="Arial" w:hAnsi="Arial"/>
          <w:sz w:val="22"/>
          <w:szCs w:val="22"/>
          <w:color w:val="auto"/>
        </w:rPr>
      </w:pPr>
    </w:p>
    <w:p>
      <w:pPr>
        <w:jc w:val="both"/>
        <w:ind w:right="280" w:firstLine="1505"/>
        <w:spacing w:after="0"/>
        <w:tabs>
          <w:tab w:leader="none" w:pos="2995" w:val="left"/>
        </w:tabs>
        <w:numPr>
          <w:ilvl w:val="0"/>
          <w:numId w:val="70"/>
        </w:numPr>
        <w:rPr>
          <w:rFonts w:ascii="Arial" w:cs="Arial" w:eastAsia="Arial" w:hAnsi="Arial"/>
          <w:sz w:val="22"/>
          <w:szCs w:val="22"/>
          <w:color w:val="auto"/>
        </w:rPr>
      </w:pPr>
      <w:r>
        <w:rPr>
          <w:rFonts w:ascii="Arial" w:cs="Arial" w:eastAsia="Arial" w:hAnsi="Arial"/>
          <w:sz w:val="22"/>
          <w:szCs w:val="22"/>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86" w:lineRule="exact"/>
        <w:rPr>
          <w:sz w:val="20"/>
          <w:szCs w:val="20"/>
          <w:color w:val="auto"/>
        </w:rPr>
      </w:pPr>
    </w:p>
    <w:p>
      <w:pPr>
        <w:jc w:val="both"/>
        <w:ind w:right="40" w:firstLine="749"/>
        <w:spacing w:after="0" w:line="328" w:lineRule="auto"/>
        <w:rPr>
          <w:sz w:val="20"/>
          <w:szCs w:val="20"/>
          <w:color w:val="auto"/>
        </w:rPr>
      </w:pPr>
      <w:r>
        <w:rPr>
          <w:rFonts w:ascii="Arial" w:cs="Arial" w:eastAsia="Arial" w:hAnsi="Arial"/>
          <w:sz w:val="19"/>
          <w:szCs w:val="19"/>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05" w:lineRule="exact"/>
        <w:rPr>
          <w:sz w:val="20"/>
          <w:szCs w:val="20"/>
          <w:color w:val="auto"/>
        </w:rPr>
      </w:pPr>
    </w:p>
    <w:p>
      <w:pPr>
        <w:jc w:val="both"/>
        <w:ind w:right="20" w:firstLine="749"/>
        <w:spacing w:after="0" w:line="236" w:lineRule="auto"/>
        <w:rPr>
          <w:sz w:val="20"/>
          <w:szCs w:val="20"/>
          <w:color w:val="auto"/>
        </w:rPr>
      </w:pPr>
      <w:r>
        <w:rPr>
          <w:rFonts w:ascii="Arial" w:cs="Arial" w:eastAsia="Arial" w:hAnsi="Arial"/>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187" w:lineRule="exact"/>
        <w:rPr>
          <w:sz w:val="20"/>
          <w:szCs w:val="20"/>
          <w:color w:val="auto"/>
        </w:rPr>
      </w:pPr>
    </w:p>
    <w:p>
      <w:pPr>
        <w:ind w:left="2260" w:hanging="1503"/>
        <w:spacing w:after="0"/>
        <w:tabs>
          <w:tab w:leader="none" w:pos="2260" w:val="left"/>
        </w:tabs>
        <w:numPr>
          <w:ilvl w:val="0"/>
          <w:numId w:val="7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Assignment of Option</w:t>
      </w:r>
      <w:r>
        <w:rPr>
          <w:rFonts w:ascii="Arial" w:cs="Arial" w:eastAsia="Arial" w:hAnsi="Arial"/>
          <w:sz w:val="22"/>
          <w:szCs w:val="22"/>
          <w:i w:val="1"/>
          <w:iCs w:val="1"/>
          <w:color w:val="auto"/>
        </w:rPr>
        <w:t>.</w:t>
      </w:r>
    </w:p>
    <w:p>
      <w:pPr>
        <w:spacing w:after="0" w:line="206" w:lineRule="exact"/>
        <w:rPr>
          <w:sz w:val="20"/>
          <w:szCs w:val="20"/>
          <w:color w:val="auto"/>
        </w:rPr>
      </w:pPr>
    </w:p>
    <w:p>
      <w:pPr>
        <w:ind w:right="280" w:firstLine="749"/>
        <w:spacing w:after="0" w:line="236" w:lineRule="auto"/>
        <w:rPr>
          <w:sz w:val="20"/>
          <w:szCs w:val="20"/>
          <w:color w:val="auto"/>
        </w:rPr>
      </w:pPr>
      <w:r>
        <w:rPr>
          <w:rFonts w:ascii="Arial" w:cs="Arial" w:eastAsia="Arial" w:hAnsi="Arial"/>
          <w:sz w:val="22"/>
          <w:szCs w:val="22"/>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expressly provided in this Agreement.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1" w:right="419" w:bottom="1440" w:gutter="0" w:footer="0" w:header="0"/>
        </w:sectPr>
      </w:pPr>
    </w:p>
    <w:bookmarkStart w:id="69" w:name="page70"/>
    <w:bookmarkEnd w:id="69"/>
    <w:p>
      <w:pPr>
        <w:ind w:right="100" w:firstLine="749"/>
        <w:spacing w:after="0" w:line="252" w:lineRule="auto"/>
        <w:rPr>
          <w:sz w:val="20"/>
          <w:szCs w:val="20"/>
          <w:color w:val="auto"/>
        </w:rPr>
      </w:pPr>
      <w:r>
        <w:rPr>
          <w:rFonts w:ascii="Arial" w:cs="Arial" w:eastAsia="Arial" w:hAnsi="Arial"/>
          <w:sz w:val="21"/>
          <w:szCs w:val="21"/>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to the extent that the Option is exercisable on or after the date of the Optionee’s death, as set forth in Sections 2(a) and 3(d) hereof.</w:t>
      </w:r>
    </w:p>
    <w:p>
      <w:pPr>
        <w:spacing w:after="0" w:line="160" w:lineRule="exact"/>
        <w:rPr>
          <w:sz w:val="20"/>
          <w:szCs w:val="20"/>
          <w:color w:val="auto"/>
        </w:rPr>
      </w:pPr>
    </w:p>
    <w:p>
      <w:pPr>
        <w:ind w:left="2260" w:hanging="1503"/>
        <w:spacing w:after="0"/>
        <w:tabs>
          <w:tab w:leader="none" w:pos="2260" w:val="left"/>
        </w:tabs>
        <w:numPr>
          <w:ilvl w:val="0"/>
          <w:numId w:val="7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Stock Certificates</w:t>
      </w:r>
      <w:r>
        <w:rPr>
          <w:rFonts w:ascii="Arial" w:cs="Arial" w:eastAsia="Arial" w:hAnsi="Arial"/>
          <w:sz w:val="22"/>
          <w:szCs w:val="22"/>
          <w:i w:val="1"/>
          <w:iCs w:val="1"/>
          <w:color w:val="auto"/>
        </w:rPr>
        <w:t>.</w:t>
      </w:r>
    </w:p>
    <w:p>
      <w:pPr>
        <w:spacing w:after="0" w:line="206" w:lineRule="exact"/>
        <w:rPr>
          <w:sz w:val="20"/>
          <w:szCs w:val="20"/>
          <w:color w:val="auto"/>
        </w:rPr>
      </w:pPr>
    </w:p>
    <w:p>
      <w:pPr>
        <w:ind w:right="200" w:firstLine="749"/>
        <w:spacing w:after="0" w:line="328" w:lineRule="auto"/>
        <w:rPr>
          <w:sz w:val="20"/>
          <w:szCs w:val="20"/>
          <w:color w:val="auto"/>
        </w:rPr>
      </w:pPr>
      <w:r>
        <w:rPr>
          <w:rFonts w:ascii="Arial" w:cs="Arial" w:eastAsia="Arial" w:hAnsi="Arial"/>
          <w:sz w:val="19"/>
          <w:szCs w:val="19"/>
          <w:color w:val="auto"/>
        </w:rPr>
        <w:t>Certificates or other evidences of or representing the Common Stock issued pursuant to the exercise of the Option will bear all legends required by law and necessary or advisable to effectuate the provisions of the Plan and this Option.</w:t>
      </w:r>
    </w:p>
    <w:p>
      <w:pPr>
        <w:spacing w:after="0" w:line="105" w:lineRule="exact"/>
        <w:rPr>
          <w:sz w:val="20"/>
          <w:szCs w:val="20"/>
          <w:color w:val="auto"/>
        </w:rPr>
      </w:pPr>
    </w:p>
    <w:p>
      <w:pPr>
        <w:ind w:left="2260" w:hanging="1503"/>
        <w:spacing w:after="0"/>
        <w:tabs>
          <w:tab w:leader="none" w:pos="2260" w:val="left"/>
        </w:tabs>
        <w:numPr>
          <w:ilvl w:val="0"/>
          <w:numId w:val="7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Withholding</w:t>
      </w:r>
      <w:r>
        <w:rPr>
          <w:rFonts w:ascii="Arial" w:cs="Arial" w:eastAsia="Arial" w:hAnsi="Arial"/>
          <w:sz w:val="22"/>
          <w:szCs w:val="22"/>
          <w:i w:val="1"/>
          <w:iCs w:val="1"/>
          <w:color w:val="auto"/>
        </w:rPr>
        <w:t>.</w:t>
      </w:r>
    </w:p>
    <w:p>
      <w:pPr>
        <w:spacing w:after="0" w:line="206" w:lineRule="exact"/>
        <w:rPr>
          <w:sz w:val="20"/>
          <w:szCs w:val="20"/>
          <w:color w:val="auto"/>
        </w:rPr>
      </w:pPr>
    </w:p>
    <w:p>
      <w:pPr>
        <w:ind w:firstLine="749"/>
        <w:spacing w:after="0" w:line="245" w:lineRule="auto"/>
        <w:rPr>
          <w:sz w:val="20"/>
          <w:szCs w:val="20"/>
          <w:color w:val="auto"/>
        </w:rPr>
      </w:pPr>
      <w:r>
        <w:rPr>
          <w:rFonts w:ascii="Arial" w:cs="Arial" w:eastAsia="Arial" w:hAnsi="Arial"/>
          <w:sz w:val="21"/>
          <w:szCs w:val="21"/>
          <w:color w:val="auto"/>
        </w:rPr>
        <w:t>No certificates representing shares of Common Stock purchased hereunder shall be delivered to or in respect of an Optionee unless the amount of all federal, state and other governmental withholding tax requirements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Option. The Optionee may pay all or any portion of the taxes required to be withheld by the Company or paid by the Optionee in connection with the exercise of all or any portion of this Option by delivering cash,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spacing w:after="0" w:line="181" w:lineRule="exact"/>
        <w:rPr>
          <w:sz w:val="20"/>
          <w:szCs w:val="20"/>
          <w:color w:val="auto"/>
        </w:rPr>
      </w:pPr>
    </w:p>
    <w:p>
      <w:pPr>
        <w:ind w:left="2260" w:hanging="1503"/>
        <w:spacing w:after="0"/>
        <w:tabs>
          <w:tab w:leader="none" w:pos="2260" w:val="left"/>
        </w:tabs>
        <w:numPr>
          <w:ilvl w:val="0"/>
          <w:numId w:val="7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Shareholder Rights</w:t>
      </w:r>
      <w:r>
        <w:rPr>
          <w:rFonts w:ascii="Arial" w:cs="Arial" w:eastAsia="Arial" w:hAnsi="Arial"/>
          <w:sz w:val="22"/>
          <w:szCs w:val="22"/>
          <w:i w:val="1"/>
          <w:iCs w:val="1"/>
          <w:color w:val="auto"/>
        </w:rPr>
        <w:t>.</w:t>
      </w:r>
    </w:p>
    <w:p>
      <w:pPr>
        <w:spacing w:after="0" w:line="206" w:lineRule="exact"/>
        <w:rPr>
          <w:sz w:val="20"/>
          <w:szCs w:val="20"/>
          <w:color w:val="auto"/>
        </w:rPr>
      </w:pPr>
    </w:p>
    <w:p>
      <w:pPr>
        <w:jc w:val="both"/>
        <w:ind w:right="60" w:firstLine="749"/>
        <w:spacing w:after="0"/>
        <w:rPr>
          <w:sz w:val="20"/>
          <w:szCs w:val="20"/>
          <w:color w:val="auto"/>
        </w:rPr>
      </w:pPr>
      <w:r>
        <w:rPr>
          <w:rFonts w:ascii="Arial" w:cs="Arial" w:eastAsia="Arial" w:hAnsi="Arial"/>
          <w:sz w:val="22"/>
          <w:szCs w:val="22"/>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86" w:lineRule="exact"/>
        <w:rPr>
          <w:sz w:val="20"/>
          <w:szCs w:val="20"/>
          <w:color w:val="auto"/>
        </w:rPr>
      </w:pPr>
    </w:p>
    <w:p>
      <w:pPr>
        <w:ind w:left="2260" w:hanging="1503"/>
        <w:spacing w:after="0"/>
        <w:tabs>
          <w:tab w:leader="none" w:pos="2260" w:val="left"/>
        </w:tabs>
        <w:numPr>
          <w:ilvl w:val="0"/>
          <w:numId w:val="7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Recoupment.</w:t>
      </w:r>
    </w:p>
    <w:p>
      <w:pPr>
        <w:spacing w:after="0" w:line="206"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This Option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Option (or amounts paid in respect thereof) following a Change in Control.</w:t>
      </w:r>
    </w:p>
    <w:p>
      <w:pPr>
        <w:spacing w:after="0" w:line="187" w:lineRule="exact"/>
        <w:rPr>
          <w:sz w:val="20"/>
          <w:szCs w:val="20"/>
          <w:color w:val="auto"/>
        </w:rPr>
      </w:pPr>
    </w:p>
    <w:p>
      <w:pPr>
        <w:ind w:left="2260" w:hanging="1503"/>
        <w:spacing w:after="0"/>
        <w:tabs>
          <w:tab w:leader="none" w:pos="2260" w:val="left"/>
        </w:tabs>
        <w:numPr>
          <w:ilvl w:val="0"/>
          <w:numId w:val="7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Successors and Assigns.</w:t>
      </w:r>
    </w:p>
    <w:p>
      <w:pPr>
        <w:spacing w:after="0" w:line="206" w:lineRule="exact"/>
        <w:rPr>
          <w:sz w:val="20"/>
          <w:szCs w:val="20"/>
          <w:color w:val="auto"/>
        </w:rPr>
      </w:pPr>
    </w:p>
    <w:p>
      <w:pPr>
        <w:ind w:firstLine="749"/>
        <w:spacing w:after="0" w:line="297" w:lineRule="auto"/>
        <w:rPr>
          <w:sz w:val="20"/>
          <w:szCs w:val="20"/>
          <w:color w:val="auto"/>
        </w:rPr>
      </w:pPr>
      <w:r>
        <w:rPr>
          <w:rFonts w:ascii="Arial" w:cs="Arial" w:eastAsia="Arial" w:hAnsi="Arial"/>
          <w:sz w:val="19"/>
          <w:szCs w:val="19"/>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70" w:name="page71"/>
    <w:bookmarkEnd w:id="70"/>
    <w:p>
      <w:pPr>
        <w:ind w:left="2260" w:hanging="1503"/>
        <w:spacing w:after="0"/>
        <w:tabs>
          <w:tab w:leader="none" w:pos="2260" w:val="left"/>
        </w:tabs>
        <w:numPr>
          <w:ilvl w:val="0"/>
          <w:numId w:val="7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 Employment Guaranteed</w:t>
      </w:r>
      <w:r>
        <w:rPr>
          <w:rFonts w:ascii="Arial" w:cs="Arial" w:eastAsia="Arial" w:hAnsi="Arial"/>
          <w:sz w:val="22"/>
          <w:szCs w:val="22"/>
          <w:i w:val="1"/>
          <w:iCs w:val="1"/>
          <w:color w:val="auto"/>
        </w:rPr>
        <w:t>.</w:t>
      </w:r>
    </w:p>
    <w:p>
      <w:pPr>
        <w:spacing w:after="0" w:line="206" w:lineRule="exact"/>
        <w:rPr>
          <w:sz w:val="20"/>
          <w:szCs w:val="20"/>
          <w:color w:val="auto"/>
        </w:rPr>
      </w:pPr>
    </w:p>
    <w:p>
      <w:pPr>
        <w:ind w:right="380" w:firstLine="749"/>
        <w:spacing w:after="0" w:line="250" w:lineRule="auto"/>
        <w:rPr>
          <w:sz w:val="20"/>
          <w:szCs w:val="20"/>
          <w:color w:val="auto"/>
        </w:rPr>
      </w:pPr>
      <w:r>
        <w:rPr>
          <w:rFonts w:ascii="Arial" w:cs="Arial" w:eastAsia="Arial" w:hAnsi="Arial"/>
          <w:sz w:val="22"/>
          <w:szCs w:val="22"/>
          <w:color w:val="auto"/>
        </w:rPr>
        <w:t>No provision of this Option Agreement shall confer any right upon the Optionee to continued employment with the Company or any Subsidiary.</w:t>
      </w:r>
    </w:p>
    <w:p>
      <w:pPr>
        <w:spacing w:after="0" w:line="175" w:lineRule="exact"/>
        <w:rPr>
          <w:sz w:val="20"/>
          <w:szCs w:val="20"/>
          <w:color w:val="auto"/>
        </w:rPr>
      </w:pPr>
    </w:p>
    <w:p>
      <w:pPr>
        <w:ind w:left="2260" w:hanging="1503"/>
        <w:spacing w:after="0"/>
        <w:tabs>
          <w:tab w:leader="none" w:pos="2260" w:val="left"/>
        </w:tabs>
        <w:numPr>
          <w:ilvl w:val="0"/>
          <w:numId w:val="7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Governing Law</w:t>
      </w:r>
      <w:r>
        <w:rPr>
          <w:rFonts w:ascii="Arial" w:cs="Arial" w:eastAsia="Arial" w:hAnsi="Arial"/>
          <w:sz w:val="22"/>
          <w:szCs w:val="22"/>
          <w:i w:val="1"/>
          <w:i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Option Agreement shall be governed by, construed and enforced in accordance with the laws of the State of Texas.</w:t>
      </w:r>
    </w:p>
    <w:p>
      <w:pPr>
        <w:spacing w:after="0" w:line="241" w:lineRule="exact"/>
        <w:rPr>
          <w:sz w:val="20"/>
          <w:szCs w:val="20"/>
          <w:color w:val="auto"/>
        </w:rPr>
      </w:pPr>
    </w:p>
    <w:p>
      <w:pPr>
        <w:ind w:left="2260" w:hanging="1503"/>
        <w:spacing w:after="0"/>
        <w:tabs>
          <w:tab w:leader="none" w:pos="2260" w:val="left"/>
        </w:tabs>
        <w:numPr>
          <w:ilvl w:val="0"/>
          <w:numId w:val="7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Amendment</w:t>
      </w:r>
      <w:r>
        <w:rPr>
          <w:rFonts w:ascii="Arial" w:cs="Arial" w:eastAsia="Arial" w:hAnsi="Arial"/>
          <w:sz w:val="22"/>
          <w:szCs w:val="22"/>
          <w:i w:val="1"/>
          <w:iCs w:val="1"/>
          <w:color w:val="auto"/>
        </w:rPr>
        <w:t>.</w:t>
      </w:r>
    </w:p>
    <w:p>
      <w:pPr>
        <w:spacing w:after="0" w:line="206" w:lineRule="exact"/>
        <w:rPr>
          <w:sz w:val="20"/>
          <w:szCs w:val="20"/>
          <w:color w:val="auto"/>
        </w:rPr>
      </w:pPr>
    </w:p>
    <w:p>
      <w:pPr>
        <w:ind w:right="700" w:firstLine="749"/>
        <w:spacing w:after="0" w:line="250" w:lineRule="auto"/>
        <w:rPr>
          <w:sz w:val="20"/>
          <w:szCs w:val="20"/>
          <w:color w:val="auto"/>
        </w:rPr>
      </w:pPr>
      <w:r>
        <w:rPr>
          <w:rFonts w:ascii="Arial" w:cs="Arial" w:eastAsia="Arial" w:hAnsi="Arial"/>
          <w:sz w:val="22"/>
          <w:szCs w:val="22"/>
          <w:color w:val="auto"/>
        </w:rPr>
        <w:t>This Agreement cannot be modified, altered or amended except by an agreement, in writing, signed by both the Company and the Optionee.</w:t>
      </w: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[REMAINDER OF PAGE INTENTIONALLY LEFT BLANK]</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1" w:right="479" w:bottom="1440" w:gutter="0" w:footer="0" w:header="0"/>
        </w:sectPr>
      </w:pPr>
    </w:p>
    <w:bookmarkStart w:id="71" w:name="page72"/>
    <w:bookmarkEnd w:id="71"/>
    <w:p>
      <w:pPr>
        <w:ind w:left="4760"/>
        <w:spacing w:after="0"/>
        <w:rPr>
          <w:sz w:val="20"/>
          <w:szCs w:val="20"/>
          <w:color w:val="auto"/>
        </w:rPr>
      </w:pPr>
      <w:r>
        <w:rPr>
          <w:rFonts w:ascii="Arial" w:cs="Arial" w:eastAsia="Arial" w:hAnsi="Arial"/>
          <w:sz w:val="22"/>
          <w:szCs w:val="22"/>
          <w:b w:val="1"/>
          <w:bCs w:val="1"/>
          <w:color w:val="auto"/>
        </w:rPr>
        <w:t>EAGLE MATERIALS INC.</w:t>
      </w:r>
    </w:p>
    <w:p>
      <w:pPr>
        <w:spacing w:after="0" w:line="200" w:lineRule="exact"/>
        <w:rPr>
          <w:sz w:val="20"/>
          <w:szCs w:val="20"/>
          <w:color w:val="auto"/>
        </w:rPr>
      </w:pPr>
    </w:p>
    <w:p>
      <w:pPr>
        <w:spacing w:after="0" w:line="228" w:lineRule="exact"/>
        <w:rPr>
          <w:sz w:val="20"/>
          <w:szCs w:val="20"/>
          <w:color w:val="auto"/>
        </w:rPr>
      </w:pPr>
    </w:p>
    <w:tbl>
      <w:tblPr>
        <w:tblLayout w:type="fixed"/>
        <w:tblInd w:w="4760" w:type="dxa"/>
        <w:tblCellMar>
          <w:top w:w="0" w:type="dxa"/>
          <w:left w:w="0" w:type="dxa"/>
          <w:bottom w:w="0" w:type="dxa"/>
          <w:right w:w="0" w:type="dxa"/>
        </w:tblCellMar>
      </w:tblPr>
      <w:tr>
        <w:trPr>
          <w:trHeight w:val="264"/>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380" w:type="dxa"/>
            <w:vAlign w:val="bottom"/>
            <w:tcBorders>
              <w:bottom w:val="single" w:sz="8" w:color="auto"/>
            </w:tcBorders>
          </w:tcPr>
          <w:p>
            <w:pPr>
              <w:spacing w:after="0"/>
              <w:rPr>
                <w:sz w:val="22"/>
                <w:szCs w:val="22"/>
                <w:color w:val="auto"/>
              </w:rPr>
            </w:pPr>
          </w:p>
        </w:tc>
      </w:tr>
      <w:tr>
        <w:trPr>
          <w:trHeight w:val="489"/>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38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486"/>
        </w:trPr>
        <w:tc>
          <w:tcPr>
            <w:tcW w:w="1100" w:type="dxa"/>
            <w:vAlign w:val="bottom"/>
          </w:tcPr>
          <w:p>
            <w:pPr>
              <w:spacing w:after="0"/>
              <w:rPr>
                <w:sz w:val="20"/>
                <w:szCs w:val="20"/>
                <w:color w:val="auto"/>
              </w:rPr>
            </w:pPr>
            <w:r>
              <w:rPr>
                <w:rFonts w:ascii="Arial" w:cs="Arial" w:eastAsia="Arial" w:hAnsi="Arial"/>
                <w:sz w:val="22"/>
                <w:szCs w:val="22"/>
                <w:color w:val="auto"/>
              </w:rPr>
              <w:t>Its:</w:t>
            </w:r>
          </w:p>
        </w:tc>
        <w:tc>
          <w:tcPr>
            <w:tcW w:w="538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428"/>
        </w:trPr>
        <w:tc>
          <w:tcPr>
            <w:tcW w:w="1100" w:type="dxa"/>
            <w:vAlign w:val="bottom"/>
          </w:tcPr>
          <w:p>
            <w:pPr>
              <w:spacing w:after="0"/>
              <w:rPr>
                <w:sz w:val="20"/>
                <w:szCs w:val="20"/>
                <w:color w:val="auto"/>
              </w:rPr>
            </w:pPr>
            <w:r>
              <w:rPr>
                <w:rFonts w:ascii="Arial" w:cs="Arial" w:eastAsia="Arial" w:hAnsi="Arial"/>
                <w:sz w:val="22"/>
                <w:szCs w:val="22"/>
                <w:color w:val="auto"/>
              </w:rPr>
              <w:t>Address:</w:t>
            </w:r>
          </w:p>
        </w:tc>
        <w:tc>
          <w:tcPr>
            <w:tcW w:w="538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100" w:type="dxa"/>
            <w:vAlign w:val="bottom"/>
          </w:tcPr>
          <w:p>
            <w:pPr>
              <w:spacing w:after="0"/>
              <w:rPr>
                <w:sz w:val="23"/>
                <w:szCs w:val="23"/>
                <w:color w:val="auto"/>
              </w:rPr>
            </w:pPr>
          </w:p>
        </w:tc>
        <w:tc>
          <w:tcPr>
            <w:tcW w:w="538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387" w:lineRule="exact"/>
        <w:rPr>
          <w:sz w:val="20"/>
          <w:szCs w:val="20"/>
          <w:color w:val="auto"/>
        </w:rPr>
      </w:pPr>
    </w:p>
    <w:p>
      <w:pPr>
        <w:ind w:right="620" w:firstLine="749"/>
        <w:spacing w:after="0" w:line="250" w:lineRule="auto"/>
        <w:rPr>
          <w:sz w:val="20"/>
          <w:szCs w:val="20"/>
          <w:color w:val="auto"/>
        </w:rPr>
      </w:pPr>
      <w:r>
        <w:rPr>
          <w:rFonts w:ascii="Arial" w:cs="Arial" w:eastAsia="Arial" w:hAnsi="Arial"/>
          <w:sz w:val="22"/>
          <w:szCs w:val="22"/>
          <w:color w:val="auto"/>
        </w:rPr>
        <w:t>The Optionee hereby accepts the foregoing Option Agreement, subject to the terms and provisions of the Plan and administrative interpretations thereof referred to above.</w:t>
      </w:r>
    </w:p>
    <w:p>
      <w:pPr>
        <w:spacing w:after="0" w:line="15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OPTIONEE:</w:t>
      </w:r>
    </w:p>
    <w:p>
      <w:pPr>
        <w:spacing w:after="0" w:line="200" w:lineRule="exact"/>
        <w:rPr>
          <w:sz w:val="20"/>
          <w:szCs w:val="20"/>
          <w:color w:val="auto"/>
        </w:rPr>
      </w:pPr>
    </w:p>
    <w:p>
      <w:pPr>
        <w:spacing w:after="0" w:line="228" w:lineRule="exact"/>
        <w:rPr>
          <w:sz w:val="20"/>
          <w:szCs w:val="20"/>
          <w:color w:val="auto"/>
        </w:rPr>
      </w:pPr>
    </w:p>
    <w:p>
      <w:pPr>
        <w:ind w:left="4660"/>
        <w:spacing w:after="0"/>
        <w:tabs>
          <w:tab w:leader="none" w:pos="584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199"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218" w:lineRule="exact"/>
        <w:rPr>
          <w:sz w:val="20"/>
          <w:szCs w:val="20"/>
          <w:color w:val="auto"/>
        </w:rPr>
      </w:pPr>
    </w:p>
    <w:p>
      <w:pPr>
        <w:ind w:left="-20" w:right="20" w:firstLine="1505"/>
        <w:spacing w:after="0" w:line="246" w:lineRule="auto"/>
        <w:tabs>
          <w:tab w:leader="none" w:pos="2975"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184" w:lineRule="exact"/>
        <w:rPr>
          <w:rFonts w:ascii="Arial" w:cs="Arial" w:eastAsia="Arial" w:hAnsi="Arial"/>
          <w:sz w:val="21"/>
          <w:szCs w:val="21"/>
          <w:color w:val="auto"/>
        </w:rPr>
      </w:pPr>
    </w:p>
    <w:p>
      <w:pPr>
        <w:ind w:left="-20" w:firstLine="1505"/>
        <w:spacing w:after="0" w:line="245" w:lineRule="auto"/>
        <w:tabs>
          <w:tab w:leader="none" w:pos="2975" w:val="left"/>
        </w:tabs>
        <w:numPr>
          <w:ilvl w:val="0"/>
          <w:numId w:val="80"/>
        </w:numPr>
        <w:rPr>
          <w:rFonts w:ascii="Arial" w:cs="Arial" w:eastAsia="Arial" w:hAnsi="Arial"/>
          <w:sz w:val="21"/>
          <w:szCs w:val="21"/>
          <w:color w:val="auto"/>
        </w:rPr>
      </w:pPr>
      <w:r>
        <w:rPr>
          <w:rFonts w:ascii="Arial" w:cs="Arial" w:eastAsia="Arial" w:hAnsi="Arial"/>
          <w:sz w:val="21"/>
          <w:szCs w:val="21"/>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184" w:lineRule="exact"/>
        <w:rPr>
          <w:rFonts w:ascii="Arial" w:cs="Arial" w:eastAsia="Arial" w:hAnsi="Arial"/>
          <w:sz w:val="21"/>
          <w:szCs w:val="21"/>
          <w:color w:val="auto"/>
        </w:rPr>
      </w:pPr>
    </w:p>
    <w:p>
      <w:pPr>
        <w:ind w:left="-20" w:firstLine="1505"/>
        <w:spacing w:after="0" w:line="272" w:lineRule="auto"/>
        <w:tabs>
          <w:tab w:leader="none" w:pos="2975"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155" w:lineRule="exact"/>
        <w:rPr>
          <w:rFonts w:ascii="Arial" w:cs="Arial" w:eastAsia="Arial" w:hAnsi="Arial"/>
          <w:sz w:val="19"/>
          <w:szCs w:val="19"/>
          <w:color w:val="auto"/>
        </w:rPr>
      </w:pPr>
    </w:p>
    <w:p>
      <w:pPr>
        <w:ind w:left="-20" w:right="160" w:firstLine="1505"/>
        <w:spacing w:after="0"/>
        <w:tabs>
          <w:tab w:leader="none" w:pos="2975" w:val="left"/>
        </w:tabs>
        <w:numPr>
          <w:ilvl w:val="0"/>
          <w:numId w:val="80"/>
        </w:numPr>
        <w:rPr>
          <w:rFonts w:ascii="Arial" w:cs="Arial" w:eastAsia="Arial" w:hAnsi="Arial"/>
          <w:sz w:val="22"/>
          <w:szCs w:val="22"/>
          <w:color w:val="auto"/>
        </w:rPr>
      </w:pPr>
      <w:r>
        <w:rPr>
          <w:rFonts w:ascii="Arial" w:cs="Arial" w:eastAsia="Arial" w:hAnsi="Arial"/>
          <w:sz w:val="22"/>
          <w:szCs w:val="22"/>
          <w:color w:val="auto"/>
        </w:rPr>
        <w:t>Approval by the Board and the shareholders of the Company of (i) a complete liquidation or dissolution of the Company or (ii) a Major Asset Disposition (or, if there is no such approval by shareholders, consummation of such Major Asset Disposition)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5" w:right="359" w:bottom="1440" w:gutter="0" w:footer="0" w:header="0"/>
        </w:sectPr>
      </w:pPr>
    </w:p>
    <w:bookmarkStart w:id="73" w:name="page74"/>
    <w:bookmarkEnd w:id="73"/>
    <w:p>
      <w:pPr>
        <w:ind w:firstLine="1497"/>
        <w:spacing w:after="0" w:line="273" w:lineRule="auto"/>
        <w:rPr>
          <w:sz w:val="20"/>
          <w:szCs w:val="20"/>
          <w:color w:val="auto"/>
        </w:rPr>
      </w:pPr>
      <w:r>
        <w:rPr>
          <w:rFonts w:ascii="Arial" w:cs="Arial" w:eastAsia="Arial" w:hAnsi="Arial"/>
          <w:sz w:val="19"/>
          <w:szCs w:val="19"/>
          <w:color w:val="auto"/>
        </w:rPr>
        <w:t>(e)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206" w:lineRule="exact"/>
        <w:rPr>
          <w:sz w:val="20"/>
          <w:szCs w:val="20"/>
          <w:color w:val="auto"/>
        </w:rPr>
      </w:pPr>
    </w:p>
    <w:p>
      <w:pPr>
        <w:ind w:left="2200" w:hanging="695"/>
        <w:spacing w:after="0"/>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term “Person” means an individual, entity or group;</w:t>
      </w:r>
    </w:p>
    <w:p>
      <w:pPr>
        <w:spacing w:after="0" w:line="206" w:lineRule="exact"/>
        <w:rPr>
          <w:rFonts w:ascii="Arial" w:cs="Arial" w:eastAsia="Arial" w:hAnsi="Arial"/>
          <w:sz w:val="22"/>
          <w:szCs w:val="22"/>
          <w:color w:val="auto"/>
        </w:rPr>
      </w:pPr>
    </w:p>
    <w:p>
      <w:pPr>
        <w:ind w:left="2200" w:hanging="695"/>
        <w:spacing w:after="0"/>
        <w:tabs>
          <w:tab w:leader="none" w:pos="220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term “group” is used as it is defined for purposes of Section 13(d)(3) of the Exchange Act;</w:t>
      </w:r>
    </w:p>
    <w:p>
      <w:pPr>
        <w:spacing w:after="0" w:line="217" w:lineRule="exact"/>
        <w:rPr>
          <w:rFonts w:ascii="Arial" w:cs="Arial" w:eastAsia="Arial" w:hAnsi="Arial"/>
          <w:sz w:val="21"/>
          <w:szCs w:val="21"/>
          <w:color w:val="auto"/>
        </w:rPr>
      </w:pPr>
    </w:p>
    <w:p>
      <w:pPr>
        <w:ind w:left="2200" w:right="1360" w:hanging="695"/>
        <w:spacing w:after="0" w:line="250" w:lineRule="auto"/>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terms “beneficial owner”, “beneficial ownership” and “beneficially own” are used as defined for purposes of Rule 13d-3 under the Exchange Act;</w:t>
      </w:r>
    </w:p>
    <w:p>
      <w:pPr>
        <w:spacing w:after="0" w:line="174" w:lineRule="exact"/>
        <w:rPr>
          <w:rFonts w:ascii="Arial" w:cs="Arial" w:eastAsia="Arial" w:hAnsi="Arial"/>
          <w:sz w:val="22"/>
          <w:szCs w:val="22"/>
          <w:color w:val="auto"/>
        </w:rPr>
      </w:pPr>
    </w:p>
    <w:p>
      <w:pPr>
        <w:ind w:left="2200" w:right="980" w:hanging="695"/>
        <w:spacing w:after="0" w:line="257" w:lineRule="auto"/>
        <w:tabs>
          <w:tab w:leader="none" w:pos="220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term “Business Combination” means (x) a merger, consolidation or share exchange involving the Company or its stock or (y) an acquisition by the Company, directly or through one or more subsidiaries, of another entity or its stock or assets;</w:t>
      </w:r>
    </w:p>
    <w:p>
      <w:pPr>
        <w:spacing w:after="0" w:line="169" w:lineRule="exact"/>
        <w:rPr>
          <w:rFonts w:ascii="Arial" w:cs="Arial" w:eastAsia="Arial" w:hAnsi="Arial"/>
          <w:sz w:val="21"/>
          <w:szCs w:val="21"/>
          <w:color w:val="auto"/>
        </w:rPr>
      </w:pPr>
    </w:p>
    <w:p>
      <w:pPr>
        <w:ind w:left="2200" w:right="880" w:hanging="695"/>
        <w:spacing w:after="0" w:line="250" w:lineRule="auto"/>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term “Company Common Stock” shall mean the Common Stock, par value $.01 per share, of the Company;</w:t>
      </w:r>
    </w:p>
    <w:p>
      <w:pPr>
        <w:spacing w:after="0" w:line="174" w:lineRule="exact"/>
        <w:rPr>
          <w:rFonts w:ascii="Arial" w:cs="Arial" w:eastAsia="Arial" w:hAnsi="Arial"/>
          <w:sz w:val="22"/>
          <w:szCs w:val="22"/>
          <w:color w:val="auto"/>
        </w:rPr>
      </w:pPr>
    </w:p>
    <w:p>
      <w:pPr>
        <w:ind w:left="2200" w:hanging="695"/>
        <w:spacing w:after="0"/>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term “Exchange Act” means the Securities Exchange Act of 1934, as amended.</w:t>
      </w:r>
    </w:p>
    <w:p>
      <w:pPr>
        <w:spacing w:after="0" w:line="206" w:lineRule="exact"/>
        <w:rPr>
          <w:rFonts w:ascii="Arial" w:cs="Arial" w:eastAsia="Arial" w:hAnsi="Arial"/>
          <w:sz w:val="22"/>
          <w:szCs w:val="22"/>
          <w:color w:val="auto"/>
        </w:rPr>
      </w:pPr>
    </w:p>
    <w:p>
      <w:pPr>
        <w:ind w:left="2200" w:right="740" w:hanging="695"/>
        <w:spacing w:after="0" w:line="287" w:lineRule="auto"/>
        <w:tabs>
          <w:tab w:leader="none" w:pos="22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phrase “parent corporation resulting from a Business Combination”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142" w:lineRule="exact"/>
        <w:rPr>
          <w:rFonts w:ascii="Arial" w:cs="Arial" w:eastAsia="Arial" w:hAnsi="Arial"/>
          <w:sz w:val="19"/>
          <w:szCs w:val="19"/>
          <w:color w:val="auto"/>
        </w:rPr>
      </w:pPr>
    </w:p>
    <w:p>
      <w:pPr>
        <w:ind w:left="2200" w:right="900" w:hanging="695"/>
        <w:spacing w:after="0" w:line="236" w:lineRule="auto"/>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term “Major Asset Disposition”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74" w:name="page75"/>
    <w:bookmarkEnd w:id="74"/>
    <w:p>
      <w:pPr>
        <w:ind w:left="1080" w:hanging="695"/>
        <w:spacing w:after="0" w:line="252" w:lineRule="auto"/>
        <w:tabs>
          <w:tab w:leader="none" w:pos="10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term “Acquiring Entity”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173" w:lineRule="exact"/>
        <w:rPr>
          <w:rFonts w:ascii="Arial" w:cs="Arial" w:eastAsia="Arial" w:hAnsi="Arial"/>
          <w:sz w:val="21"/>
          <w:szCs w:val="21"/>
          <w:color w:val="auto"/>
        </w:rPr>
      </w:pPr>
    </w:p>
    <w:p>
      <w:pPr>
        <w:ind w:left="1080" w:hanging="695"/>
        <w:spacing w:after="0" w:line="277" w:lineRule="auto"/>
        <w:tabs>
          <w:tab w:leader="none" w:pos="10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phrase “substantially the same proportions,”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440" w:top="321" w:right="1099" w:bottom="1440" w:gutter="0" w:footer="0" w:header="0"/>
        </w:sectPr>
      </w:pPr>
    </w:p>
    <w:bookmarkStart w:id="75" w:name="page76"/>
    <w:bookmarkEnd w:id="7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04"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03" w:lineRule="exact"/>
        <w:rPr>
          <w:rFonts w:ascii="Arial" w:cs="Arial" w:eastAsia="Arial" w:hAnsi="Arial"/>
          <w:sz w:val="18"/>
          <w:szCs w:val="18"/>
          <w:color w:val="auto"/>
        </w:rPr>
      </w:pPr>
    </w:p>
    <w:p>
      <w:pPr>
        <w:ind w:firstLine="8"/>
        <w:spacing w:after="0" w:line="324" w:lineRule="auto"/>
        <w:tabs>
          <w:tab w:leader="none" w:pos="201"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61" w:lineRule="auto"/>
        <w:tabs>
          <w:tab w:leader="none" w:pos="2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48" w:lineRule="auto"/>
        <w:tabs>
          <w:tab w:leader="none" w:pos="18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jc w:val="both"/>
        <w:ind w:firstLine="8"/>
        <w:spacing w:after="0" w:line="248" w:lineRule="auto"/>
        <w:tabs>
          <w:tab w:leader="none" w:pos="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8"/>
        <w:spacing w:after="0" w:line="248" w:lineRule="auto"/>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8"/>
        <w:spacing w:after="0" w:line="261" w:lineRule="auto"/>
        <w:tabs>
          <w:tab w:leader="none" w:pos="1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48" w:lineRule="auto"/>
        <w:tabs>
          <w:tab w:leader="none" w:pos="2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sz w:val="20"/>
          <w:szCs w:val="20"/>
          <w:color w:val="auto"/>
        </w:rPr>
      </w:pPr>
    </w:p>
    <w:p>
      <w:pPr>
        <w:ind w:firstLine="8"/>
        <w:spacing w:after="0" w:line="291" w:lineRule="auto"/>
        <w:tabs>
          <w:tab w:leader="none" w:pos="19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sz w:val="20"/>
          <w:szCs w:val="20"/>
          <w:color w:val="auto"/>
        </w:rPr>
      </w:pPr>
    </w:p>
    <w:p>
      <w:pPr>
        <w:ind w:firstLine="8"/>
        <w:spacing w:after="0" w:line="261" w:lineRule="auto"/>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61" w:lineRule="auto"/>
        <w:tabs>
          <w:tab w:leader="none" w:pos="20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2022</w:t>
      </w:r>
    </w:p>
    <w:p>
      <w:pPr>
        <w:spacing w:after="0" w:line="185"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-111760</wp:posOffset>
            </wp:positionV>
            <wp:extent cx="25971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04"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03" w:lineRule="exact"/>
        <w:rPr>
          <w:rFonts w:ascii="Arial" w:cs="Arial" w:eastAsia="Arial" w:hAnsi="Arial"/>
          <w:sz w:val="18"/>
          <w:szCs w:val="18"/>
          <w:color w:val="auto"/>
        </w:rPr>
      </w:pPr>
    </w:p>
    <w:p>
      <w:pPr>
        <w:ind w:firstLine="8"/>
        <w:spacing w:after="0" w:line="324" w:lineRule="auto"/>
        <w:tabs>
          <w:tab w:leader="none" w:pos="201"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61" w:lineRule="auto"/>
        <w:tabs>
          <w:tab w:leader="none" w:pos="2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48" w:lineRule="auto"/>
        <w:tabs>
          <w:tab w:leader="none" w:pos="1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jc w:val="both"/>
        <w:ind w:firstLine="8"/>
        <w:spacing w:after="0" w:line="248" w:lineRule="auto"/>
        <w:tabs>
          <w:tab w:leader="none" w:pos="1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8"/>
        <w:spacing w:after="0" w:line="248"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8"/>
        <w:spacing w:after="0" w:line="261" w:lineRule="auto"/>
        <w:tabs>
          <w:tab w:leader="none" w:pos="1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48" w:lineRule="auto"/>
        <w:tabs>
          <w:tab w:leader="none" w:pos="2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sz w:val="20"/>
          <w:szCs w:val="20"/>
          <w:color w:val="auto"/>
        </w:rPr>
      </w:pPr>
    </w:p>
    <w:p>
      <w:pPr>
        <w:ind w:firstLine="8"/>
        <w:spacing w:after="0" w:line="291" w:lineRule="auto"/>
        <w:tabs>
          <w:tab w:leader="none" w:pos="192"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sz w:val="20"/>
          <w:szCs w:val="20"/>
          <w:color w:val="auto"/>
        </w:rPr>
      </w:pPr>
    </w:p>
    <w:p>
      <w:pPr>
        <w:ind w:firstLine="8"/>
        <w:spacing w:after="0" w:line="261" w:lineRule="auto"/>
        <w:tabs>
          <w:tab w:leader="none" w:pos="1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61" w:lineRule="auto"/>
        <w:tabs>
          <w:tab w:leader="none" w:pos="20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-120650</wp:posOffset>
            </wp:positionV>
            <wp:extent cx="26060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line="203" w:lineRule="auto"/>
        <w:rPr>
          <w:sz w:val="20"/>
          <w:szCs w:val="20"/>
          <w:color w:val="auto"/>
        </w:rPr>
      </w:pPr>
      <w:r>
        <w:rPr>
          <w:rFonts w:ascii="Arial" w:cs="Arial" w:eastAsia="Arial" w:hAnsi="Arial"/>
          <w:sz w:val="18"/>
          <w:szCs w:val="18"/>
          <w:color w:val="auto"/>
        </w:rPr>
        <w:t>Chief Financial Officer</w:t>
      </w: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7" w:name="page78"/>
    <w:bookmarkEnd w:id="77"/>
    <w:p>
      <w:pPr>
        <w:ind w:left="10260"/>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16"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June 30, 2022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80" w:lineRule="exact"/>
        <w:rPr>
          <w:sz w:val="20"/>
          <w:szCs w:val="20"/>
          <w:color w:val="auto"/>
        </w:rPr>
      </w:pPr>
    </w:p>
    <w:p>
      <w:pPr>
        <w:ind w:left="640" w:hanging="377"/>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40" w:hanging="377"/>
        <w:spacing w:after="0"/>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-120650</wp:posOffset>
            </wp:positionV>
            <wp:extent cx="26060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ind w:left="10260"/>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16"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June 30, 2022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39" w:lineRule="exact"/>
        <w:rPr>
          <w:sz w:val="20"/>
          <w:szCs w:val="20"/>
          <w:color w:val="auto"/>
        </w:rPr>
      </w:pPr>
    </w:p>
    <w:p>
      <w:pPr>
        <w:ind w:left="640" w:hanging="377"/>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40" w:hanging="377"/>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-120650</wp:posOffset>
            </wp:positionV>
            <wp:extent cx="26060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line="203" w:lineRule="auto"/>
        <w:rPr>
          <w:sz w:val="20"/>
          <w:szCs w:val="20"/>
          <w:color w:val="auto"/>
        </w:rPr>
      </w:pPr>
      <w:r>
        <w:rPr>
          <w:rFonts w:ascii="Arial" w:cs="Arial" w:eastAsia="Arial" w:hAnsi="Arial"/>
          <w:sz w:val="18"/>
          <w:szCs w:val="18"/>
          <w:color w:val="auto"/>
        </w:rPr>
        <w:t>Chief Financial Officer</w:t>
      </w: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p>
      <w:pPr>
        <w:jc w:val="right"/>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-79375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28" w:lineRule="exact"/>
        <w:rPr>
          <w:sz w:val="20"/>
          <w:szCs w:val="20"/>
          <w:color w:val="auto"/>
        </w:rPr>
      </w:pPr>
    </w:p>
    <w:p>
      <w:pPr>
        <w:ind w:left="112" w:right="120"/>
        <w:spacing w:after="0" w:line="220"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June 30, 2022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-635635</wp:posOffset>
            </wp:positionV>
            <wp:extent cx="889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-610235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-593090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-575945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-541655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-507365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-473075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-455930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-438785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-421640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-370205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-353060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-335915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-318770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-267335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-233045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-198755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-78740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-61595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889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-1270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32"/>
          </w:cols>
          <w:pgMar w:left="328"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2" w:right="40"/>
        <w:spacing w:after="0" w:line="281" w:lineRule="auto"/>
        <w:rPr>
          <w:sz w:val="20"/>
          <w:szCs w:val="20"/>
          <w:color w:val="auto"/>
        </w:rPr>
      </w:pPr>
      <w:r>
        <w:rPr>
          <w:rFonts w:ascii="Arial" w:cs="Arial" w:eastAsia="Arial" w:hAnsi="Arial"/>
          <w:sz w:val="13"/>
          <w:szCs w:val="13"/>
          <w:color w:val="auto"/>
        </w:rPr>
        <w:t>Mine or Operating Name/MSHA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-861060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-843915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-826770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-809625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-792480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-775335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-758190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-741045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-723900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-706755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-689610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-672465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-655320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-638175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-621030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-603885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-586740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-569595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-535305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-518160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-501015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-483870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-466725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-449580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-432435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-415290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-363855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-346710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-329565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-312420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-278130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-260985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-243840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-226695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-158115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-106680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-89535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-72390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1371600" cy="274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ind w:left="112" w:right="620"/>
        <w:spacing w:after="0" w:line="290" w:lineRule="auto"/>
        <w:rPr>
          <w:sz w:val="20"/>
          <w:szCs w:val="20"/>
          <w:color w:val="auto"/>
        </w:rPr>
      </w:pPr>
      <w:r>
        <w:rPr>
          <w:rFonts w:ascii="Arial" w:cs="Arial" w:eastAsia="Arial" w:hAnsi="Arial"/>
          <w:sz w:val="13"/>
          <w:szCs w:val="13"/>
          <w:color w:val="auto"/>
        </w:rPr>
        <w:t>3D Concrete LLC Lander, NV (2602434)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left="112" w:right="500"/>
        <w:spacing w:after="0" w:line="290" w:lineRule="auto"/>
        <w:rPr>
          <w:sz w:val="20"/>
          <w:szCs w:val="20"/>
          <w:color w:val="auto"/>
        </w:rPr>
      </w:pPr>
      <w:r>
        <w:rPr>
          <w:rFonts w:ascii="Arial" w:cs="Arial" w:eastAsia="Arial" w:hAnsi="Arial"/>
          <w:sz w:val="13"/>
          <w:szCs w:val="13"/>
          <w:color w:val="auto"/>
        </w:rPr>
        <w:t>3D Concrete LLC Lyon, Nevada (2602412)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-71120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371600" cy="3003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ind w:left="112"/>
        <w:spacing w:after="0" w:line="221" w:lineRule="auto"/>
        <w:rPr>
          <w:sz w:val="20"/>
          <w:szCs w:val="20"/>
          <w:color w:val="auto"/>
        </w:rPr>
      </w:pPr>
      <w:r>
        <w:rPr>
          <w:rFonts w:ascii="Arial" w:cs="Arial" w:eastAsia="Arial" w:hAnsi="Arial"/>
          <w:sz w:val="14"/>
          <w:szCs w:val="14"/>
          <w:color w:val="auto"/>
        </w:rPr>
        <w:t>LLC</w:t>
      </w:r>
    </w:p>
    <w:p>
      <w:pPr>
        <w:ind w:left="112"/>
        <w:spacing w:after="0"/>
        <w:rPr>
          <w:sz w:val="20"/>
          <w:szCs w:val="20"/>
          <w:color w:val="auto"/>
        </w:rPr>
      </w:pPr>
      <w:r>
        <w:rPr>
          <w:rFonts w:ascii="Arial" w:cs="Arial" w:eastAsia="Arial" w:hAnsi="Arial"/>
          <w:sz w:val="14"/>
          <w:szCs w:val="14"/>
          <w:color w:val="auto"/>
        </w:rPr>
        <w:t>Albuquerque, NM (2900181)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line="221" w:lineRule="auto"/>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-72390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Duke, OK (3400256)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1371600" cy="3257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1371600" cy="3257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American Gypsum Company</w:t>
      </w:r>
    </w:p>
    <w:p>
      <w:pPr>
        <w:ind w:left="112"/>
        <w:spacing w:after="0" w:line="221" w:lineRule="auto"/>
        <w:rPr>
          <w:sz w:val="20"/>
          <w:szCs w:val="20"/>
          <w:color w:val="auto"/>
        </w:rPr>
      </w:pPr>
      <w:r>
        <w:rPr>
          <w:rFonts w:ascii="Arial" w:cs="Arial" w:eastAsia="Arial" w:hAnsi="Arial"/>
          <w:sz w:val="14"/>
          <w:szCs w:val="14"/>
          <w:color w:val="auto"/>
        </w:rPr>
        <w:t>LLC</w:t>
      </w:r>
    </w:p>
    <w:p>
      <w:pPr>
        <w:ind w:left="112"/>
        <w:spacing w:after="0"/>
        <w:rPr>
          <w:sz w:val="20"/>
          <w:szCs w:val="20"/>
          <w:color w:val="auto"/>
        </w:rPr>
      </w:pPr>
      <w:r>
        <w:rPr>
          <w:rFonts w:ascii="Arial" w:cs="Arial" w:eastAsia="Arial" w:hAnsi="Arial"/>
          <w:sz w:val="14"/>
          <w:szCs w:val="14"/>
          <w:color w:val="auto"/>
        </w:rPr>
        <w:t>Eagle, CO (0503997)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left="112" w:right="660"/>
        <w:spacing w:after="0" w:line="290" w:lineRule="auto"/>
        <w:rPr>
          <w:sz w:val="20"/>
          <w:szCs w:val="20"/>
          <w:color w:val="auto"/>
        </w:rPr>
      </w:pPr>
      <w:r>
        <w:rPr>
          <w:rFonts w:ascii="Arial" w:cs="Arial" w:eastAsia="Arial" w:hAnsi="Arial"/>
          <w:sz w:val="13"/>
          <w:szCs w:val="13"/>
          <w:color w:val="auto"/>
        </w:rPr>
        <w:t>Centex Materials LLC Buda, TX (4102241)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-71120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3"/>
          <w:szCs w:val="13"/>
          <w:color w:val="auto"/>
        </w:rPr>
        <w:t>Central Plains Cement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371600" cy="3003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ind w:left="112"/>
        <w:spacing w:after="0" w:line="237" w:lineRule="auto"/>
        <w:rPr>
          <w:sz w:val="20"/>
          <w:szCs w:val="20"/>
          <w:color w:val="auto"/>
        </w:rPr>
      </w:pPr>
      <w:r>
        <w:rPr>
          <w:rFonts w:ascii="Arial" w:cs="Arial" w:eastAsia="Arial" w:hAnsi="Arial"/>
          <w:sz w:val="14"/>
          <w:szCs w:val="14"/>
          <w:color w:val="auto"/>
        </w:rPr>
        <w:t>LLC</w:t>
      </w:r>
    </w:p>
    <w:p>
      <w:pPr>
        <w:spacing w:after="0" w:line="1" w:lineRule="exact"/>
        <w:rPr>
          <w:sz w:val="20"/>
          <w:szCs w:val="20"/>
          <w:color w:val="auto"/>
        </w:rPr>
      </w:pPr>
    </w:p>
    <w:p>
      <w:pPr>
        <w:ind w:left="112"/>
        <w:spacing w:after="0"/>
        <w:rPr>
          <w:sz w:val="20"/>
          <w:szCs w:val="20"/>
          <w:color w:val="auto"/>
        </w:rPr>
      </w:pPr>
      <w:r>
        <w:rPr>
          <w:rFonts w:ascii="Arial" w:cs="Arial" w:eastAsia="Arial" w:hAnsi="Arial"/>
          <w:sz w:val="14"/>
          <w:szCs w:val="14"/>
          <w:color w:val="auto"/>
        </w:rPr>
        <w:t>Sugar Creek, MO (2302171)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12"/>
        <w:spacing w:after="0"/>
        <w:rPr>
          <w:sz w:val="20"/>
          <w:szCs w:val="20"/>
          <w:color w:val="auto"/>
        </w:rPr>
      </w:pPr>
      <w:r>
        <w:rPr>
          <w:rFonts w:ascii="Arial" w:cs="Arial" w:eastAsia="Arial" w:hAnsi="Arial"/>
          <w:sz w:val="13"/>
          <w:szCs w:val="13"/>
          <w:color w:val="auto"/>
        </w:rPr>
        <w:t>Central Plains Cement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-60960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12"/>
        <w:spacing w:after="0" w:line="227" w:lineRule="auto"/>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Tulsa, OK (3400026)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1371600" cy="274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10" w:lineRule="exact"/>
        <w:rPr>
          <w:sz w:val="20"/>
          <w:szCs w:val="20"/>
          <w:color w:val="auto"/>
        </w:rPr>
      </w:pPr>
    </w:p>
    <w:p>
      <w:pPr>
        <w:ind w:left="112" w:right="60"/>
        <w:spacing w:after="0" w:line="290" w:lineRule="auto"/>
        <w:rPr>
          <w:sz w:val="20"/>
          <w:szCs w:val="20"/>
          <w:color w:val="auto"/>
        </w:rPr>
      </w:pPr>
      <w:r>
        <w:rPr>
          <w:rFonts w:ascii="Arial" w:cs="Arial" w:eastAsia="Arial" w:hAnsi="Arial"/>
          <w:sz w:val="13"/>
          <w:szCs w:val="13"/>
          <w:color w:val="auto"/>
        </w:rPr>
        <w:t>Fairborn Cement Company LLC Greene County, OH (3300161)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 w:lineRule="exact"/>
        <w:rPr>
          <w:sz w:val="20"/>
          <w:szCs w:val="20"/>
          <w:color w:val="auto"/>
        </w:rPr>
      </w:pPr>
    </w:p>
    <w:p>
      <w:pPr>
        <w:ind w:left="112" w:right="160"/>
        <w:spacing w:after="0" w:line="253" w:lineRule="auto"/>
        <w:rPr>
          <w:sz w:val="20"/>
          <w:szCs w:val="20"/>
          <w:color w:val="auto"/>
        </w:rPr>
      </w:pPr>
      <w:r>
        <w:rPr>
          <w:rFonts w:ascii="Arial" w:cs="Arial" w:eastAsia="Arial" w:hAnsi="Arial"/>
          <w:sz w:val="14"/>
          <w:szCs w:val="14"/>
          <w:color w:val="auto"/>
        </w:rPr>
        <w:t>Illinois Cement Company LLC LaSalle, IL (1100003)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371600" cy="274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32" w:lineRule="exact"/>
        <w:rPr>
          <w:sz w:val="20"/>
          <w:szCs w:val="20"/>
          <w:color w:val="auto"/>
        </w:rPr>
      </w:pPr>
    </w:p>
    <w:p>
      <w:pPr>
        <w:ind w:left="112" w:right="80"/>
        <w:spacing w:after="0" w:line="253" w:lineRule="auto"/>
        <w:rPr>
          <w:sz w:val="20"/>
          <w:szCs w:val="20"/>
          <w:color w:val="auto"/>
        </w:rPr>
      </w:pPr>
      <w:r>
        <w:rPr>
          <w:rFonts w:ascii="Arial" w:cs="Arial" w:eastAsia="Arial" w:hAnsi="Arial"/>
          <w:sz w:val="14"/>
          <w:szCs w:val="14"/>
          <w:color w:val="auto"/>
        </w:rPr>
        <w:t>Kosmos Cement Company LLC Jefferson, KY (1504469)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12"/>
        <w:spacing w:after="0" w:line="253" w:lineRule="auto"/>
        <w:rPr>
          <w:sz w:val="20"/>
          <w:szCs w:val="20"/>
          <w:color w:val="auto"/>
        </w:rPr>
      </w:pPr>
      <w:r>
        <w:rPr>
          <w:rFonts w:ascii="Arial" w:cs="Arial" w:eastAsia="Arial" w:hAnsi="Arial"/>
          <w:sz w:val="14"/>
          <w:szCs w:val="14"/>
          <w:color w:val="auto"/>
        </w:rPr>
        <w:t>Mountain Cement Company LLC Laramie, WY (4800007)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371600" cy="274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32" w:lineRule="exact"/>
        <w:rPr>
          <w:sz w:val="20"/>
          <w:szCs w:val="20"/>
          <w:color w:val="auto"/>
        </w:rPr>
      </w:pPr>
    </w:p>
    <w:p>
      <w:pPr>
        <w:ind w:left="112" w:right="120"/>
        <w:spacing w:after="0" w:line="253" w:lineRule="auto"/>
        <w:rPr>
          <w:sz w:val="20"/>
          <w:szCs w:val="20"/>
          <w:color w:val="auto"/>
        </w:rPr>
      </w:pPr>
      <w:r>
        <w:rPr>
          <w:rFonts w:ascii="Arial" w:cs="Arial" w:eastAsia="Arial" w:hAnsi="Arial"/>
          <w:sz w:val="14"/>
          <w:szCs w:val="14"/>
          <w:color w:val="auto"/>
        </w:rPr>
        <w:t>Nevada Cement Company LLC Fernley, NV (2600015)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337310" cy="1200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133731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ind w:left="160"/>
              <w:spacing w:after="0" w:line="140" w:lineRule="exact"/>
              <w:rPr>
                <w:sz w:val="20"/>
                <w:szCs w:val="20"/>
                <w:color w:val="auto"/>
              </w:rPr>
            </w:pPr>
            <w:r>
              <w:rPr>
                <w:rFonts w:ascii="Arial" w:cs="Arial" w:eastAsia="Arial" w:hAnsi="Arial"/>
                <w:sz w:val="14"/>
                <w:szCs w:val="14"/>
                <w:color w:val="auto"/>
              </w:rPr>
              <w:t>Received</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to Have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Total Dollar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r>
      <w:tr>
        <w:trPr>
          <w:trHeight w:val="148"/>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104</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r>
      <w:tr>
        <w:trPr>
          <w:trHeight w:val="149"/>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n</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auto"/>
              </w:rPr>
              <w:t>Citation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n</w:t>
            </w:r>
          </w:p>
        </w:tc>
        <w:tc>
          <w:tcPr>
            <w:tcW w:w="220" w:type="dxa"/>
            <w:vAlign w:val="bottom"/>
          </w:tcPr>
          <w:p>
            <w:pPr>
              <w:spacing w:after="0"/>
              <w:rPr>
                <w:sz w:val="12"/>
                <w:szCs w:val="12"/>
                <w:color w:val="auto"/>
              </w:rPr>
            </w:pPr>
          </w:p>
        </w:tc>
        <w:tc>
          <w:tcPr>
            <w:tcW w:w="680" w:type="dxa"/>
            <w:vAlign w:val="bottom"/>
          </w:tcPr>
          <w:p>
            <w:pPr>
              <w:jc w:val="center"/>
              <w:ind w:right="188"/>
              <w:spacing w:after="0" w:line="149" w:lineRule="exact"/>
              <w:rPr>
                <w:sz w:val="20"/>
                <w:szCs w:val="20"/>
                <w:color w:val="auto"/>
              </w:rPr>
            </w:pPr>
            <w:r>
              <w:rPr>
                <w:rFonts w:ascii="Arial" w:cs="Arial" w:eastAsia="Arial" w:hAnsi="Arial"/>
                <w:sz w:val="14"/>
                <w:szCs w:val="14"/>
                <w:color w:val="auto"/>
              </w:rPr>
              <w:t>MSHA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of Mining</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8"/>
        </w:trPr>
        <w:tc>
          <w:tcPr>
            <w:tcW w:w="700" w:type="dxa"/>
            <w:vAlign w:val="bottom"/>
          </w:tcPr>
          <w:p>
            <w:pPr>
              <w:ind w:left="120"/>
              <w:spacing w:after="0" w:line="149" w:lineRule="exact"/>
              <w:rPr>
                <w:sz w:val="20"/>
                <w:szCs w:val="20"/>
                <w:color w:val="auto"/>
              </w:rPr>
            </w:pPr>
            <w:r>
              <w:rPr>
                <w:rFonts w:ascii="Arial" w:cs="Arial" w:eastAsia="Arial" w:hAnsi="Arial"/>
                <w:sz w:val="14"/>
                <w:szCs w:val="14"/>
                <w:color w:val="auto"/>
              </w:rPr>
              <w:t>Citation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s and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Violation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Assessment</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104(e)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r>
      <w:tr>
        <w:trPr>
          <w:trHeight w:val="181"/>
        </w:trPr>
        <w:tc>
          <w:tcPr>
            <w:tcW w:w="70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7"/>
              </w:rPr>
              <w:t>s Proposed</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Fatalities</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0"/>
              </w:rPr>
              <w:t>(yes/no)</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Period</w:t>
            </w:r>
          </w:p>
        </w:tc>
      </w:tr>
      <w:tr>
        <w:trPr>
          <w:trHeight w:val="28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160"/>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r>
      <w:tr>
        <w:trPr>
          <w:trHeight w:val="107"/>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220" w:type="dxa"/>
            <w:vAlign w:val="bottom"/>
            <w:shd w:val="clear" w:color="auto" w:fill="DAEEF3"/>
          </w:tcPr>
          <w:p>
            <w:pPr>
              <w:spacing w:after="0"/>
              <w:rPr>
                <w:sz w:val="9"/>
                <w:szCs w:val="9"/>
                <w:color w:val="auto"/>
              </w:rPr>
            </w:pPr>
          </w:p>
        </w:tc>
        <w:tc>
          <w:tcPr>
            <w:tcW w:w="68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160"/>
              <w:spacing w:after="0"/>
              <w:rPr>
                <w:sz w:val="20"/>
                <w:szCs w:val="20"/>
                <w:color w:val="auto"/>
              </w:rPr>
            </w:pPr>
            <w:r>
              <w:rPr>
                <w:rFonts w:ascii="Arial" w:cs="Arial" w:eastAsia="Arial" w:hAnsi="Arial"/>
                <w:sz w:val="14"/>
                <w:szCs w:val="14"/>
                <w:color w:val="auto"/>
              </w:rPr>
              <w:t>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37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240"/>
              <w:spacing w:after="0"/>
              <w:rPr>
                <w:sz w:val="20"/>
                <w:szCs w:val="20"/>
                <w:color w:val="auto"/>
              </w:rPr>
            </w:pPr>
            <w:r>
              <w:rPr>
                <w:rFonts w:ascii="Arial" w:cs="Arial" w:eastAsia="Arial" w:hAnsi="Arial"/>
                <w:sz w:val="14"/>
                <w:szCs w:val="14"/>
                <w:color w:val="auto"/>
              </w:rPr>
              <w:t>437</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28"/>
                <w:szCs w:val="28"/>
                <w:color w:val="auto"/>
                <w:w w:val="79"/>
                <w:vertAlign w:val="subscript"/>
              </w:rPr>
              <w:t>1</w:t>
            </w:r>
            <w:r>
              <w:rPr>
                <w:rFonts w:ascii="Arial" w:cs="Arial" w:eastAsia="Arial" w:hAnsi="Arial"/>
                <w:sz w:val="10"/>
                <w:szCs w:val="10"/>
                <w:color w:val="auto"/>
                <w:w w:val="79"/>
              </w:rPr>
              <w:t>(1)</w:t>
            </w:r>
          </w:p>
        </w:tc>
        <w:tc>
          <w:tcPr>
            <w:tcW w:w="700" w:type="dxa"/>
            <w:vAlign w:val="bottom"/>
            <w:shd w:val="clear" w:color="auto" w:fill="DAEEF3"/>
          </w:tcPr>
          <w:p>
            <w:pPr>
              <w:jc w:val="center"/>
              <w:spacing w:after="0"/>
              <w:rPr>
                <w:sz w:val="20"/>
                <w:szCs w:val="20"/>
                <w:color w:val="auto"/>
              </w:rPr>
            </w:pPr>
            <w:r>
              <w:rPr>
                <w:rFonts w:ascii="Arial" w:cs="Arial" w:eastAsia="Arial" w:hAnsi="Arial"/>
                <w:sz w:val="28"/>
                <w:szCs w:val="28"/>
                <w:color w:val="auto"/>
                <w:w w:val="88"/>
                <w:vertAlign w:val="subscript"/>
              </w:rPr>
              <w:t>2</w:t>
            </w:r>
            <w:r>
              <w:rPr>
                <w:rFonts w:ascii="Arial" w:cs="Arial" w:eastAsia="Arial" w:hAnsi="Arial"/>
                <w:sz w:val="10"/>
                <w:szCs w:val="10"/>
                <w:color w:val="auto"/>
                <w:w w:val="88"/>
              </w:rPr>
              <w:t>(1)</w:t>
            </w:r>
          </w:p>
        </w:tc>
        <w:tc>
          <w:tcPr>
            <w:tcW w:w="780" w:type="dxa"/>
            <w:vAlign w:val="bottom"/>
            <w:shd w:val="clear" w:color="auto" w:fill="DAEEF3"/>
          </w:tcPr>
          <w:p>
            <w:pPr>
              <w:jc w:val="center"/>
              <w:spacing w:after="0"/>
              <w:rPr>
                <w:sz w:val="20"/>
                <w:szCs w:val="20"/>
                <w:color w:val="auto"/>
              </w:rPr>
            </w:pPr>
            <w:r>
              <w:rPr>
                <w:rFonts w:ascii="Arial" w:cs="Arial" w:eastAsia="Arial" w:hAnsi="Arial"/>
                <w:sz w:val="28"/>
                <w:szCs w:val="28"/>
                <w:color w:val="auto"/>
                <w:w w:val="79"/>
                <w:vertAlign w:val="subscript"/>
              </w:rPr>
              <w:t>1</w:t>
            </w:r>
            <w:r>
              <w:rPr>
                <w:rFonts w:ascii="Arial" w:cs="Arial" w:eastAsia="Arial" w:hAnsi="Arial"/>
                <w:sz w:val="10"/>
                <w:szCs w:val="10"/>
                <w:color w:val="auto"/>
                <w:w w:val="79"/>
              </w:rPr>
              <w:t>(1)</w:t>
            </w:r>
          </w:p>
        </w:tc>
      </w:tr>
      <w:tr>
        <w:trPr>
          <w:trHeight w:val="98"/>
        </w:trPr>
        <w:tc>
          <w:tcPr>
            <w:tcW w:w="700" w:type="dxa"/>
            <w:vAlign w:val="bottom"/>
            <w:shd w:val="clear" w:color="auto" w:fill="DAEEF3"/>
          </w:tcPr>
          <w:p>
            <w:pPr>
              <w:spacing w:after="0"/>
              <w:rPr>
                <w:sz w:val="8"/>
                <w:szCs w:val="8"/>
                <w:color w:val="auto"/>
              </w:rPr>
            </w:pPr>
          </w:p>
        </w:tc>
        <w:tc>
          <w:tcPr>
            <w:tcW w:w="600" w:type="dxa"/>
            <w:vAlign w:val="bottom"/>
            <w:shd w:val="clear" w:color="auto" w:fill="DAEEF3"/>
          </w:tcPr>
          <w:p>
            <w:pPr>
              <w:spacing w:after="0"/>
              <w:rPr>
                <w:sz w:val="8"/>
                <w:szCs w:val="8"/>
                <w:color w:val="auto"/>
              </w:rPr>
            </w:pPr>
          </w:p>
        </w:tc>
        <w:tc>
          <w:tcPr>
            <w:tcW w:w="660" w:type="dxa"/>
            <w:vAlign w:val="bottom"/>
            <w:shd w:val="clear" w:color="auto" w:fill="DAEEF3"/>
          </w:tcPr>
          <w:p>
            <w:pPr>
              <w:spacing w:after="0"/>
              <w:rPr>
                <w:sz w:val="8"/>
                <w:szCs w:val="8"/>
                <w:color w:val="auto"/>
              </w:rPr>
            </w:pPr>
          </w:p>
        </w:tc>
        <w:tc>
          <w:tcPr>
            <w:tcW w:w="740" w:type="dxa"/>
            <w:vAlign w:val="bottom"/>
            <w:shd w:val="clear" w:color="auto" w:fill="DAEEF3"/>
          </w:tcPr>
          <w:p>
            <w:pPr>
              <w:spacing w:after="0"/>
              <w:rPr>
                <w:sz w:val="8"/>
                <w:szCs w:val="8"/>
                <w:color w:val="auto"/>
              </w:rPr>
            </w:pPr>
          </w:p>
        </w:tc>
        <w:tc>
          <w:tcPr>
            <w:tcW w:w="620" w:type="dxa"/>
            <w:vAlign w:val="bottom"/>
            <w:shd w:val="clear" w:color="auto" w:fill="DAEEF3"/>
          </w:tcPr>
          <w:p>
            <w:pPr>
              <w:spacing w:after="0"/>
              <w:rPr>
                <w:sz w:val="8"/>
                <w:szCs w:val="8"/>
                <w:color w:val="auto"/>
              </w:rPr>
            </w:pPr>
          </w:p>
        </w:tc>
        <w:tc>
          <w:tcPr>
            <w:tcW w:w="220" w:type="dxa"/>
            <w:vAlign w:val="bottom"/>
            <w:shd w:val="clear" w:color="auto" w:fill="DAEEF3"/>
          </w:tcPr>
          <w:p>
            <w:pPr>
              <w:spacing w:after="0"/>
              <w:rPr>
                <w:sz w:val="8"/>
                <w:szCs w:val="8"/>
                <w:color w:val="auto"/>
              </w:rPr>
            </w:pPr>
          </w:p>
        </w:tc>
        <w:tc>
          <w:tcPr>
            <w:tcW w:w="680" w:type="dxa"/>
            <w:vAlign w:val="bottom"/>
            <w:shd w:val="clear" w:color="auto" w:fill="DAEEF3"/>
          </w:tcPr>
          <w:p>
            <w:pPr>
              <w:spacing w:after="0"/>
              <w:rPr>
                <w:sz w:val="8"/>
                <w:szCs w:val="8"/>
                <w:color w:val="auto"/>
              </w:rPr>
            </w:pPr>
          </w:p>
        </w:tc>
        <w:tc>
          <w:tcPr>
            <w:tcW w:w="820" w:type="dxa"/>
            <w:vAlign w:val="bottom"/>
            <w:shd w:val="clear" w:color="auto" w:fill="DAEEF3"/>
          </w:tcPr>
          <w:p>
            <w:pPr>
              <w:spacing w:after="0"/>
              <w:rPr>
                <w:sz w:val="8"/>
                <w:szCs w:val="8"/>
                <w:color w:val="auto"/>
              </w:rPr>
            </w:pPr>
          </w:p>
        </w:tc>
        <w:tc>
          <w:tcPr>
            <w:tcW w:w="860" w:type="dxa"/>
            <w:vAlign w:val="bottom"/>
            <w:shd w:val="clear" w:color="auto" w:fill="DAEEF3"/>
          </w:tcPr>
          <w:p>
            <w:pPr>
              <w:spacing w:after="0"/>
              <w:rPr>
                <w:sz w:val="8"/>
                <w:szCs w:val="8"/>
                <w:color w:val="auto"/>
              </w:rPr>
            </w:pPr>
          </w:p>
        </w:tc>
        <w:tc>
          <w:tcPr>
            <w:tcW w:w="820" w:type="dxa"/>
            <w:vAlign w:val="bottom"/>
            <w:shd w:val="clear" w:color="auto" w:fill="DAEEF3"/>
          </w:tcPr>
          <w:p>
            <w:pPr>
              <w:spacing w:after="0"/>
              <w:rPr>
                <w:sz w:val="8"/>
                <w:szCs w:val="8"/>
                <w:color w:val="auto"/>
              </w:rPr>
            </w:pPr>
          </w:p>
        </w:tc>
        <w:tc>
          <w:tcPr>
            <w:tcW w:w="880" w:type="dxa"/>
            <w:vAlign w:val="bottom"/>
            <w:shd w:val="clear" w:color="auto" w:fill="DAEEF3"/>
          </w:tcPr>
          <w:p>
            <w:pPr>
              <w:spacing w:after="0"/>
              <w:rPr>
                <w:sz w:val="8"/>
                <w:szCs w:val="8"/>
                <w:color w:val="auto"/>
              </w:rPr>
            </w:pPr>
          </w:p>
        </w:tc>
        <w:tc>
          <w:tcPr>
            <w:tcW w:w="700" w:type="dxa"/>
            <w:vAlign w:val="bottom"/>
            <w:shd w:val="clear" w:color="auto" w:fill="DAEEF3"/>
          </w:tcPr>
          <w:p>
            <w:pPr>
              <w:spacing w:after="0"/>
              <w:rPr>
                <w:sz w:val="8"/>
                <w:szCs w:val="8"/>
                <w:color w:val="auto"/>
              </w:rPr>
            </w:pPr>
          </w:p>
        </w:tc>
        <w:tc>
          <w:tcPr>
            <w:tcW w:w="780" w:type="dxa"/>
            <w:vAlign w:val="bottom"/>
            <w:shd w:val="clear" w:color="auto" w:fill="DAEEF3"/>
          </w:tcPr>
          <w:p>
            <w:pPr>
              <w:spacing w:after="0"/>
              <w:rPr>
                <w:sz w:val="8"/>
                <w:szCs w:val="8"/>
                <w:color w:val="auto"/>
              </w:rPr>
            </w:pPr>
          </w:p>
        </w:tc>
      </w:tr>
      <w:tr>
        <w:trPr>
          <w:trHeight w:val="32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160"/>
              <w:spacing w:after="0"/>
              <w:rPr>
                <w:sz w:val="20"/>
                <w:szCs w:val="20"/>
                <w:color w:val="auto"/>
              </w:rPr>
            </w:pPr>
            <w:r>
              <w:rPr>
                <w:rFonts w:ascii="Arial" w:cs="Arial" w:eastAsia="Arial" w:hAnsi="Arial"/>
                <w:sz w:val="14"/>
                <w:szCs w:val="14"/>
                <w:color w:val="auto"/>
              </w:rPr>
              <w:t>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147"/>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2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160"/>
              <w:spacing w:after="0"/>
              <w:rPr>
                <w:sz w:val="20"/>
                <w:szCs w:val="20"/>
                <w:color w:val="auto"/>
              </w:rPr>
            </w:pPr>
            <w:r>
              <w:rPr>
                <w:rFonts w:ascii="Arial" w:cs="Arial" w:eastAsia="Arial" w:hAnsi="Arial"/>
                <w:sz w:val="14"/>
                <w:szCs w:val="14"/>
                <w:color w:val="auto"/>
              </w:rPr>
              <w:t>133</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r>
      <w:tr>
        <w:trPr>
          <w:trHeight w:val="147"/>
        </w:trPr>
        <w:tc>
          <w:tcPr>
            <w:tcW w:w="700" w:type="dxa"/>
            <w:vAlign w:val="bottom"/>
            <w:shd w:val="clear" w:color="auto" w:fill="DAEEF3"/>
          </w:tcPr>
          <w:p>
            <w:pPr>
              <w:spacing w:after="0"/>
              <w:rPr>
                <w:sz w:val="12"/>
                <w:szCs w:val="12"/>
                <w:color w:val="auto"/>
              </w:rPr>
            </w:pPr>
          </w:p>
        </w:tc>
        <w:tc>
          <w:tcPr>
            <w:tcW w:w="600" w:type="dxa"/>
            <w:vAlign w:val="bottom"/>
            <w:shd w:val="clear" w:color="auto" w:fill="DAEEF3"/>
          </w:tcPr>
          <w:p>
            <w:pPr>
              <w:spacing w:after="0"/>
              <w:rPr>
                <w:sz w:val="12"/>
                <w:szCs w:val="12"/>
                <w:color w:val="auto"/>
              </w:rPr>
            </w:pPr>
          </w:p>
        </w:tc>
        <w:tc>
          <w:tcPr>
            <w:tcW w:w="660" w:type="dxa"/>
            <w:vAlign w:val="bottom"/>
            <w:shd w:val="clear" w:color="auto" w:fill="DAEEF3"/>
          </w:tcPr>
          <w:p>
            <w:pPr>
              <w:spacing w:after="0"/>
              <w:rPr>
                <w:sz w:val="12"/>
                <w:szCs w:val="12"/>
                <w:color w:val="auto"/>
              </w:rPr>
            </w:pPr>
          </w:p>
        </w:tc>
        <w:tc>
          <w:tcPr>
            <w:tcW w:w="740" w:type="dxa"/>
            <w:vAlign w:val="bottom"/>
            <w:shd w:val="clear" w:color="auto" w:fill="DAEEF3"/>
          </w:tcPr>
          <w:p>
            <w:pPr>
              <w:spacing w:after="0"/>
              <w:rPr>
                <w:sz w:val="12"/>
                <w:szCs w:val="12"/>
                <w:color w:val="auto"/>
              </w:rPr>
            </w:pPr>
          </w:p>
        </w:tc>
        <w:tc>
          <w:tcPr>
            <w:tcW w:w="620" w:type="dxa"/>
            <w:vAlign w:val="bottom"/>
            <w:shd w:val="clear" w:color="auto" w:fill="DAEEF3"/>
          </w:tcPr>
          <w:p>
            <w:pPr>
              <w:spacing w:after="0"/>
              <w:rPr>
                <w:sz w:val="12"/>
                <w:szCs w:val="12"/>
                <w:color w:val="auto"/>
              </w:rPr>
            </w:pPr>
          </w:p>
        </w:tc>
        <w:tc>
          <w:tcPr>
            <w:tcW w:w="220" w:type="dxa"/>
            <w:vAlign w:val="bottom"/>
            <w:shd w:val="clear" w:color="auto" w:fill="DAEEF3"/>
          </w:tcPr>
          <w:p>
            <w:pPr>
              <w:spacing w:after="0"/>
              <w:rPr>
                <w:sz w:val="12"/>
                <w:szCs w:val="12"/>
                <w:color w:val="auto"/>
              </w:rPr>
            </w:pPr>
          </w:p>
        </w:tc>
        <w:tc>
          <w:tcPr>
            <w:tcW w:w="68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6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80" w:type="dxa"/>
            <w:vAlign w:val="bottom"/>
            <w:shd w:val="clear" w:color="auto" w:fill="DAEEF3"/>
          </w:tcPr>
          <w:p>
            <w:pPr>
              <w:spacing w:after="0"/>
              <w:rPr>
                <w:sz w:val="12"/>
                <w:szCs w:val="12"/>
                <w:color w:val="auto"/>
              </w:rPr>
            </w:pPr>
          </w:p>
        </w:tc>
        <w:tc>
          <w:tcPr>
            <w:tcW w:w="700" w:type="dxa"/>
            <w:vAlign w:val="bottom"/>
            <w:shd w:val="clear" w:color="auto" w:fill="DAEEF3"/>
          </w:tcPr>
          <w:p>
            <w:pPr>
              <w:spacing w:after="0"/>
              <w:rPr>
                <w:sz w:val="12"/>
                <w:szCs w:val="12"/>
                <w:color w:val="auto"/>
              </w:rPr>
            </w:pPr>
          </w:p>
        </w:tc>
        <w:tc>
          <w:tcPr>
            <w:tcW w:w="780" w:type="dxa"/>
            <w:vAlign w:val="bottom"/>
            <w:shd w:val="clear" w:color="auto" w:fill="DAEEF3"/>
          </w:tcPr>
          <w:p>
            <w:pPr>
              <w:spacing w:after="0"/>
              <w:rPr>
                <w:sz w:val="12"/>
                <w:szCs w:val="12"/>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160"/>
              <w:spacing w:after="0"/>
              <w:rPr>
                <w:sz w:val="20"/>
                <w:szCs w:val="20"/>
                <w:color w:val="auto"/>
              </w:rPr>
            </w:pPr>
            <w:r>
              <w:rPr>
                <w:rFonts w:ascii="Arial" w:cs="Arial" w:eastAsia="Arial" w:hAnsi="Arial"/>
                <w:sz w:val="14"/>
                <w:szCs w:val="14"/>
                <w:color w:val="auto"/>
              </w:rPr>
              <w:t>774</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37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6</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2</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shd w:val="clear" w:color="auto" w:fill="DAEEF3"/>
          </w:tcPr>
          <w:p>
            <w:pPr>
              <w:ind w:left="120"/>
              <w:spacing w:after="0"/>
              <w:rPr>
                <w:sz w:val="20"/>
                <w:szCs w:val="20"/>
                <w:color w:val="auto"/>
              </w:rPr>
            </w:pPr>
            <w:r>
              <w:rPr>
                <w:rFonts w:ascii="Arial" w:cs="Arial" w:eastAsia="Arial" w:hAnsi="Arial"/>
                <w:sz w:val="14"/>
                <w:szCs w:val="14"/>
                <w:color w:val="auto"/>
              </w:rPr>
              <w:t>$54,454</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28"/>
                <w:szCs w:val="28"/>
                <w:color w:val="auto"/>
                <w:w w:val="88"/>
                <w:vertAlign w:val="subscript"/>
              </w:rPr>
              <w:t>1</w:t>
            </w:r>
            <w:r>
              <w:rPr>
                <w:rFonts w:ascii="Arial" w:cs="Arial" w:eastAsia="Arial" w:hAnsi="Arial"/>
                <w:sz w:val="10"/>
                <w:szCs w:val="10"/>
                <w:color w:val="auto"/>
                <w:w w:val="88"/>
              </w:rPr>
              <w:t>(1)</w:t>
            </w:r>
          </w:p>
        </w:tc>
        <w:tc>
          <w:tcPr>
            <w:tcW w:w="780" w:type="dxa"/>
            <w:vAlign w:val="bottom"/>
            <w:shd w:val="clear" w:color="auto" w:fill="DAEEF3"/>
          </w:tcPr>
          <w:p>
            <w:pPr>
              <w:jc w:val="center"/>
              <w:spacing w:after="0"/>
              <w:rPr>
                <w:sz w:val="20"/>
                <w:szCs w:val="20"/>
                <w:color w:val="auto"/>
              </w:rPr>
            </w:pPr>
            <w:r>
              <w:rPr>
                <w:rFonts w:ascii="Arial" w:cs="Arial" w:eastAsia="Arial" w:hAnsi="Arial"/>
                <w:sz w:val="28"/>
                <w:szCs w:val="28"/>
                <w:color w:val="auto"/>
                <w:w w:val="79"/>
                <w:vertAlign w:val="subscript"/>
              </w:rPr>
              <w:t>1</w:t>
            </w:r>
            <w:r>
              <w:rPr>
                <w:rFonts w:ascii="Arial" w:cs="Arial" w:eastAsia="Arial" w:hAnsi="Arial"/>
                <w:sz w:val="10"/>
                <w:szCs w:val="10"/>
                <w:color w:val="auto"/>
                <w:w w:val="79"/>
              </w:rPr>
              <w:t>(1)</w:t>
            </w:r>
          </w:p>
        </w:tc>
      </w:tr>
      <w:tr>
        <w:trPr>
          <w:trHeight w:val="98"/>
        </w:trPr>
        <w:tc>
          <w:tcPr>
            <w:tcW w:w="700" w:type="dxa"/>
            <w:vAlign w:val="bottom"/>
            <w:shd w:val="clear" w:color="auto" w:fill="DAEEF3"/>
          </w:tcPr>
          <w:p>
            <w:pPr>
              <w:spacing w:after="0"/>
              <w:rPr>
                <w:sz w:val="8"/>
                <w:szCs w:val="8"/>
                <w:color w:val="auto"/>
              </w:rPr>
            </w:pPr>
          </w:p>
        </w:tc>
        <w:tc>
          <w:tcPr>
            <w:tcW w:w="600" w:type="dxa"/>
            <w:vAlign w:val="bottom"/>
            <w:shd w:val="clear" w:color="auto" w:fill="DAEEF3"/>
          </w:tcPr>
          <w:p>
            <w:pPr>
              <w:spacing w:after="0"/>
              <w:rPr>
                <w:sz w:val="8"/>
                <w:szCs w:val="8"/>
                <w:color w:val="auto"/>
              </w:rPr>
            </w:pPr>
          </w:p>
        </w:tc>
        <w:tc>
          <w:tcPr>
            <w:tcW w:w="660" w:type="dxa"/>
            <w:vAlign w:val="bottom"/>
            <w:shd w:val="clear" w:color="auto" w:fill="DAEEF3"/>
          </w:tcPr>
          <w:p>
            <w:pPr>
              <w:spacing w:after="0"/>
              <w:rPr>
                <w:sz w:val="8"/>
                <w:szCs w:val="8"/>
                <w:color w:val="auto"/>
              </w:rPr>
            </w:pPr>
          </w:p>
        </w:tc>
        <w:tc>
          <w:tcPr>
            <w:tcW w:w="740" w:type="dxa"/>
            <w:vAlign w:val="bottom"/>
            <w:shd w:val="clear" w:color="auto" w:fill="DAEEF3"/>
          </w:tcPr>
          <w:p>
            <w:pPr>
              <w:spacing w:after="0"/>
              <w:rPr>
                <w:sz w:val="8"/>
                <w:szCs w:val="8"/>
                <w:color w:val="auto"/>
              </w:rPr>
            </w:pPr>
          </w:p>
        </w:tc>
        <w:tc>
          <w:tcPr>
            <w:tcW w:w="620" w:type="dxa"/>
            <w:vAlign w:val="bottom"/>
            <w:shd w:val="clear" w:color="auto" w:fill="DAEEF3"/>
          </w:tcPr>
          <w:p>
            <w:pPr>
              <w:spacing w:after="0"/>
              <w:rPr>
                <w:sz w:val="8"/>
                <w:szCs w:val="8"/>
                <w:color w:val="auto"/>
              </w:rPr>
            </w:pPr>
          </w:p>
        </w:tc>
        <w:tc>
          <w:tcPr>
            <w:tcW w:w="220" w:type="dxa"/>
            <w:vAlign w:val="bottom"/>
            <w:shd w:val="clear" w:color="auto" w:fill="DAEEF3"/>
          </w:tcPr>
          <w:p>
            <w:pPr>
              <w:spacing w:after="0"/>
              <w:rPr>
                <w:sz w:val="8"/>
                <w:szCs w:val="8"/>
                <w:color w:val="auto"/>
              </w:rPr>
            </w:pPr>
          </w:p>
        </w:tc>
        <w:tc>
          <w:tcPr>
            <w:tcW w:w="680" w:type="dxa"/>
            <w:vAlign w:val="bottom"/>
            <w:shd w:val="clear" w:color="auto" w:fill="DAEEF3"/>
          </w:tcPr>
          <w:p>
            <w:pPr>
              <w:spacing w:after="0"/>
              <w:rPr>
                <w:sz w:val="8"/>
                <w:szCs w:val="8"/>
                <w:color w:val="auto"/>
              </w:rPr>
            </w:pPr>
          </w:p>
        </w:tc>
        <w:tc>
          <w:tcPr>
            <w:tcW w:w="820" w:type="dxa"/>
            <w:vAlign w:val="bottom"/>
            <w:shd w:val="clear" w:color="auto" w:fill="DAEEF3"/>
          </w:tcPr>
          <w:p>
            <w:pPr>
              <w:spacing w:after="0"/>
              <w:rPr>
                <w:sz w:val="8"/>
                <w:szCs w:val="8"/>
                <w:color w:val="auto"/>
              </w:rPr>
            </w:pPr>
          </w:p>
        </w:tc>
        <w:tc>
          <w:tcPr>
            <w:tcW w:w="860" w:type="dxa"/>
            <w:vAlign w:val="bottom"/>
            <w:shd w:val="clear" w:color="auto" w:fill="DAEEF3"/>
          </w:tcPr>
          <w:p>
            <w:pPr>
              <w:spacing w:after="0"/>
              <w:rPr>
                <w:sz w:val="8"/>
                <w:szCs w:val="8"/>
                <w:color w:val="auto"/>
              </w:rPr>
            </w:pPr>
          </w:p>
        </w:tc>
        <w:tc>
          <w:tcPr>
            <w:tcW w:w="820" w:type="dxa"/>
            <w:vAlign w:val="bottom"/>
            <w:shd w:val="clear" w:color="auto" w:fill="DAEEF3"/>
          </w:tcPr>
          <w:p>
            <w:pPr>
              <w:spacing w:after="0"/>
              <w:rPr>
                <w:sz w:val="8"/>
                <w:szCs w:val="8"/>
                <w:color w:val="auto"/>
              </w:rPr>
            </w:pPr>
          </w:p>
        </w:tc>
        <w:tc>
          <w:tcPr>
            <w:tcW w:w="880" w:type="dxa"/>
            <w:vAlign w:val="bottom"/>
            <w:shd w:val="clear" w:color="auto" w:fill="DAEEF3"/>
          </w:tcPr>
          <w:p>
            <w:pPr>
              <w:spacing w:after="0"/>
              <w:rPr>
                <w:sz w:val="8"/>
                <w:szCs w:val="8"/>
                <w:color w:val="auto"/>
              </w:rPr>
            </w:pPr>
          </w:p>
        </w:tc>
        <w:tc>
          <w:tcPr>
            <w:tcW w:w="700" w:type="dxa"/>
            <w:vAlign w:val="bottom"/>
            <w:shd w:val="clear" w:color="auto" w:fill="DAEEF3"/>
          </w:tcPr>
          <w:p>
            <w:pPr>
              <w:spacing w:after="0"/>
              <w:rPr>
                <w:sz w:val="8"/>
                <w:szCs w:val="8"/>
                <w:color w:val="auto"/>
              </w:rPr>
            </w:pPr>
          </w:p>
        </w:tc>
        <w:tc>
          <w:tcPr>
            <w:tcW w:w="780" w:type="dxa"/>
            <w:vAlign w:val="bottom"/>
            <w:shd w:val="clear" w:color="auto" w:fill="DAEEF3"/>
          </w:tcPr>
          <w:p>
            <w:pPr>
              <w:spacing w:after="0"/>
              <w:rPr>
                <w:sz w:val="8"/>
                <w:szCs w:val="8"/>
                <w:color w:val="auto"/>
              </w:rPr>
            </w:pPr>
          </w:p>
        </w:tc>
      </w:tr>
      <w:tr>
        <w:trPr>
          <w:trHeight w:val="326"/>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160"/>
              <w:spacing w:after="0"/>
              <w:rPr>
                <w:sz w:val="20"/>
                <w:szCs w:val="20"/>
                <w:color w:val="auto"/>
              </w:rPr>
            </w:pPr>
            <w:r>
              <w:rPr>
                <w:rFonts w:ascii="Arial" w:cs="Arial" w:eastAsia="Arial" w:hAnsi="Arial"/>
                <w:sz w:val="14"/>
                <w:szCs w:val="14"/>
                <w:color w:val="auto"/>
              </w:rPr>
              <w:t>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147"/>
        </w:trPr>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8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160"/>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r>
      <w:tr>
        <w:trPr>
          <w:trHeight w:val="106"/>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220" w:type="dxa"/>
            <w:vAlign w:val="bottom"/>
            <w:shd w:val="clear" w:color="auto" w:fill="DAEEF3"/>
          </w:tcPr>
          <w:p>
            <w:pPr>
              <w:spacing w:after="0"/>
              <w:rPr>
                <w:sz w:val="9"/>
                <w:szCs w:val="9"/>
                <w:color w:val="auto"/>
              </w:rPr>
            </w:pPr>
          </w:p>
        </w:tc>
        <w:tc>
          <w:tcPr>
            <w:tcW w:w="68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160"/>
              <w:spacing w:after="0"/>
              <w:rPr>
                <w:sz w:val="20"/>
                <w:szCs w:val="20"/>
                <w:color w:val="auto"/>
              </w:rPr>
            </w:pPr>
            <w:r>
              <w:rPr>
                <w:rFonts w:ascii="Arial" w:cs="Arial" w:eastAsia="Arial" w:hAnsi="Arial"/>
                <w:sz w:val="14"/>
                <w:szCs w:val="14"/>
                <w:color w:val="auto"/>
              </w:rPr>
              <w:t>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8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9</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160"/>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r>
      <w:tr>
        <w:trPr>
          <w:trHeight w:val="106"/>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220" w:type="dxa"/>
            <w:vAlign w:val="bottom"/>
            <w:shd w:val="clear" w:color="auto" w:fill="DAEEF3"/>
          </w:tcPr>
          <w:p>
            <w:pPr>
              <w:spacing w:after="0"/>
              <w:rPr>
                <w:sz w:val="9"/>
                <w:szCs w:val="9"/>
                <w:color w:val="auto"/>
              </w:rPr>
            </w:pPr>
          </w:p>
        </w:tc>
        <w:tc>
          <w:tcPr>
            <w:tcW w:w="68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300"/>
              <w:spacing w:after="0"/>
              <w:rPr>
                <w:sz w:val="20"/>
                <w:szCs w:val="20"/>
                <w:color w:val="auto"/>
              </w:rPr>
            </w:pPr>
            <w:r>
              <w:rPr>
                <w:rFonts w:ascii="Arial" w:cs="Arial" w:eastAsia="Arial" w:hAnsi="Arial"/>
                <w:sz w:val="14"/>
                <w:szCs w:val="14"/>
                <w:color w:val="auto"/>
              </w:rPr>
              <w:t>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391"/>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4</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2</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240"/>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28"/>
                <w:szCs w:val="28"/>
                <w:color w:val="auto"/>
                <w:w w:val="88"/>
                <w:vertAlign w:val="subscript"/>
              </w:rPr>
              <w:t>8</w:t>
            </w:r>
            <w:r>
              <w:rPr>
                <w:rFonts w:ascii="Arial" w:cs="Arial" w:eastAsia="Arial" w:hAnsi="Arial"/>
                <w:sz w:val="10"/>
                <w:szCs w:val="10"/>
                <w:color w:val="auto"/>
                <w:w w:val="88"/>
              </w:rPr>
              <w:t>(1)</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-4337050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-4319905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-4302760</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-4285615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-4268470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-4251325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-4234180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-4217035</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-4199890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-4182745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-4165600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-4148455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-4131310</wp:posOffset>
            </wp:positionV>
            <wp:extent cx="82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-4114165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-4097020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-4079875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-4062730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-4045585</wp:posOffset>
            </wp:positionV>
            <wp:extent cx="825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-4028440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-4011295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-3994150</wp:posOffset>
            </wp:positionV>
            <wp:extent cx="825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-3977005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-3959860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-3942715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-3925570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-3908425</wp:posOffset>
            </wp:positionV>
            <wp:extent cx="825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-3891280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-3874135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-3856990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-3839845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-3822700</wp:posOffset>
            </wp:positionV>
            <wp:extent cx="82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-3805555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-3788410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-3771265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-3754120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-3736975</wp:posOffset>
            </wp:positionV>
            <wp:extent cx="825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-3719830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-3702685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-3685540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-3668395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-3651250</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-3634105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-3616960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-3599815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-3582670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-3565525</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-3514090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-3496945</wp:posOffset>
            </wp:positionV>
            <wp:extent cx="825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-3470910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-3453765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-3436620</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-3419475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-3402330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-3385185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-3368040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-3350895</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-3333750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-3316605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-3299460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-3282315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-3265170</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-3248025</wp:posOffset>
            </wp:positionV>
            <wp:extent cx="825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-3222625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-3205480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-3188335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-3171190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-3154045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-3136900</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-3119755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-3102610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-3085465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-3068320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-3051175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-3034030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-3016885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-2999740</wp:posOffset>
            </wp:positionV>
            <wp:extent cx="825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-2973705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-2956560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-2939415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-2922270</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-2905125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-2887980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-2870835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-2853690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-2836545</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-2819400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-2802255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-2785110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-2767965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-2750820</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-2733675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-2716530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-2699385</wp:posOffset>
            </wp:positionV>
            <wp:extent cx="825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-2673985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-2656840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-2639695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-2622550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-2605405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-2588260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-2571115</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-2553970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-2536825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-2519680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-2502535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-2485390</wp:posOffset>
            </wp:positionV>
            <wp:extent cx="82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-2468245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-2451100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-2433955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-2416810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-2399665</wp:posOffset>
            </wp:positionV>
            <wp:extent cx="825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-2373630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-2357120</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-2339340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-2322195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-2305050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-2287905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-2271395</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-2253615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-2236470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-2219325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-2202180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-2185670</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-2167890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-2150745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-2133600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-2116455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-2099945</wp:posOffset>
            </wp:positionV>
            <wp:extent cx="825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-2073910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-2056765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-2039620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-2022475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-2005330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-1988185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-1971040</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-1953895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-1919605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-1902460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-1885315</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-1868170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-1851025</wp:posOffset>
            </wp:positionV>
            <wp:extent cx="825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-1824990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-1807845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-1790700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-1773555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-1757045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-1739265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-1722120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-1704975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-1687830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-1671320</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-1653540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-1636395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-1602105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-1585595</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-1567815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-1550670</wp:posOffset>
            </wp:positionV>
            <wp:extent cx="825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-1525270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-1508125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-1490980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-1473835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-1456690</wp:posOffset>
            </wp:positionV>
            <wp:extent cx="82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-1439545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-1422400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-1405255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-1388110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-1370965</wp:posOffset>
            </wp:positionV>
            <wp:extent cx="825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-1353820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-1336675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-1319530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-1302385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-1285240</wp:posOffset>
            </wp:positionV>
            <wp:extent cx="82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-1268095</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-1250950</wp:posOffset>
            </wp:positionV>
            <wp:extent cx="825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-1224915</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-1207770</wp:posOffset>
            </wp:positionV>
            <wp:extent cx="825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-1190625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-1173480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-1156335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-1139190</wp:posOffset>
            </wp:positionV>
            <wp:extent cx="82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-1122045</wp:posOffset>
            </wp:positionV>
            <wp:extent cx="825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-1104900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-1087755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-1070610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-1053465</wp:posOffset>
            </wp:positionV>
            <wp:extent cx="82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-1036320</wp:posOffset>
            </wp:positionV>
            <wp:extent cx="825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-1019175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-1002030</wp:posOffset>
            </wp:positionV>
            <wp:extent cx="825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-976630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-959485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-942340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-925195</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-908050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-890905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-873760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-839470</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-822325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-805180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-788035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-770890</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-753745</wp:posOffset>
            </wp:positionV>
            <wp:extent cx="825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-728345</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-710565</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-693420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-676275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-659130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-642620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-624840</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-607695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-590550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-573405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-556895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-539115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-521970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-504825</wp:posOffset>
            </wp:positionV>
            <wp:extent cx="825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-479425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-462280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-445135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-427990</wp:posOffset>
            </wp:positionV>
            <wp:extent cx="825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-410845</wp:posOffset>
            </wp:positionV>
            <wp:extent cx="825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-393700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-376555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-359410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-342265</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-325120</wp:posOffset>
            </wp:positionV>
            <wp:extent cx="82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-307975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-290830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-273685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-256540</wp:posOffset>
            </wp:positionV>
            <wp:extent cx="825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-230505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-213995</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-196215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-179070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-145415</wp:posOffset>
            </wp:positionV>
            <wp:extent cx="825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-128270</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-110490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-93345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-59690</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-42545</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-7620</wp:posOffset>
            </wp:positionV>
            <wp:extent cx="5786120" cy="12827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5786120" cy="1282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-7620</wp:posOffset>
            </wp:positionV>
            <wp:extent cx="5786120" cy="1282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578612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52" w:space="100"/>
            <w:col w:w="9080"/>
          </w:cols>
          <w:pgMar w:left="328" w:top="148" w:right="339" w:bottom="1440" w:gutter="0" w:footer="0" w:header="0"/>
          <w:type w:val="continuous"/>
        </w:sectPr>
      </w:pPr>
    </w:p>
    <w:p>
      <w:pPr>
        <w:spacing w:after="0" w:line="308" w:lineRule="exact"/>
        <w:rPr>
          <w:sz w:val="20"/>
          <w:szCs w:val="20"/>
          <w:color w:val="auto"/>
        </w:rPr>
      </w:pPr>
    </w:p>
    <w:p>
      <w:pPr>
        <w:ind w:left="152" w:hanging="152"/>
        <w:spacing w:after="0"/>
        <w:tabs>
          <w:tab w:leader="none" w:pos="152" w:val="left"/>
        </w:tabs>
        <w:numPr>
          <w:ilvl w:val="0"/>
          <w:numId w:val="93"/>
        </w:numPr>
        <w:rPr>
          <w:rFonts w:ascii="Arial" w:cs="Arial" w:eastAsia="Arial" w:hAnsi="Arial"/>
          <w:sz w:val="17"/>
          <w:szCs w:val="17"/>
          <w:color w:val="auto"/>
          <w:vertAlign w:val="superscript"/>
        </w:rPr>
      </w:pPr>
      <w:r>
        <w:rPr>
          <w:rFonts w:ascii="Arial" w:cs="Arial" w:eastAsia="Arial" w:hAnsi="Arial"/>
          <w:sz w:val="13"/>
          <w:szCs w:val="13"/>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8" w:right="339" w:bottom="1440" w:gutter="0" w:footer="0" w:header="0"/>
          <w:type w:val="continuous"/>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214"/>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upperLetter"/>
      <w:start w:val="2"/>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lowerRoman"/>
      <w:start w:val="3"/>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1"/>
    </w:lvl>
  </w:abstractNum>
  <w:abstractNum w:abstractNumId="13">
    <w:nsid w:val="520EEDD1"/>
    <w:multiLevelType w:val="hybridMultilevel"/>
    <w:lvl w:ilvl="0">
      <w:lvlJc w:val="left"/>
      <w:lvlText w:val="*"/>
      <w:numFmt w:val="bullet"/>
      <w:start w:val="1"/>
    </w:lvl>
    <w:lvl w:ilvl="1">
      <w:lvlJc w:val="left"/>
      <w:lvlText w:val="%2"/>
      <w:numFmt w:val="decimal"/>
      <w:start w:val="104"/>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1"/>
    </w:lvl>
    <w:lvl w:ilvl="1">
      <w:lvlJc w:val="left"/>
      <w:lvlText w:val="(%2)"/>
      <w:numFmt w:val="lowerLetter"/>
      <w:start w:val="1"/>
    </w:lvl>
  </w:abstractNum>
  <w:abstractNum w:abstractNumId="16">
    <w:nsid w:val="23F9C13C"/>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7">
    <w:nsid w:val="649BB77C"/>
    <w:multiLevelType w:val="hybridMultilevel"/>
    <w:lvl w:ilvl="0">
      <w:lvlJc w:val="left"/>
      <w:lvlText w:val="%1."/>
      <w:numFmt w:val="decimal"/>
      <w:start w:val="4"/>
    </w:lvl>
    <w:lvl w:ilvl="1">
      <w:lvlJc w:val="left"/>
      <w:lvlText w:val="-"/>
      <w:numFmt w:val="bullet"/>
      <w:start w:val="1"/>
    </w:lvl>
  </w:abstractNum>
  <w:abstractNum w:abstractNumId="18">
    <w:nsid w:val="275AC794"/>
    <w:multiLevelType w:val="hybridMultilevel"/>
    <w:lvl w:ilvl="0">
      <w:lvlJc w:val="left"/>
      <w:lvlText w:val="%1."/>
      <w:numFmt w:val="decimal"/>
      <w:start w:val="7"/>
    </w:lvl>
  </w:abstractNum>
  <w:abstractNum w:abstractNumId="19">
    <w:nsid w:val="39386575"/>
    <w:multiLevelType w:val="hybridMultilevel"/>
    <w:lvl w:ilvl="0">
      <w:lvlJc w:val="left"/>
      <w:lvlText w:val="(%1)"/>
      <w:numFmt w:val="lowerLetter"/>
      <w:start w:val="1"/>
    </w:lvl>
  </w:abstractNum>
  <w:abstractNum w:abstractNumId="20">
    <w:nsid w:val="1CF10FD8"/>
    <w:multiLevelType w:val="hybridMultilevel"/>
    <w:lvl w:ilvl="0">
      <w:lvlJc w:val="left"/>
      <w:lvlText w:val="%1."/>
      <w:numFmt w:val="decimal"/>
      <w:start w:val="8"/>
    </w:lvl>
  </w:abstractNum>
  <w:abstractNum w:abstractNumId="21">
    <w:nsid w:val="180115BE"/>
    <w:multiLevelType w:val="hybridMultilevel"/>
    <w:lvl w:ilvl="0">
      <w:lvlJc w:val="left"/>
      <w:lvlText w:val="%1."/>
      <w:numFmt w:val="decimal"/>
      <w:start w:val="9"/>
    </w:lvl>
    <w:lvl w:ilvl="1">
      <w:lvlJc w:val="left"/>
      <w:lvlText w:val="-"/>
      <w:numFmt w:val="bullet"/>
      <w:start w:val="1"/>
    </w:lvl>
  </w:abstractNum>
  <w:abstractNum w:abstractNumId="22">
    <w:nsid w:val="235BA861"/>
    <w:multiLevelType w:val="hybridMultilevel"/>
    <w:lvl w:ilvl="0">
      <w:lvlJc w:val="left"/>
      <w:lvlText w:val="%1."/>
      <w:numFmt w:val="decimal"/>
      <w:start w:val="12"/>
    </w:lvl>
  </w:abstractNum>
  <w:abstractNum w:abstractNumId="23">
    <w:nsid w:val="47398C89"/>
    <w:multiLevelType w:val="hybridMultilevel"/>
    <w:lvl w:ilvl="0">
      <w:lvlJc w:val="left"/>
      <w:lvlText w:val="(%1)"/>
      <w:numFmt w:val="lowerLetter"/>
      <w:start w:val="1"/>
    </w:lvl>
    <w:lvl w:ilvl="1">
      <w:lvlJc w:val="left"/>
      <w:lvlText w:val="-"/>
      <w:numFmt w:val="bullet"/>
      <w:start w:val="1"/>
    </w:lvl>
  </w:abstractNum>
  <w:abstractNum w:abstractNumId="24">
    <w:nsid w:val="354FE9F9"/>
    <w:multiLevelType w:val="hybridMultilevel"/>
    <w:lvl w:ilvl="0">
      <w:lvlJc w:val="left"/>
      <w:lvlText w:val="(%1)"/>
      <w:numFmt w:val="lowerRoman"/>
      <w:start w:val="1"/>
    </w:lvl>
  </w:abstractNum>
  <w:abstractNum w:abstractNumId="25">
    <w:nsid w:val="15B5AF5C"/>
    <w:multiLevelType w:val="hybridMultilevel"/>
    <w:lvl w:ilvl="0">
      <w:lvlJc w:val="left"/>
      <w:lvlText w:val="%1."/>
      <w:numFmt w:val="decimal"/>
      <w:start w:val="1"/>
    </w:lvl>
    <w:lvl w:ilvl="1">
      <w:lvlJc w:val="left"/>
      <w:lvlText w:val="(%2)"/>
      <w:numFmt w:val="lowerLetter"/>
      <w:start w:val="1"/>
    </w:lvl>
  </w:abstractNum>
  <w:abstractNum w:abstractNumId="26">
    <w:nsid w:val="741226BB"/>
    <w:multiLevelType w:val="hybridMultilevel"/>
    <w:lvl w:ilvl="0">
      <w:lvlJc w:val="left"/>
      <w:lvlText w:val="(%1)"/>
      <w:numFmt w:val="lowerLetter"/>
      <w:start w:val="2"/>
    </w:lvl>
  </w:abstractNum>
  <w:abstractNum w:abstractNumId="27">
    <w:nsid w:val="D34B6A8"/>
    <w:multiLevelType w:val="hybridMultilevel"/>
    <w:lvl w:ilvl="0">
      <w:lvlJc w:val="left"/>
      <w:lvlText w:val="%1"/>
      <w:numFmt w:val="decimal"/>
      <w:start w:val="1"/>
    </w:lvl>
    <w:lvl w:ilvl="1">
      <w:lvlJc w:val="left"/>
      <w:lvlText w:val="(%2)"/>
      <w:numFmt w:val="lowerLetter"/>
      <w:start w:val="3"/>
    </w:lvl>
  </w:abstractNum>
  <w:abstractNum w:abstractNumId="28">
    <w:nsid w:val="10233C99"/>
    <w:multiLevelType w:val="hybridMultilevel"/>
    <w:lvl w:ilvl="0">
      <w:lvlJc w:val="left"/>
      <w:lvlText w:val="%1."/>
      <w:numFmt w:val="decimal"/>
      <w:start w:val="4"/>
    </w:lvl>
    <w:lvl w:ilvl="1">
      <w:lvlJc w:val="left"/>
      <w:lvlText w:val="%2"/>
      <w:numFmt w:val="lowerLetter"/>
      <w:start w:val="1"/>
    </w:lvl>
  </w:abstractNum>
  <w:abstractNum w:abstractNumId="29">
    <w:nsid w:val="3F6AB60F"/>
    <w:multiLevelType w:val="hybridMultilevel"/>
    <w:lvl w:ilvl="0">
      <w:lvlJc w:val="left"/>
      <w:lvlText w:val="(%1)"/>
      <w:numFmt w:val="lowerLetter"/>
      <w:start w:val="1"/>
    </w:lvl>
    <w:lvl w:ilvl="1">
      <w:lvlJc w:val="left"/>
      <w:lvlText w:val="-"/>
      <w:numFmt w:val="bullet"/>
      <w:start w:val="1"/>
    </w:lvl>
  </w:abstractNum>
  <w:abstractNum w:abstractNumId="30">
    <w:nsid w:val="61574095"/>
    <w:multiLevelType w:val="hybridMultilevel"/>
    <w:lvl w:ilvl="0">
      <w:lvlJc w:val="left"/>
      <w:lvlText w:val="%1."/>
      <w:numFmt w:val="decimal"/>
      <w:start w:val="8"/>
    </w:lvl>
  </w:abstractNum>
  <w:abstractNum w:abstractNumId="31">
    <w:nsid w:val="7E0C57B1"/>
    <w:multiLevelType w:val="hybridMultilevel"/>
    <w:lvl w:ilvl="0">
      <w:lvlJc w:val="left"/>
      <w:lvlText w:val="%1."/>
      <w:numFmt w:val="decimal"/>
      <w:start w:val="9"/>
    </w:lvl>
    <w:lvl w:ilvl="1">
      <w:lvlJc w:val="left"/>
      <w:lvlText w:val="-"/>
      <w:numFmt w:val="bullet"/>
      <w:start w:val="1"/>
    </w:lvl>
  </w:abstractNum>
  <w:abstractNum w:abstractNumId="32">
    <w:nsid w:val="77AE35EB"/>
    <w:multiLevelType w:val="hybridMultilevel"/>
    <w:lvl w:ilvl="0">
      <w:lvlJc w:val="left"/>
      <w:lvlText w:val="%1."/>
      <w:numFmt w:val="decimal"/>
      <w:start w:val="12"/>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lowerRoman"/>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25A70BF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38">
    <w:nsid w:val="1DBABF0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9">
    <w:nsid w:val="4AD084E9"/>
    <w:multiLevelType w:val="hybridMultilevel"/>
    <w:lvl w:ilvl="0">
      <w:lvlJc w:val="left"/>
      <w:lvlText w:val=";"/>
      <w:numFmt w:val="bullet"/>
      <w:start w:val="1"/>
    </w:lvl>
    <w:lvl w:ilvl="1">
      <w:lvlJc w:val="left"/>
      <w:lvlText w:val="(%2)"/>
      <w:numFmt w:val="lowerLetter"/>
      <w:start w:val="2"/>
    </w:lvl>
  </w:abstractNum>
  <w:abstractNum w:abstractNumId="40">
    <w:nsid w:val="1F48EAA1"/>
    <w:multiLevelType w:val="hybridMultilevel"/>
    <w:lvl w:ilvl="0">
      <w:lvlJc w:val="left"/>
      <w:lvlText w:val="(%1)"/>
      <w:numFmt w:val="lowerLetter"/>
      <w:start w:val="3"/>
    </w:lvl>
  </w:abstractNum>
  <w:abstractNum w:abstractNumId="41">
    <w:nsid w:val="1381823A"/>
    <w:multiLevelType w:val="hybridMultilevel"/>
    <w:lvl w:ilvl="0">
      <w:lvlJc w:val="left"/>
      <w:lvlText w:val="(%1)"/>
      <w:numFmt w:val="lowerLetter"/>
      <w:start w:val="4"/>
    </w:lvl>
  </w:abstractNum>
  <w:abstractNum w:abstractNumId="42">
    <w:nsid w:val="5DB70AE5"/>
    <w:multiLevelType w:val="hybridMultilevel"/>
    <w:lvl w:ilvl="0">
      <w:lvlJc w:val="left"/>
      <w:lvlText w:val="%1."/>
      <w:numFmt w:val="decimal"/>
      <w:start w:val="3"/>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decimal"/>
      <w:start w:val="1"/>
    </w:lvl>
    <w:lvl w:ilvl="1">
      <w:lvlJc w:val="left"/>
      <w:lvlText w:val="(%2)"/>
      <w:numFmt w:val="lowerLetter"/>
      <w:start w:val="4"/>
    </w:lvl>
  </w:abstractNum>
  <w:abstractNum w:abstractNumId="45">
    <w:nsid w:val="15014ACB"/>
    <w:multiLevelType w:val="hybridMultilevel"/>
    <w:lvl w:ilvl="0">
      <w:lvlJc w:val="left"/>
      <w:lvlText w:val="%1."/>
      <w:numFmt w:val="decimal"/>
      <w:start w:val="4"/>
    </w:lvl>
    <w:lvl w:ilvl="1">
      <w:lvlJc w:val="left"/>
      <w:lvlText w:val="%2"/>
      <w:numFmt w:val="lowerLetter"/>
      <w:start w:val="1"/>
    </w:lvl>
  </w:abstractNum>
  <w:abstractNum w:abstractNumId="46">
    <w:nsid w:val="5F5E7FD0"/>
    <w:multiLevelType w:val="hybridMultilevel"/>
    <w:lvl w:ilvl="0">
      <w:lvlJc w:val="left"/>
      <w:lvlText w:val="%1."/>
      <w:numFmt w:val="decimal"/>
      <w:start w:val="5"/>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decimal"/>
      <w:start w:val="6"/>
    </w:lvl>
  </w:abstractNum>
  <w:abstractNum w:abstractNumId="49">
    <w:nsid w:val="6B94764"/>
    <w:multiLevelType w:val="hybridMultilevel"/>
    <w:lvl w:ilvl="0">
      <w:lvlJc w:val="left"/>
      <w:lvlText w:val="%1."/>
      <w:numFmt w:val="decimal"/>
      <w:start w:val="7"/>
    </w:lvl>
  </w:abstractNum>
  <w:abstractNum w:abstractNumId="50">
    <w:nsid w:val="42C296BD"/>
    <w:multiLevelType w:val="hybridMultilevel"/>
    <w:lvl w:ilvl="0">
      <w:lvlJc w:val="left"/>
      <w:lvlText w:val="%1."/>
      <w:numFmt w:val="decimal"/>
      <w:start w:val="8"/>
    </w:lvl>
  </w:abstractNum>
  <w:abstractNum w:abstractNumId="51">
    <w:nsid w:val="168E121F"/>
    <w:multiLevelType w:val="hybridMultilevel"/>
    <w:lvl w:ilvl="0">
      <w:lvlJc w:val="left"/>
      <w:lvlText w:val="%1."/>
      <w:numFmt w:val="decimal"/>
      <w:start w:val="9"/>
    </w:lvl>
  </w:abstractNum>
  <w:abstractNum w:abstractNumId="52">
    <w:nsid w:val="1EBA5D23"/>
    <w:multiLevelType w:val="hybridMultilevel"/>
    <w:lvl w:ilvl="0">
      <w:lvlJc w:val="left"/>
      <w:lvlText w:val="%1."/>
      <w:numFmt w:val="decimal"/>
      <w:start w:val="10"/>
    </w:lvl>
  </w:abstractNum>
  <w:abstractNum w:abstractNumId="53">
    <w:nsid w:val="661E3F1E"/>
    <w:multiLevelType w:val="hybridMultilevel"/>
    <w:lvl w:ilvl="0">
      <w:lvlJc w:val="left"/>
      <w:lvlText w:val="%1."/>
      <w:numFmt w:val="decimal"/>
      <w:start w:val="11"/>
    </w:lvl>
  </w:abstractNum>
  <w:abstractNum w:abstractNumId="54">
    <w:nsid w:val="5DC79EA8"/>
    <w:multiLevelType w:val="hybridMultilevel"/>
    <w:lvl w:ilvl="0">
      <w:lvlJc w:val="left"/>
      <w:lvlText w:val="%1."/>
      <w:numFmt w:val="decimal"/>
      <w:start w:val="12"/>
    </w:lvl>
  </w:abstractNum>
  <w:abstractNum w:abstractNumId="55">
    <w:nsid w:val="540A471C"/>
    <w:multiLevelType w:val="hybridMultilevel"/>
    <w:lvl w:ilvl="0">
      <w:lvlJc w:val="left"/>
      <w:lvlText w:val="%1."/>
      <w:numFmt w:val="decimal"/>
      <w:start w:val="13"/>
    </w:lvl>
  </w:abstractNum>
  <w:abstractNum w:abstractNumId="56">
    <w:nsid w:val="7BD3EE7B"/>
    <w:multiLevelType w:val="hybridMultilevel"/>
    <w:lvl w:ilvl="0">
      <w:lvlJc w:val="left"/>
      <w:lvlText w:val="%1."/>
      <w:numFmt w:val="decimal"/>
      <w:start w:val="14"/>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Roman"/>
      <w:start w:val="1"/>
    </w:lvl>
  </w:abstractNum>
  <w:abstractNum w:abstractNumId="59">
    <w:nsid w:val="BF72B14"/>
    <w:multiLevelType w:val="hybridMultilevel"/>
    <w:lvl w:ilvl="0">
      <w:lvlJc w:val="left"/>
      <w:lvlText w:val="(%1)"/>
      <w:numFmt w:val="lowerRoman"/>
      <w:start w:val="9"/>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1"/>
    </w:lvl>
    <w:lvl w:ilvl="1">
      <w:lvlJc w:val="left"/>
      <w:lvlText w:val="(%2)"/>
      <w:numFmt w:val="lowerLetter"/>
      <w:start w:val="1"/>
    </w:lvl>
  </w:abstractNum>
  <w:abstractNum w:abstractNumId="62">
    <w:nsid w:val="A0382C5"/>
    <w:multiLevelType w:val="hybridMultilevel"/>
    <w:lvl w:ilvl="0">
      <w:lvlJc w:val="left"/>
      <w:lvlText w:val="%1."/>
      <w:numFmt w:val="decimal"/>
      <w:start w:val="2"/>
    </w:lvl>
    <w:lvl w:ilvl="1">
      <w:lvlJc w:val="left"/>
      <w:lvlText w:val="(%2)"/>
      <w:numFmt w:val="lowerLetter"/>
      <w:start w:val="1"/>
    </w:lvl>
  </w:abstractNum>
  <w:abstractNum w:abstractNumId="63">
    <w:nsid w:val="8F2B15E"/>
    <w:multiLevelType w:val="hybridMultilevel"/>
    <w:lvl w:ilvl="0">
      <w:lvlJc w:val="left"/>
      <w:lvlText w:val="(%1)"/>
      <w:numFmt w:val="lowerLetter"/>
      <w:start w:val="2"/>
    </w:lvl>
  </w:abstractNum>
  <w:abstractNum w:abstractNumId="64">
    <w:nsid w:val="1A32234B"/>
    <w:multiLevelType w:val="hybridMultilevel"/>
    <w:lvl w:ilvl="0">
      <w:lvlJc w:val="left"/>
      <w:lvlText w:val="%1."/>
      <w:numFmt w:val="decimal"/>
      <w:start w:val="3"/>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decimal"/>
      <w:start w:val="1"/>
    </w:lvl>
    <w:lvl w:ilvl="1">
      <w:lvlJc w:val="left"/>
      <w:lvlText w:val="(%2)"/>
      <w:numFmt w:val="lowerLetter"/>
      <w:start w:val="3"/>
    </w:lvl>
  </w:abstractNum>
  <w:abstractNum w:abstractNumId="67">
    <w:nsid w:val="4962813B"/>
    <w:multiLevelType w:val="hybridMultilevel"/>
    <w:lvl w:ilvl="0">
      <w:lvlJc w:val="left"/>
      <w:lvlText w:val="%1."/>
      <w:numFmt w:val="decimal"/>
      <w:start w:val="4"/>
    </w:lvl>
    <w:lvl w:ilvl="1">
      <w:lvlJc w:val="left"/>
      <w:lvlText w:val="%2"/>
      <w:numFmt w:val="lowerLetter"/>
      <w:start w:val="1"/>
    </w:lvl>
  </w:abstractNum>
  <w:abstractNum w:abstractNumId="68">
    <w:nsid w:val="60B6DF70"/>
    <w:multiLevelType w:val="hybridMultilevel"/>
    <w:lvl w:ilvl="0">
      <w:lvlJc w:val="left"/>
      <w:lvlText w:val="%1."/>
      <w:numFmt w:val="decimal"/>
      <w:start w:val="5"/>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decimal"/>
      <w:start w:val="6"/>
    </w:lvl>
  </w:abstractNum>
  <w:abstractNum w:abstractNumId="71">
    <w:nsid w:val="7FFFCA11"/>
    <w:multiLevelType w:val="hybridMultilevel"/>
    <w:lvl w:ilvl="0">
      <w:lvlJc w:val="left"/>
      <w:lvlText w:val="%1."/>
      <w:numFmt w:val="decimal"/>
      <w:start w:val="7"/>
    </w:lvl>
  </w:abstractNum>
  <w:abstractNum w:abstractNumId="72">
    <w:nsid w:val="1A27709E"/>
    <w:multiLevelType w:val="hybridMultilevel"/>
    <w:lvl w:ilvl="0">
      <w:lvlJc w:val="left"/>
      <w:lvlText w:val="%1."/>
      <w:numFmt w:val="decimal"/>
      <w:start w:val="8"/>
    </w:lvl>
  </w:abstractNum>
  <w:abstractNum w:abstractNumId="73">
    <w:nsid w:val="71EA1109"/>
    <w:multiLevelType w:val="hybridMultilevel"/>
    <w:lvl w:ilvl="0">
      <w:lvlJc w:val="left"/>
      <w:lvlText w:val="%1."/>
      <w:numFmt w:val="decimal"/>
      <w:start w:val="9"/>
    </w:lvl>
  </w:abstractNum>
  <w:abstractNum w:abstractNumId="74">
    <w:nsid w:val="100F59DC"/>
    <w:multiLevelType w:val="hybridMultilevel"/>
    <w:lvl w:ilvl="0">
      <w:lvlJc w:val="left"/>
      <w:lvlText w:val="%1."/>
      <w:numFmt w:val="decimal"/>
      <w:start w:val="10"/>
    </w:lvl>
  </w:abstractNum>
  <w:abstractNum w:abstractNumId="75">
    <w:nsid w:val="7FB7E0AA"/>
    <w:multiLevelType w:val="hybridMultilevel"/>
    <w:lvl w:ilvl="0">
      <w:lvlJc w:val="left"/>
      <w:lvlText w:val="%1."/>
      <w:numFmt w:val="decimal"/>
      <w:start w:val="11"/>
    </w:lvl>
  </w:abstractNum>
  <w:abstractNum w:abstractNumId="76">
    <w:nsid w:val="6EB5BD4"/>
    <w:multiLevelType w:val="hybridMultilevel"/>
    <w:lvl w:ilvl="0">
      <w:lvlJc w:val="left"/>
      <w:lvlText w:val="%1."/>
      <w:numFmt w:val="decimal"/>
      <w:start w:val="12"/>
    </w:lvl>
  </w:abstractNum>
  <w:abstractNum w:abstractNumId="77">
    <w:nsid w:val="6F6DD9AC"/>
    <w:multiLevelType w:val="hybridMultilevel"/>
    <w:lvl w:ilvl="0">
      <w:lvlJc w:val="left"/>
      <w:lvlText w:val="%1."/>
      <w:numFmt w:val="decimal"/>
      <w:start w:val="13"/>
    </w:lvl>
  </w:abstractNum>
  <w:abstractNum w:abstractNumId="78">
    <w:nsid w:val="94211F2"/>
    <w:multiLevelType w:val="hybridMultilevel"/>
    <w:lvl w:ilvl="0">
      <w:lvlJc w:val="left"/>
      <w:lvlText w:val="%1."/>
      <w:numFmt w:val="decimal"/>
      <w:start w:val="14"/>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Roman"/>
      <w:start w:val="1"/>
    </w:lvl>
  </w:abstractNum>
  <w:abstractNum w:abstractNumId="81">
    <w:nsid w:val="4C04A8AF"/>
    <w:multiLevelType w:val="hybridMultilevel"/>
    <w:lvl w:ilvl="0">
      <w:lvlJc w:val="left"/>
      <w:lvlText w:val="(%1)"/>
      <w:numFmt w:val="lowerRoman"/>
      <w:start w:val="9"/>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decimal"/>
      <w:start w:val="5"/>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decimal"/>
      <w:start w:val="5"/>
    </w:lvl>
  </w:abstractNum>
  <w:abstractNum w:abstractNumId="89">
    <w:nsid w:val="4A2AC315"/>
    <w:multiLevelType w:val="hybridMultilevel"/>
    <w:lvl w:ilvl="0">
      <w:lvlJc w:val="left"/>
      <w:lvlText w:val="%1)"/>
      <w:numFmt w:val="lowerLetter"/>
      <w:start w:val="1"/>
    </w:lvl>
  </w:abstractNum>
  <w:abstractNum w:abstractNumId="90">
    <w:nsid w:val="39EE015C"/>
    <w:multiLevelType w:val="hybridMultilevel"/>
    <w:lvl w:ilvl="0">
      <w:lvlJc w:val="left"/>
      <w:lvlText w:val="(%1)"/>
      <w:numFmt w:val="lowerRoman"/>
      <w:start w:val="1"/>
    </w:lvl>
  </w:abstractNum>
  <w:abstractNum w:abstractNumId="91">
    <w:nsid w:val="57FC4FBB"/>
    <w:multiLevelType w:val="hybridMultilevel"/>
    <w:lvl w:ilvl="0">
      <w:lvlJc w:val="left"/>
      <w:lvlText w:val="(%1)"/>
      <w:numFmt w:val="lowerRoman"/>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31" Type="http://schemas.openxmlformats.org/officeDocument/2006/relationships/image" Target="media/image520.png"/><Relationship Id="rId532" Type="http://schemas.openxmlformats.org/officeDocument/2006/relationships/image" Target="media/image521.png"/><Relationship Id="rId533" Type="http://schemas.openxmlformats.org/officeDocument/2006/relationships/image" Target="media/image522.png"/><Relationship Id="rId534" Type="http://schemas.openxmlformats.org/officeDocument/2006/relationships/image" Target="media/image523.png"/><Relationship Id="rId535" Type="http://schemas.openxmlformats.org/officeDocument/2006/relationships/image" Target="media/image524.png"/><Relationship Id="rId536" Type="http://schemas.openxmlformats.org/officeDocument/2006/relationships/image" Target="media/image525.png"/><Relationship Id="rId537" Type="http://schemas.openxmlformats.org/officeDocument/2006/relationships/image" Target="media/image526.png"/><Relationship Id="rId538" Type="http://schemas.openxmlformats.org/officeDocument/2006/relationships/image" Target="media/image527.png"/><Relationship Id="rId539" Type="http://schemas.openxmlformats.org/officeDocument/2006/relationships/image" Target="media/image528.png"/><Relationship Id="rId540" Type="http://schemas.openxmlformats.org/officeDocument/2006/relationships/image" Target="media/image529.png"/><Relationship Id="rId541"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4" Type="http://schemas.openxmlformats.org/officeDocument/2006/relationships/image" Target="media/image533.png"/><Relationship Id="rId545" Type="http://schemas.openxmlformats.org/officeDocument/2006/relationships/image" Target="media/image534.png"/><Relationship Id="rId546" Type="http://schemas.openxmlformats.org/officeDocument/2006/relationships/image" Target="media/image535.png"/><Relationship Id="rId547"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61" Type="http://schemas.openxmlformats.org/officeDocument/2006/relationships/image" Target="media/image550.png"/><Relationship Id="rId562" Type="http://schemas.openxmlformats.org/officeDocument/2006/relationships/image" Target="media/image551.png"/><Relationship Id="rId563" Type="http://schemas.openxmlformats.org/officeDocument/2006/relationships/image" Target="media/image552.png"/><Relationship Id="rId564" Type="http://schemas.openxmlformats.org/officeDocument/2006/relationships/image" Target="media/image553.png"/><Relationship Id="rId565" Type="http://schemas.openxmlformats.org/officeDocument/2006/relationships/image" Target="media/image554.png"/><Relationship Id="rId566" Type="http://schemas.openxmlformats.org/officeDocument/2006/relationships/image" Target="media/image555.png"/><Relationship Id="rId567" Type="http://schemas.openxmlformats.org/officeDocument/2006/relationships/image" Target="media/image556.png"/><Relationship Id="rId568"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2" Type="http://schemas.openxmlformats.org/officeDocument/2006/relationships/image" Target="media/image561.png"/><Relationship Id="rId573" Type="http://schemas.openxmlformats.org/officeDocument/2006/relationships/image" Target="media/image562.png"/><Relationship Id="rId574" Type="http://schemas.openxmlformats.org/officeDocument/2006/relationships/image" Target="media/image563.png"/><Relationship Id="rId575" Type="http://schemas.openxmlformats.org/officeDocument/2006/relationships/image" Target="media/image564.png"/><Relationship Id="rId576" Type="http://schemas.openxmlformats.org/officeDocument/2006/relationships/image" Target="media/image565.png"/><Relationship Id="rId577" Type="http://schemas.openxmlformats.org/officeDocument/2006/relationships/image" Target="media/image566.png"/><Relationship Id="rId578" Type="http://schemas.openxmlformats.org/officeDocument/2006/relationships/image" Target="media/image567.png"/><Relationship Id="rId579" Type="http://schemas.openxmlformats.org/officeDocument/2006/relationships/image" Target="media/image568.png"/><Relationship Id="rId580" Type="http://schemas.openxmlformats.org/officeDocument/2006/relationships/image" Target="media/image569.png"/><Relationship Id="rId581" Type="http://schemas.openxmlformats.org/officeDocument/2006/relationships/image" Target="media/image570.png"/><Relationship Id="rId582" Type="http://schemas.openxmlformats.org/officeDocument/2006/relationships/image" Target="media/image571.png"/><Relationship Id="rId583" Type="http://schemas.openxmlformats.org/officeDocument/2006/relationships/image" Target="media/image572.png"/><Relationship Id="rId584" Type="http://schemas.openxmlformats.org/officeDocument/2006/relationships/image" Target="media/image573.png"/><Relationship Id="rId585" Type="http://schemas.openxmlformats.org/officeDocument/2006/relationships/image" Target="media/image574.png"/><Relationship Id="rId586" Type="http://schemas.openxmlformats.org/officeDocument/2006/relationships/image" Target="media/image575.png"/><Relationship Id="rId587" Type="http://schemas.openxmlformats.org/officeDocument/2006/relationships/image" Target="media/image576.png"/><Relationship Id="rId588" Type="http://schemas.openxmlformats.org/officeDocument/2006/relationships/image" Target="media/image577.png"/><Relationship Id="rId589" Type="http://schemas.openxmlformats.org/officeDocument/2006/relationships/image" Target="media/image578.png"/><Relationship Id="rId590" Type="http://schemas.openxmlformats.org/officeDocument/2006/relationships/image" Target="media/image579.png"/><Relationship Id="rId591" Type="http://schemas.openxmlformats.org/officeDocument/2006/relationships/image" Target="media/image580.png"/><Relationship Id="rId592"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6" Type="http://schemas.openxmlformats.org/officeDocument/2006/relationships/image" Target="media/image585.png"/><Relationship Id="rId597" Type="http://schemas.openxmlformats.org/officeDocument/2006/relationships/image" Target="media/image586.png"/><Relationship Id="rId598"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pn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615" Type="http://schemas.openxmlformats.org/officeDocument/2006/relationships/image" Target="media/image604.png"/><Relationship Id="rId616" Type="http://schemas.openxmlformats.org/officeDocument/2006/relationships/image" Target="media/image605.png"/><Relationship Id="rId617" Type="http://schemas.openxmlformats.org/officeDocument/2006/relationships/image" Target="media/image606.png"/><Relationship Id="rId618" Type="http://schemas.openxmlformats.org/officeDocument/2006/relationships/image" Target="media/image607.png"/><Relationship Id="rId619" Type="http://schemas.openxmlformats.org/officeDocument/2006/relationships/image" Target="media/image608.png"/><Relationship Id="rId620"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173" Type="http://schemas.openxmlformats.org/officeDocument/2006/relationships/hyperlink" Target="https://www.sec.gov/Archives/edgar/data/0000918646/000119312522143703/d284371dex101.htm" TargetMode="External"/><Relationship Id="rId174" Type="http://schemas.openxmlformats.org/officeDocument/2006/relationships/hyperlink" Target="https://www.sec.gov/Archives/edgar/data/0000918646/000119312522157501/d296589dex101.htm" TargetMode="External"/><Relationship Id="rId175" Type="http://schemas.openxmlformats.org/officeDocument/2006/relationships/hyperlink" Target="https://www.sec.gov/Archives/edgar/data/0000918646/000119312522157501/d296589dex102.htm" TargetMode="External"/><Relationship Id="rId176" Type="http://schemas.openxmlformats.org/officeDocument/2006/relationships/hyperlink" Target="https://www.sec.gov/Archives/edgar/data/0000918646/000119312522157501/d29658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2022-07-28T16:39:04Z</dcterms:created>
  <dcterms:modified xsi:type="dcterms:W3CDTF">2022-07-28T16:39:04Z</dcterms:modified>
</cp:coreProperties>
</file>