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81280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5"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ind w:left="4820"/>
        <w:spacing w:after="0"/>
        <w:tabs>
          <w:tab w:leader="none" w:pos="634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99060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4" w:lineRule="exact"/>
        <w:rPr>
          <w:sz w:val="24"/>
          <w:szCs w:val="24"/>
          <w:color w:val="auto"/>
        </w:rPr>
      </w:pPr>
    </w:p>
    <w:p>
      <w:pPr>
        <w:spacing w:after="0" w:line="207" w:lineRule="exact"/>
        <w:tabs>
          <w:tab w:leader="none" w:pos="35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Preliminary Proxy Statement</w:t>
      </w:r>
    </w:p>
    <w:p>
      <w:pPr>
        <w:spacing w:after="0" w:line="172" w:lineRule="exact"/>
        <w:rPr>
          <w:rFonts w:ascii="MS PGothic" w:cs="MS PGothic" w:eastAsia="MS PGothic" w:hAnsi="MS PGothic"/>
          <w:sz w:val="32"/>
          <w:szCs w:val="32"/>
          <w:color w:val="auto"/>
          <w:vertAlign w:val="superscript"/>
        </w:rPr>
      </w:pPr>
    </w:p>
    <w:p>
      <w:pPr>
        <w:ind w:left="460" w:hanging="452"/>
        <w:spacing w:after="0" w:line="184" w:lineRule="auto"/>
        <w:tabs>
          <w:tab w:leader="none" w:pos="46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20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21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221" w:lineRule="exact"/>
        <w:rPr>
          <w:rFonts w:ascii="MS PGothic" w:cs="MS PGothic" w:eastAsia="MS PGothic" w:hAnsi="MS PGothic"/>
          <w:sz w:val="16"/>
          <w:szCs w:val="16"/>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 240.14a-12</w:t>
      </w:r>
    </w:p>
    <w:p>
      <w:pPr>
        <w:spacing w:after="0" w:line="1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EAGLE MATERIALS INC.</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1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54"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67"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67" w:lineRule="exact"/>
        <w:rPr>
          <w:rFonts w:ascii="MS PGothic" w:cs="MS PGothic" w:eastAsia="MS PGothic" w:hAnsi="MS PGothic"/>
          <w:sz w:val="16"/>
          <w:szCs w:val="16"/>
          <w:color w:val="auto"/>
        </w:rPr>
      </w:pPr>
    </w:p>
    <w:p>
      <w:pPr>
        <w:ind w:left="460" w:hanging="452"/>
        <w:spacing w:after="0"/>
        <w:tabs>
          <w:tab w:leader="none" w:pos="4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43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1450975</wp:posOffset>
            </wp:positionH>
            <wp:positionV relativeFrom="page">
              <wp:posOffset>1546225</wp:posOffset>
            </wp:positionV>
            <wp:extent cx="4654550" cy="1097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65455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Calibri" w:cs="Calibri" w:eastAsia="Calibri" w:hAnsi="Calibri"/>
          <w:sz w:val="130"/>
          <w:szCs w:val="130"/>
          <w:b w:val="1"/>
          <w:bCs w:val="1"/>
          <w:color w:val="auto"/>
        </w:rPr>
        <w:t>2022</w:t>
      </w:r>
    </w:p>
    <w:p>
      <w:pPr>
        <w:spacing w:after="0" w:line="324" w:lineRule="exact"/>
        <w:rPr>
          <w:sz w:val="20"/>
          <w:szCs w:val="20"/>
          <w:color w:val="auto"/>
        </w:rPr>
      </w:pPr>
    </w:p>
    <w:p>
      <w:pPr>
        <w:ind w:left="6020"/>
        <w:spacing w:after="0"/>
        <w:rPr>
          <w:sz w:val="20"/>
          <w:szCs w:val="20"/>
          <w:color w:val="auto"/>
        </w:rPr>
      </w:pPr>
      <w:r>
        <w:rPr>
          <w:rFonts w:ascii="Calibri" w:cs="Calibri" w:eastAsia="Calibri" w:hAnsi="Calibri"/>
          <w:sz w:val="32"/>
          <w:szCs w:val="32"/>
          <w:b w:val="1"/>
          <w:bCs w:val="1"/>
          <w:color w:val="auto"/>
        </w:rPr>
        <w:t>Proxy Statement and Notce of</w:t>
      </w:r>
    </w:p>
    <w:p>
      <w:pPr>
        <w:spacing w:after="0" w:line="1" w:lineRule="exact"/>
        <w:rPr>
          <w:sz w:val="20"/>
          <w:szCs w:val="20"/>
          <w:color w:val="auto"/>
        </w:rPr>
      </w:pPr>
    </w:p>
    <w:p>
      <w:pPr>
        <w:ind w:left="5800"/>
        <w:spacing w:after="0"/>
        <w:rPr>
          <w:sz w:val="20"/>
          <w:szCs w:val="20"/>
          <w:color w:val="auto"/>
        </w:rPr>
      </w:pPr>
      <w:r>
        <w:rPr>
          <w:rFonts w:ascii="Calibri" w:cs="Calibri" w:eastAsia="Calibri" w:hAnsi="Calibri"/>
          <w:sz w:val="32"/>
          <w:szCs w:val="32"/>
          <w:b w:val="1"/>
          <w:bCs w:val="1"/>
          <w:color w:val="auto"/>
        </w:rPr>
        <w:t>Annual Meetng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416560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2291080</wp:posOffset>
            </wp:positionH>
            <wp:positionV relativeFrom="page">
              <wp:posOffset>405765</wp:posOffset>
            </wp:positionV>
            <wp:extent cx="2966085" cy="694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966085" cy="694055"/>
                    </a:xfrm>
                    <a:prstGeom prst="rect">
                      <a:avLst/>
                    </a:prstGeom>
                    <a:noFill/>
                  </pic:spPr>
                </pic:pic>
              </a:graphicData>
            </a:graphic>
          </wp:anchor>
        </w:drawing>
      </w:r>
    </w:p>
    <w:p>
      <w:pPr>
        <w:spacing w:after="0" w:line="310"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b w:val="1"/>
          <w:bCs w:val="1"/>
          <w:color w:val="auto"/>
        </w:rPr>
        <w:t>5960 Berkshire Ln., Suite 900</w:t>
      </w:r>
    </w:p>
    <w:p>
      <w:pPr>
        <w:spacing w:after="0" w:line="1"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b w:val="1"/>
          <w:bCs w:val="1"/>
          <w:color w:val="auto"/>
        </w:rPr>
        <w:t>Dallas, Texas 75225</w:t>
      </w:r>
    </w:p>
    <w:p>
      <w:pPr>
        <w:spacing w:after="0" w:line="209" w:lineRule="exact"/>
        <w:rPr>
          <w:sz w:val="20"/>
          <w:szCs w:val="20"/>
          <w:color w:val="auto"/>
        </w:rPr>
      </w:pPr>
    </w:p>
    <w:p>
      <w:pPr>
        <w:spacing w:after="0"/>
        <w:rPr>
          <w:sz w:val="20"/>
          <w:szCs w:val="20"/>
          <w:color w:val="auto"/>
        </w:rPr>
      </w:pPr>
      <w:r>
        <w:rPr>
          <w:rFonts w:ascii="Calibri" w:cs="Calibri" w:eastAsia="Calibri" w:hAnsi="Calibri"/>
          <w:sz w:val="20"/>
          <w:szCs w:val="20"/>
          <w:color w:val="auto"/>
        </w:rPr>
        <w:t>June 24, 2022</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Dear Fellow Stockholder:</w:t>
      </w:r>
    </w:p>
    <w:p>
      <w:pPr>
        <w:spacing w:after="0" w:line="225" w:lineRule="exact"/>
        <w:rPr>
          <w:sz w:val="20"/>
          <w:szCs w:val="20"/>
          <w:color w:val="auto"/>
        </w:rPr>
      </w:pPr>
    </w:p>
    <w:p>
      <w:pPr>
        <w:jc w:val="both"/>
        <w:ind w:right="140"/>
        <w:spacing w:after="0" w:line="236" w:lineRule="auto"/>
        <w:rPr>
          <w:sz w:val="20"/>
          <w:szCs w:val="20"/>
          <w:color w:val="auto"/>
        </w:rPr>
      </w:pPr>
      <w:r>
        <w:rPr>
          <w:rFonts w:ascii="Calibri" w:cs="Calibri" w:eastAsia="Calibri" w:hAnsi="Calibri"/>
          <w:sz w:val="20"/>
          <w:szCs w:val="20"/>
          <w:color w:val="auto"/>
        </w:rPr>
        <w:t>It is my pleasure to invite you to our Annual Meetng of Stockholders, which will be held on Friday, August 5, 2022, at the Hilton Dallas Park Cites, 5954 Luther Lane, Dallas, TX 75225, at 8:00 a.m., local tme. We hope that you will atend the meetng, but we encourage you to vote by proxy whether or not you plan to atend the meetng in person.</w:t>
      </w:r>
    </w:p>
    <w:p>
      <w:pPr>
        <w:spacing w:after="0" w:line="225" w:lineRule="exact"/>
        <w:rPr>
          <w:sz w:val="20"/>
          <w:szCs w:val="20"/>
          <w:color w:val="auto"/>
        </w:rPr>
      </w:pPr>
    </w:p>
    <w:p>
      <w:pPr>
        <w:spacing w:after="0"/>
        <w:rPr>
          <w:sz w:val="20"/>
          <w:szCs w:val="20"/>
          <w:color w:val="auto"/>
        </w:rPr>
      </w:pPr>
      <w:r>
        <w:rPr>
          <w:rFonts w:ascii="Calibri" w:cs="Calibri" w:eastAsia="Calibri" w:hAnsi="Calibri"/>
          <w:sz w:val="20"/>
          <w:szCs w:val="20"/>
          <w:color w:val="auto"/>
        </w:rPr>
        <w:t>This year we are again taking advantage of the Securites and Exchange Commission rules that allow companies to furnish their proxy materials over the Internet. As a result, beginning on June 24, 2022, we are mailing to many of our stockholders a Notce Regarding the Availability of Proxy Materials, or Notce, instead of a paper copy of the materials for the Annual Meetng. The Notce contains instructons on how to access the proxy materials over the Internet and vote online, as well as how stockholders can elect to receive paper copies of the materials. We believe that this process expedites stockholders’ receipt of proxy materials and provides stockholders with the informaton they need, while also conserving natural resources and reducing the costs of printng and distributng our proxy materials.</w:t>
      </w:r>
    </w:p>
    <w:p>
      <w:pPr>
        <w:spacing w:after="0" w:line="200" w:lineRule="exact"/>
        <w:rPr>
          <w:sz w:val="20"/>
          <w:szCs w:val="20"/>
          <w:color w:val="auto"/>
        </w:rPr>
      </w:pPr>
    </w:p>
    <w:p>
      <w:pPr>
        <w:spacing w:after="0" w:line="252"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 xml:space="preserve">If you atend the Annual Meetng and desire to vote your shares personally rather than by proxy, you may withdraw your proxy at any tme before it is exercised. </w:t>
      </w:r>
      <w:r>
        <w:rPr>
          <w:rFonts w:ascii="Calibri" w:cs="Calibri" w:eastAsia="Calibri" w:hAnsi="Calibri"/>
          <w:sz w:val="20"/>
          <w:szCs w:val="20"/>
          <w:b w:val="1"/>
          <w:bCs w:val="1"/>
          <w:color w:val="auto"/>
        </w:rPr>
        <w:t>Your vote is very important, whether you own one share or many.</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Thank you for your contnued support and interest in Eagle.</w:t>
      </w:r>
    </w:p>
    <w:p>
      <w:pPr>
        <w:spacing w:after="0" w:line="200" w:lineRule="exact"/>
        <w:rPr>
          <w:sz w:val="20"/>
          <w:szCs w:val="20"/>
          <w:color w:val="auto"/>
        </w:rPr>
      </w:pPr>
    </w:p>
    <w:p>
      <w:pPr>
        <w:spacing w:after="0" w:line="258" w:lineRule="exact"/>
        <w:rPr>
          <w:sz w:val="20"/>
          <w:szCs w:val="20"/>
          <w:color w:val="auto"/>
        </w:rPr>
      </w:pPr>
    </w:p>
    <w:p>
      <w:pPr>
        <w:ind w:left="7880"/>
        <w:spacing w:after="0"/>
        <w:rPr>
          <w:sz w:val="20"/>
          <w:szCs w:val="20"/>
          <w:color w:val="auto"/>
        </w:rPr>
      </w:pPr>
      <w:r>
        <w:rPr>
          <w:rFonts w:ascii="Calibri" w:cs="Calibri" w:eastAsia="Calibri" w:hAnsi="Calibri"/>
          <w:sz w:val="20"/>
          <w:szCs w:val="20"/>
          <w:color w:val="auto"/>
        </w:rPr>
        <w:t>Sincerely,</w:t>
      </w:r>
    </w:p>
    <w:p>
      <w:pPr>
        <w:spacing w:after="0" w:line="228" w:lineRule="exact"/>
        <w:rPr>
          <w:sz w:val="20"/>
          <w:szCs w:val="20"/>
          <w:color w:val="auto"/>
        </w:rPr>
      </w:pPr>
    </w:p>
    <w:p>
      <w:pPr>
        <w:ind w:left="7880"/>
        <w:spacing w:after="0"/>
        <w:rPr>
          <w:sz w:val="20"/>
          <w:szCs w:val="20"/>
          <w:color w:val="auto"/>
        </w:rPr>
      </w:pPr>
      <w:r>
        <w:rPr>
          <w:rFonts w:ascii="Calibri" w:cs="Calibri" w:eastAsia="Calibri" w:hAnsi="Calibri"/>
          <w:sz w:val="20"/>
          <w:szCs w:val="20"/>
          <w:color w:val="auto"/>
        </w:rPr>
        <w:t>MICHAEL R. HAACK</w:t>
      </w:r>
    </w:p>
    <w:p>
      <w:pPr>
        <w:spacing w:after="0" w:line="228" w:lineRule="exact"/>
        <w:rPr>
          <w:sz w:val="20"/>
          <w:szCs w:val="20"/>
          <w:color w:val="auto"/>
        </w:rPr>
      </w:pPr>
    </w:p>
    <w:p>
      <w:pPr>
        <w:ind w:left="7880"/>
        <w:spacing w:after="0"/>
        <w:rPr>
          <w:sz w:val="20"/>
          <w:szCs w:val="20"/>
          <w:color w:val="auto"/>
        </w:rPr>
      </w:pPr>
      <w:r>
        <w:rPr>
          <w:rFonts w:ascii="Calibri" w:cs="Calibri" w:eastAsia="Calibri" w:hAnsi="Calibri"/>
          <w:sz w:val="20"/>
          <w:szCs w:val="20"/>
          <w:i w:val="1"/>
          <w:iCs w:val="1"/>
          <w:color w:val="auto"/>
        </w:rPr>
        <w:t>President and 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EAGLE MATERIALS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5960 Berkshire Ln., Suite 900</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Dallas, Texas 75225</w:t>
      </w: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b w:val="1"/>
          <w:bCs w:val="1"/>
          <w:color w:val="auto"/>
        </w:rPr>
        <w:t>NOTICE OF ANNUAL MEETING OF STOCKHOLDERS</w:t>
      </w:r>
    </w:p>
    <w:p>
      <w:pPr>
        <w:spacing w:after="0" w:line="22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To Be Held August 5, 2022</w:t>
      </w:r>
    </w:p>
    <w:p>
      <w:pPr>
        <w:sectPr>
          <w:pgSz w:w="11900" w:h="16838" w:orient="portrait"/>
          <w:cols w:equalWidth="0" w:num="1">
            <w:col w:w="11220"/>
          </w:cols>
          <w:pgMar w:left="320" w:top="34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To the Stockholders of Eagle Materials Inc.:</w:t>
      </w:r>
    </w:p>
    <w:p>
      <w:pPr>
        <w:spacing w:after="0" w:line="109" w:lineRule="exact"/>
        <w:rPr>
          <w:sz w:val="20"/>
          <w:szCs w:val="20"/>
          <w:color w:val="auto"/>
        </w:rPr>
      </w:pPr>
    </w:p>
    <w:p>
      <w:pPr>
        <w:spacing w:after="0" w:line="254" w:lineRule="auto"/>
        <w:rPr>
          <w:sz w:val="20"/>
          <w:szCs w:val="20"/>
          <w:color w:val="auto"/>
        </w:rPr>
      </w:pPr>
      <w:r>
        <w:rPr>
          <w:rFonts w:ascii="Calibri" w:cs="Calibri" w:eastAsia="Calibri" w:hAnsi="Calibri"/>
          <w:sz w:val="17"/>
          <w:szCs w:val="17"/>
          <w:color w:val="auto"/>
        </w:rPr>
        <w:t>The annual meetng of stockholders of Eagle Materials Inc., which we refer to as the “Company,” will be held at the Hilton Dallas Park Cites, 5954 Luther Lane, Dallas, TX 75225, at 8:00 a.m., local tme, on Friday, August 5, 2022.</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color w:val="auto"/>
        </w:rPr>
        <w:t>At the meetng, stockholders will vote on:</w:t>
      </w:r>
    </w:p>
    <w:p>
      <w:pPr>
        <w:spacing w:after="0" w:line="109" w:lineRule="exact"/>
        <w:rPr>
          <w:sz w:val="20"/>
          <w:szCs w:val="20"/>
          <w:color w:val="auto"/>
        </w:rPr>
      </w:pPr>
    </w:p>
    <w:p>
      <w:pPr>
        <w:ind w:left="220" w:right="20" w:hanging="201"/>
        <w:spacing w:after="0" w:line="235" w:lineRule="auto"/>
        <w:rPr>
          <w:sz w:val="20"/>
          <w:szCs w:val="20"/>
          <w:color w:val="auto"/>
        </w:rPr>
      </w:pPr>
      <w:r>
        <w:rPr>
          <w:rFonts w:ascii="Calibri" w:cs="Calibri" w:eastAsia="Calibri" w:hAnsi="Calibri"/>
          <w:sz w:val="18"/>
          <w:szCs w:val="18"/>
          <w:color w:val="auto"/>
        </w:rPr>
        <w:t>(1)Electon of the three Class I directors identfed in the accompanying proxy statement, each to hold ofce for three years.</w:t>
      </w:r>
    </w:p>
    <w:p>
      <w:pPr>
        <w:spacing w:after="0" w:line="110" w:lineRule="exact"/>
        <w:rPr>
          <w:sz w:val="20"/>
          <w:szCs w:val="20"/>
          <w:color w:val="auto"/>
        </w:rPr>
      </w:pPr>
    </w:p>
    <w:p>
      <w:pPr>
        <w:ind w:left="220" w:right="340" w:hanging="201"/>
        <w:spacing w:after="0" w:line="235" w:lineRule="auto"/>
        <w:rPr>
          <w:sz w:val="20"/>
          <w:szCs w:val="20"/>
          <w:color w:val="auto"/>
        </w:rPr>
      </w:pPr>
      <w:r>
        <w:rPr>
          <w:rFonts w:ascii="Calibri" w:cs="Calibri" w:eastAsia="Calibri" w:hAnsi="Calibri"/>
          <w:sz w:val="18"/>
          <w:szCs w:val="18"/>
          <w:color w:val="auto"/>
        </w:rPr>
        <w:t>(2)Approval of an advisory resoluton regarding the compensaton of our named executve ofcers.</w:t>
      </w:r>
    </w:p>
    <w:p>
      <w:pPr>
        <w:spacing w:after="0" w:line="110" w:lineRule="exact"/>
        <w:rPr>
          <w:sz w:val="20"/>
          <w:szCs w:val="20"/>
          <w:color w:val="auto"/>
        </w:rPr>
      </w:pPr>
    </w:p>
    <w:p>
      <w:pPr>
        <w:ind w:left="220" w:right="380" w:hanging="201"/>
        <w:spacing w:after="0" w:line="235" w:lineRule="auto"/>
        <w:rPr>
          <w:sz w:val="20"/>
          <w:szCs w:val="20"/>
          <w:color w:val="auto"/>
        </w:rPr>
      </w:pPr>
      <w:r>
        <w:rPr>
          <w:rFonts w:ascii="Calibri" w:cs="Calibri" w:eastAsia="Calibri" w:hAnsi="Calibri"/>
          <w:sz w:val="18"/>
          <w:szCs w:val="18"/>
          <w:color w:val="auto"/>
        </w:rPr>
        <w:t>(3)Approval of the expected appointment of Ernst &amp; Young LLP as the Company’s independent auditors for the fscal year ending March 31, 2023.</w:t>
      </w:r>
    </w:p>
    <w:p>
      <w:pPr>
        <w:spacing w:after="0" w:line="111" w:lineRule="exact"/>
        <w:rPr>
          <w:sz w:val="20"/>
          <w:szCs w:val="20"/>
          <w:color w:val="auto"/>
        </w:rPr>
      </w:pPr>
    </w:p>
    <w:p>
      <w:pPr>
        <w:ind w:left="220" w:right="280" w:hanging="201"/>
        <w:spacing w:after="0" w:line="235" w:lineRule="auto"/>
        <w:rPr>
          <w:sz w:val="20"/>
          <w:szCs w:val="20"/>
          <w:color w:val="auto"/>
        </w:rPr>
      </w:pPr>
      <w:r>
        <w:rPr>
          <w:rFonts w:ascii="Calibri" w:cs="Calibri" w:eastAsia="Calibri" w:hAnsi="Calibri"/>
          <w:sz w:val="18"/>
          <w:szCs w:val="18"/>
          <w:color w:val="auto"/>
        </w:rPr>
        <w:t>(4)Any other maters properly brought before the annual meetng, or any adjournment thereof.</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Company’s Board of Directors has fxed the close of business on June 8, 2022 as the record date for the determinaton of stockholders enttled to notce of and to vote at the meetng or any adjournment thereof. Only record holders of the Company’s common stock, par value $0.01 per share, which we refer to as our “Common Stock,” at the close of business on the record date are enttled to notce of and to vote at the annual meetng. A list of holders of Common Stock will be available for examinaton by any stockholder at the meetng and, during the ten-day period preceding the meetng date at the executve ofces of the Company located at 5960 Berkshire Ln., Suite 900, Dallas, Texas 75225.</w:t>
      </w:r>
    </w:p>
    <w:p>
      <w:pPr>
        <w:spacing w:after="0" w:line="224"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 xml:space="preserve">For further informaton regarding the maters to be acted upon at the annual meetng, I urge you to carefully read the accompanying proxy statement. </w:t>
      </w:r>
      <w:r>
        <w:rPr>
          <w:rFonts w:ascii="Calibri" w:cs="Calibri" w:eastAsia="Calibri" w:hAnsi="Calibri"/>
          <w:sz w:val="18"/>
          <w:szCs w:val="18"/>
          <w:color w:val="auto"/>
        </w:rPr>
        <w:t>If you have questons about these proposals or would like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additonal copies of the proxy statement, please contact: Eagle Materials Inc., Atenton: Mat Newby, Secretary, 5960 Berkshire Ln., Suite 900, Dallas, Texas 75225 (telephone: (214) 432-2000).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You are cordially invited to atend the annual meetng. Your vote is important. Whether or not you expect to atend the annual meetng in person, please vote through the Internet (as described in the Notce) or by telephone or fll in, sign, date and promptly return the accompanying form of proxy in the enclosed postage-paid envelope so that your shares may be represented and voted at the annual meetng. This will not limit your right to atend or vote in person at the annual meetng. Your proxy will be returned to you if you choose to atend the annual meetng and request that it be returned. Shares will be voted in accordance with the instructons contained in your proxy, but if any proxies that are signed and returned to us do not specify a vote on any proposal, such proxies will be voted in the manner, if any, recommended by the Board.</w:t>
      </w:r>
    </w:p>
    <w:p>
      <w:pPr>
        <w:spacing w:after="0" w:line="221" w:lineRule="exact"/>
        <w:rPr>
          <w:sz w:val="20"/>
          <w:szCs w:val="20"/>
          <w:color w:val="auto"/>
        </w:rPr>
      </w:pPr>
    </w:p>
    <w:p>
      <w:pPr>
        <w:ind w:left="2200"/>
        <w:spacing w:after="0"/>
        <w:rPr>
          <w:sz w:val="20"/>
          <w:szCs w:val="20"/>
          <w:color w:val="auto"/>
        </w:rPr>
      </w:pPr>
      <w:r>
        <w:rPr>
          <w:rFonts w:ascii="Calibri" w:cs="Calibri" w:eastAsia="Calibri" w:hAnsi="Calibri"/>
          <w:sz w:val="18"/>
          <w:szCs w:val="18"/>
          <w:color w:val="auto"/>
        </w:rPr>
        <w:t>By Order of the Board of Directors</w:t>
      </w:r>
    </w:p>
    <w:p>
      <w:pPr>
        <w:spacing w:after="0" w:line="212" w:lineRule="exact"/>
        <w:rPr>
          <w:sz w:val="20"/>
          <w:szCs w:val="20"/>
          <w:color w:val="auto"/>
        </w:rPr>
      </w:pPr>
    </w:p>
    <w:p>
      <w:pPr>
        <w:ind w:left="2760"/>
        <w:spacing w:after="0"/>
        <w:rPr>
          <w:sz w:val="20"/>
          <w:szCs w:val="20"/>
          <w:color w:val="auto"/>
        </w:rPr>
      </w:pPr>
      <w:r>
        <w:rPr>
          <w:rFonts w:ascii="Calibri" w:cs="Calibri" w:eastAsia="Calibri" w:hAnsi="Calibri"/>
          <w:sz w:val="18"/>
          <w:szCs w:val="18"/>
          <w:color w:val="auto"/>
        </w:rPr>
        <w:t>MATT NEWBY</w:t>
      </w:r>
    </w:p>
    <w:p>
      <w:pPr>
        <w:spacing w:after="0" w:line="212" w:lineRule="exact"/>
        <w:rPr>
          <w:sz w:val="20"/>
          <w:szCs w:val="20"/>
          <w:color w:val="auto"/>
        </w:rPr>
      </w:pPr>
    </w:p>
    <w:p>
      <w:pPr>
        <w:ind w:left="2760"/>
        <w:spacing w:after="0"/>
        <w:rPr>
          <w:sz w:val="20"/>
          <w:szCs w:val="20"/>
          <w:color w:val="auto"/>
        </w:rPr>
      </w:pPr>
      <w:r>
        <w:rPr>
          <w:rFonts w:ascii="Calibri" w:cs="Calibri" w:eastAsia="Calibri" w:hAnsi="Calibri"/>
          <w:sz w:val="18"/>
          <w:szCs w:val="18"/>
          <w:i w:val="1"/>
          <w:iCs w:val="1"/>
          <w:color w:val="auto"/>
        </w:rPr>
        <w:t>Executve Vice President,</w:t>
      </w:r>
    </w:p>
    <w:p>
      <w:pPr>
        <w:ind w:left="2760"/>
        <w:spacing w:after="0" w:line="235" w:lineRule="auto"/>
        <w:rPr>
          <w:sz w:val="20"/>
          <w:szCs w:val="20"/>
          <w:color w:val="auto"/>
        </w:rPr>
      </w:pPr>
      <w:r>
        <w:rPr>
          <w:rFonts w:ascii="Calibri" w:cs="Calibri" w:eastAsia="Calibri" w:hAnsi="Calibri"/>
          <w:sz w:val="18"/>
          <w:szCs w:val="18"/>
          <w:i w:val="1"/>
          <w:iCs w:val="1"/>
          <w:color w:val="auto"/>
        </w:rPr>
        <w:t>General Counsel and Secretary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Dallas, Texas</w:t>
      </w:r>
    </w:p>
    <w:p>
      <w:pPr>
        <w:spacing w:after="0" w:line="235" w:lineRule="auto"/>
        <w:rPr>
          <w:sz w:val="20"/>
          <w:szCs w:val="20"/>
          <w:color w:val="auto"/>
        </w:rPr>
      </w:pPr>
      <w:r>
        <w:rPr>
          <w:rFonts w:ascii="Calibri" w:cs="Calibri" w:eastAsia="Calibri" w:hAnsi="Calibri"/>
          <w:sz w:val="18"/>
          <w:szCs w:val="18"/>
          <w:color w:val="auto"/>
        </w:rPr>
        <w:t>June 24, 2022</w:t>
      </w:r>
    </w:p>
    <w:p>
      <w:pPr>
        <w:spacing w:after="0" w:line="2896" w:lineRule="exact"/>
        <w:rPr>
          <w:sz w:val="20"/>
          <w:szCs w:val="20"/>
          <w:color w:val="auto"/>
        </w:rPr>
      </w:pPr>
    </w:p>
    <w:p>
      <w:pPr>
        <w:sectPr>
          <w:pgSz w:w="11900" w:h="16838" w:orient="portrait"/>
          <w:cols w:equalWidth="0" w:num="2">
            <w:col w:w="5500" w:space="240"/>
            <w:col w:w="5480"/>
          </w:cols>
          <w:pgMar w:left="320" w:top="34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2680" w:right="2660"/>
        <w:spacing w:after="0" w:line="235" w:lineRule="auto"/>
        <w:rPr>
          <w:sz w:val="20"/>
          <w:szCs w:val="20"/>
          <w:color w:val="auto"/>
        </w:rPr>
      </w:pPr>
      <w:r>
        <w:rPr>
          <w:rFonts w:ascii="Calibri" w:cs="Calibri" w:eastAsia="Calibri" w:hAnsi="Calibri"/>
          <w:sz w:val="18"/>
          <w:szCs w:val="18"/>
          <w:b w:val="1"/>
          <w:bCs w:val="1"/>
          <w:color w:val="auto"/>
        </w:rPr>
        <w:t>IMPORTANT NOTICE REGARDING THE AVAILABILITY OF PROXY MATERIALS FOR THE ANNUAL MEETING OF STOCKHOLDERS TO BE HELD ON AUGUST 5, 2022. Our proxy statement and 2022 annual report to stockholders are available to you on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type w:val="continuous"/>
        </w:sectPr>
      </w:pPr>
    </w:p>
    <w:bookmarkStart w:id="4" w:name="page5"/>
    <w:bookmarkEnd w:id="4"/>
    <w:p>
      <w:pPr>
        <w:jc w:val="center"/>
        <w:spacing w:after="0"/>
        <w:rPr>
          <w:sz w:val="20"/>
          <w:szCs w:val="20"/>
          <w:color w:val="auto"/>
        </w:rPr>
      </w:pPr>
      <w:r>
        <w:rPr>
          <w:rFonts w:ascii="Calibri" w:cs="Calibri" w:eastAsia="Calibri" w:hAnsi="Calibri"/>
          <w:sz w:val="21"/>
          <w:szCs w:val="21"/>
          <w:b w:val="1"/>
          <w:bCs w:val="1"/>
          <w:color w:val="auto"/>
        </w:rPr>
        <w:t>TABLE OF CONTENTS</w:t>
      </w:r>
    </w:p>
    <w:p>
      <w:pPr>
        <w:sectPr>
          <w:pgSz w:w="11900" w:h="16838" w:orient="portrait"/>
          <w:cols w:equalWidth="0" w:num="1">
            <w:col w:w="11240"/>
          </w:cols>
          <w:pgMar w:left="320" w:top="354" w:right="339" w:bottom="1440" w:gutter="0" w:footer="0" w:header="0"/>
        </w:sect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Calibri" w:cs="Calibri" w:eastAsia="Calibri" w:hAnsi="Calibri"/>
                <w:sz w:val="18"/>
                <w:szCs w:val="18"/>
                <w:b w:val="1"/>
                <w:bCs w:val="1"/>
                <w:color w:val="auto"/>
              </w:rPr>
              <w:t>Page</w:t>
            </w:r>
          </w:p>
        </w:tc>
        <w:tc>
          <w:tcPr>
            <w:tcW w:w="0" w:type="dxa"/>
            <w:vAlign w:val="bottom"/>
          </w:tcPr>
          <w:p>
            <w:pPr>
              <w:spacing w:after="0"/>
              <w:rPr>
                <w:sz w:val="1"/>
                <w:szCs w:val="1"/>
                <w:color w:val="auto"/>
              </w:rPr>
            </w:pPr>
          </w:p>
        </w:tc>
      </w:tr>
      <w:tr>
        <w:trPr>
          <w:trHeight w:val="23"/>
        </w:trPr>
        <w:tc>
          <w:tcPr>
            <w:tcW w:w="920" w:type="dxa"/>
            <w:vAlign w:val="bottom"/>
            <w:gridSpan w:val="3"/>
            <w:vMerge w:val="restart"/>
          </w:tcPr>
          <w:p>
            <w:pPr>
              <w:spacing w:after="0" w:line="199" w:lineRule="exact"/>
              <w:rPr>
                <w:sz w:val="20"/>
                <w:szCs w:val="20"/>
                <w:color w:val="auto"/>
              </w:rPr>
            </w:pPr>
            <w:r>
              <w:rPr>
                <w:rFonts w:ascii="Calibri" w:cs="Calibri" w:eastAsia="Calibri" w:hAnsi="Calibri"/>
                <w:sz w:val="18"/>
                <w:szCs w:val="18"/>
                <w:b w:val="1"/>
                <w:bCs w:val="1"/>
                <w:color w:val="0000EE"/>
              </w:rPr>
              <w:t>Introducton</w:t>
            </w:r>
          </w:p>
        </w:tc>
        <w:tc>
          <w:tcPr>
            <w:tcW w:w="4020" w:type="dxa"/>
            <w:vAlign w:val="bottom"/>
            <w:gridSpan w:val="27"/>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920" w:type="dxa"/>
            <w:vAlign w:val="bottom"/>
            <w:tcBorders>
              <w:bottom w:val="single" w:sz="8" w:color="0000EE"/>
            </w:tcBorders>
            <w:gridSpan w:val="3"/>
            <w:vMerge w:val="continue"/>
          </w:tcPr>
          <w:p>
            <w:pPr>
              <w:spacing w:after="0"/>
              <w:rPr>
                <w:sz w:val="13"/>
                <w:szCs w:val="13"/>
                <w:color w:val="auto"/>
              </w:rPr>
            </w:pPr>
          </w:p>
        </w:tc>
        <w:tc>
          <w:tcPr>
            <w:tcW w:w="4020" w:type="dxa"/>
            <w:vAlign w:val="bottom"/>
            <w:gridSpan w:val="27"/>
            <w:vMerge w:val="continue"/>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4472C4"/>
              </w:rPr>
              <w:t>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Date, Time and Place of the Annual Meetng</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460" w:type="dxa"/>
            <w:vAlign w:val="bottom"/>
            <w:tcBorders>
              <w:bottom w:val="single" w:sz="8" w:color="0000EE"/>
            </w:tcBorders>
            <w:gridSpan w:val="28"/>
          </w:tcPr>
          <w:p>
            <w:pPr>
              <w:spacing w:after="0" w:line="196" w:lineRule="exact"/>
              <w:rPr>
                <w:sz w:val="20"/>
                <w:szCs w:val="20"/>
                <w:color w:val="auto"/>
              </w:rPr>
            </w:pPr>
            <w:r>
              <w:rPr>
                <w:rFonts w:ascii="Calibri" w:cs="Calibri" w:eastAsia="Calibri" w:hAnsi="Calibri"/>
                <w:sz w:val="18"/>
                <w:szCs w:val="18"/>
                <w:color w:val="0000EE"/>
                <w:w w:val="98"/>
              </w:rPr>
              <w:t>Purposes of the Annual Meetng and Recommendatons of our</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8"/>
          </w:tcPr>
          <w:p>
            <w:pPr>
              <w:spacing w:after="0" w:line="196" w:lineRule="exact"/>
              <w:rPr>
                <w:sz w:val="20"/>
                <w:szCs w:val="20"/>
                <w:color w:val="auto"/>
              </w:rPr>
            </w:pPr>
            <w:r>
              <w:rPr>
                <w:rFonts w:ascii="Calibri" w:cs="Calibri" w:eastAsia="Calibri" w:hAnsi="Calibri"/>
                <w:sz w:val="18"/>
                <w:szCs w:val="18"/>
                <w:color w:val="0000EE"/>
              </w:rPr>
              <w:t>Board of Directors</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sz w:val="20"/>
                <w:szCs w:val="20"/>
                <w:color w:val="auto"/>
              </w:rPr>
            </w:pPr>
            <w:r>
              <w:rPr>
                <w:rFonts w:ascii="Calibri" w:cs="Calibri" w:eastAsia="Calibri" w:hAnsi="Calibri"/>
                <w:sz w:val="18"/>
                <w:szCs w:val="18"/>
                <w:b w:val="1"/>
                <w:bCs w:val="1"/>
                <w:color w:val="0000EE"/>
              </w:rPr>
              <w:t>About the Meetng</w:t>
            </w:r>
          </w:p>
        </w:tc>
        <w:tc>
          <w:tcPr>
            <w:tcW w:w="3540" w:type="dxa"/>
            <w:vAlign w:val="bottom"/>
            <w:gridSpan w:val="2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b w:val="1"/>
                <w:bCs w:val="1"/>
                <w:color w:val="4472C4"/>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Who Can Vote</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How Proxies Will be Voted</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3"/>
          </w:tcPr>
          <w:p>
            <w:pPr>
              <w:spacing w:after="0" w:line="196" w:lineRule="exact"/>
              <w:rPr>
                <w:sz w:val="20"/>
                <w:szCs w:val="20"/>
                <w:color w:val="auto"/>
              </w:rPr>
            </w:pPr>
            <w:r>
              <w:rPr>
                <w:rFonts w:ascii="Calibri" w:cs="Calibri" w:eastAsia="Calibri" w:hAnsi="Calibri"/>
                <w:sz w:val="18"/>
                <w:szCs w:val="18"/>
                <w:color w:val="0000EE"/>
                <w:w w:val="94"/>
              </w:rPr>
              <w:t>How to Revoke Your Proxy</w:t>
            </w:r>
          </w:p>
        </w:tc>
        <w:tc>
          <w:tcPr>
            <w:tcW w:w="270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Quorum and Required Vote</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Expenses of Solicitng Proxies</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Calibri" w:cs="Calibri" w:eastAsia="Calibri" w:hAnsi="Calibri"/>
                <w:sz w:val="18"/>
                <w:szCs w:val="18"/>
                <w:color w:val="0000EE"/>
                <w:w w:val="95"/>
              </w:rPr>
              <w:t>How You Can Vote</w:t>
            </w:r>
          </w:p>
        </w:tc>
        <w:tc>
          <w:tcPr>
            <w:tcW w:w="760" w:type="dxa"/>
            <w:vAlign w:val="bottom"/>
            <w:tcBorders>
              <w:top w:val="single" w:sz="8" w:color="0000EE"/>
            </w:tcBorders>
            <w:gridSpan w:val="8"/>
          </w:tcPr>
          <w:p>
            <w:pPr>
              <w:spacing w:after="0"/>
              <w:rPr>
                <w:sz w:val="17"/>
                <w:szCs w:val="17"/>
                <w:color w:val="auto"/>
              </w:rPr>
            </w:pPr>
          </w:p>
        </w:tc>
        <w:tc>
          <w:tcPr>
            <w:tcW w:w="2500" w:type="dxa"/>
            <w:vAlign w:val="bottom"/>
            <w:gridSpan w:val="1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196"/>
        </w:trPr>
        <w:tc>
          <w:tcPr>
            <w:tcW w:w="4940" w:type="dxa"/>
            <w:vAlign w:val="bottom"/>
            <w:gridSpan w:val="30"/>
          </w:tcPr>
          <w:p>
            <w:pPr>
              <w:spacing w:after="0" w:line="196" w:lineRule="exact"/>
              <w:rPr>
                <w:sz w:val="20"/>
                <w:szCs w:val="20"/>
                <w:color w:val="auto"/>
              </w:rPr>
            </w:pPr>
            <w:r>
              <w:rPr>
                <w:rFonts w:ascii="Calibri" w:cs="Calibri" w:eastAsia="Calibri" w:hAnsi="Calibri"/>
                <w:sz w:val="18"/>
                <w:szCs w:val="18"/>
                <w:b w:val="1"/>
                <w:bCs w:val="1"/>
                <w:color w:val="0000EE"/>
              </w:rPr>
              <w:t>Proposal No. 1: Electon of Directors and Related Maters</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b w:val="1"/>
                <w:bCs w:val="1"/>
                <w:color w:val="4472C4"/>
              </w:rPr>
              <w:t>4</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3780" w:type="dxa"/>
            <w:vAlign w:val="bottom"/>
            <w:tcBorders>
              <w:top w:val="single" w:sz="8" w:color="0000EE"/>
            </w:tcBorders>
            <w:gridSpan w:val="24"/>
          </w:tcPr>
          <w:p>
            <w:pPr>
              <w:spacing w:after="0" w:line="196" w:lineRule="exact"/>
              <w:rPr>
                <w:sz w:val="20"/>
                <w:szCs w:val="20"/>
                <w:color w:val="auto"/>
              </w:rPr>
            </w:pPr>
            <w:r>
              <w:rPr>
                <w:rFonts w:ascii="Calibri" w:cs="Calibri" w:eastAsia="Calibri" w:hAnsi="Calibri"/>
                <w:sz w:val="18"/>
                <w:szCs w:val="18"/>
                <w:color w:val="0000EE"/>
              </w:rPr>
              <w:t>General</w:t>
            </w:r>
          </w:p>
        </w:tc>
        <w:tc>
          <w:tcPr>
            <w:tcW w:w="80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Director Independence</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sz w:val="20"/>
                <w:szCs w:val="20"/>
                <w:color w:val="auto"/>
              </w:rPr>
            </w:pPr>
            <w:r>
              <w:rPr>
                <w:rFonts w:ascii="Calibri" w:cs="Calibri" w:eastAsia="Calibri" w:hAnsi="Calibri"/>
                <w:sz w:val="18"/>
                <w:szCs w:val="18"/>
                <w:color w:val="0000EE"/>
                <w:w w:val="97"/>
              </w:rPr>
              <w:t>Nominees</w:t>
            </w:r>
          </w:p>
        </w:tc>
        <w:tc>
          <w:tcPr>
            <w:tcW w:w="900" w:type="dxa"/>
            <w:vAlign w:val="bottom"/>
            <w:tcBorders>
              <w:top w:val="single" w:sz="8" w:color="0000EE"/>
            </w:tcBorders>
            <w:gridSpan w:val="8"/>
          </w:tcPr>
          <w:p>
            <w:pPr>
              <w:spacing w:after="0"/>
              <w:rPr>
                <w:sz w:val="17"/>
                <w:szCs w:val="17"/>
                <w:color w:val="auto"/>
              </w:rPr>
            </w:pPr>
          </w:p>
        </w:tc>
        <w:tc>
          <w:tcPr>
            <w:tcW w:w="2940" w:type="dxa"/>
            <w:vAlign w:val="bottom"/>
            <w:gridSpan w:val="1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0" w:type="dxa"/>
            <w:vAlign w:val="bottom"/>
            <w:tcBorders>
              <w:bottom w:val="single" w:sz="8" w:color="0000EE"/>
            </w:tcBorders>
            <w:gridSpan w:val="16"/>
          </w:tcPr>
          <w:p>
            <w:pPr>
              <w:spacing w:after="0" w:line="196" w:lineRule="exact"/>
              <w:rPr>
                <w:sz w:val="20"/>
                <w:szCs w:val="20"/>
                <w:color w:val="auto"/>
              </w:rPr>
            </w:pPr>
            <w:r>
              <w:rPr>
                <w:rFonts w:ascii="Calibri" w:cs="Calibri" w:eastAsia="Calibri" w:hAnsi="Calibri"/>
                <w:sz w:val="18"/>
                <w:szCs w:val="18"/>
                <w:color w:val="0000EE"/>
                <w:w w:val="98"/>
              </w:rPr>
              <w:t>Recommendaton of the Board</w:t>
            </w:r>
          </w:p>
        </w:tc>
        <w:tc>
          <w:tcPr>
            <w:tcW w:w="2380" w:type="dxa"/>
            <w:vAlign w:val="bottom"/>
            <w:gridSpan w:val="1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Director Qualifcatons</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Board Meetngs and Atendance Records</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sz w:val="20"/>
                <w:szCs w:val="20"/>
                <w:color w:val="auto"/>
              </w:rPr>
            </w:pPr>
            <w:r>
              <w:rPr>
                <w:rFonts w:ascii="Calibri" w:cs="Calibri" w:eastAsia="Calibri" w:hAnsi="Calibri"/>
                <w:sz w:val="18"/>
                <w:szCs w:val="18"/>
                <w:b w:val="1"/>
                <w:bCs w:val="1"/>
                <w:color w:val="0000EE"/>
                <w:w w:val="99"/>
              </w:rPr>
              <w:t>Board Compensaton</w:t>
            </w:r>
          </w:p>
        </w:tc>
        <w:tc>
          <w:tcPr>
            <w:tcW w:w="3400" w:type="dxa"/>
            <w:vAlign w:val="bottom"/>
            <w:gridSpan w:val="2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b w:val="1"/>
                <w:bCs w:val="1"/>
                <w:color w:val="4472C4"/>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Non-Employee Director Compensaton for Fiscal Year 2022</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160" w:type="dxa"/>
            <w:vAlign w:val="bottom"/>
            <w:tcBorders>
              <w:top w:val="single" w:sz="8" w:color="0000EE"/>
            </w:tcBorders>
            <w:gridSpan w:val="26"/>
          </w:tcPr>
          <w:p>
            <w:pPr>
              <w:spacing w:after="0" w:line="196" w:lineRule="exact"/>
              <w:rPr>
                <w:sz w:val="20"/>
                <w:szCs w:val="20"/>
                <w:color w:val="auto"/>
              </w:rPr>
            </w:pPr>
            <w:r>
              <w:rPr>
                <w:rFonts w:ascii="Calibri" w:cs="Calibri" w:eastAsia="Calibri" w:hAnsi="Calibri"/>
                <w:sz w:val="18"/>
                <w:szCs w:val="18"/>
                <w:color w:val="0000EE"/>
              </w:rPr>
              <w:t>Board Leadership Structure and Role in Risk Oversight</w:t>
            </w:r>
          </w:p>
        </w:tc>
        <w:tc>
          <w:tcPr>
            <w:tcW w:w="42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8"/>
          </w:tcPr>
          <w:p>
            <w:pPr>
              <w:spacing w:after="0" w:line="196" w:lineRule="exact"/>
              <w:rPr>
                <w:sz w:val="20"/>
                <w:szCs w:val="20"/>
                <w:color w:val="auto"/>
              </w:rPr>
            </w:pPr>
            <w:r>
              <w:rPr>
                <w:rFonts w:ascii="Calibri" w:cs="Calibri" w:eastAsia="Calibri" w:hAnsi="Calibri"/>
                <w:sz w:val="18"/>
                <w:szCs w:val="18"/>
                <w:color w:val="0000EE"/>
              </w:rPr>
              <w:t>Board Commitees</w:t>
            </w:r>
          </w:p>
        </w:tc>
        <w:tc>
          <w:tcPr>
            <w:tcW w:w="2480" w:type="dxa"/>
            <w:vAlign w:val="bottom"/>
            <w:tcBorders>
              <w:top w:val="single" w:sz="8" w:color="0000EE"/>
            </w:tcBorders>
            <w:gridSpan w:val="17"/>
          </w:tcPr>
          <w:p>
            <w:pPr>
              <w:spacing w:after="0"/>
              <w:rPr>
                <w:sz w:val="17"/>
                <w:szCs w:val="17"/>
                <w:color w:val="auto"/>
              </w:rPr>
            </w:pPr>
          </w:p>
        </w:tc>
        <w:tc>
          <w:tcPr>
            <w:tcW w:w="76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Compensaton Commitee Interlocks and Insider Partcipaton</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80" w:type="dxa"/>
            <w:vAlign w:val="bottom"/>
            <w:tcBorders>
              <w:top w:val="single" w:sz="8" w:color="0000EE"/>
            </w:tcBorders>
            <w:gridSpan w:val="27"/>
          </w:tcPr>
          <w:p>
            <w:pPr>
              <w:spacing w:after="0" w:line="196" w:lineRule="exact"/>
              <w:rPr>
                <w:sz w:val="20"/>
                <w:szCs w:val="20"/>
                <w:color w:val="auto"/>
              </w:rPr>
            </w:pPr>
            <w:r>
              <w:rPr>
                <w:rFonts w:ascii="Calibri" w:cs="Calibri" w:eastAsia="Calibri" w:hAnsi="Calibri"/>
                <w:sz w:val="18"/>
                <w:szCs w:val="18"/>
                <w:color w:val="0000EE"/>
              </w:rPr>
              <w:t>How to Contact Our Board</w:t>
            </w:r>
          </w:p>
        </w:tc>
        <w:tc>
          <w:tcPr>
            <w:tcW w:w="20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30"/>
          </w:tcPr>
          <w:p>
            <w:pPr>
              <w:spacing w:after="0" w:line="196" w:lineRule="exact"/>
              <w:rPr>
                <w:sz w:val="20"/>
                <w:szCs w:val="20"/>
                <w:color w:val="auto"/>
              </w:rPr>
            </w:pPr>
            <w:r>
              <w:rPr>
                <w:rFonts w:ascii="Calibri" w:cs="Calibri" w:eastAsia="Calibri" w:hAnsi="Calibri"/>
                <w:sz w:val="18"/>
                <w:szCs w:val="18"/>
                <w:b w:val="1"/>
                <w:bCs w:val="1"/>
                <w:color w:val="0000EE"/>
              </w:rPr>
              <w:t>Executve Ofcers Who Are Not Directors</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b w:val="1"/>
                <w:bCs w:val="1"/>
                <w:color w:val="4472C4"/>
              </w:rPr>
              <w:t>20</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tcBorders>
            <w:gridSpan w:val="19"/>
          </w:tcPr>
          <w:p>
            <w:pPr>
              <w:spacing w:after="0" w:line="196" w:lineRule="exact"/>
              <w:rPr>
                <w:sz w:val="20"/>
                <w:szCs w:val="20"/>
                <w:color w:val="auto"/>
              </w:rPr>
            </w:pPr>
            <w:r>
              <w:rPr>
                <w:rFonts w:ascii="Calibri" w:cs="Calibri" w:eastAsia="Calibri" w:hAnsi="Calibri"/>
                <w:sz w:val="18"/>
                <w:szCs w:val="18"/>
                <w:b w:val="1"/>
                <w:bCs w:val="1"/>
                <w:color w:val="0000EE"/>
              </w:rPr>
              <w:t>Compensaton Commitee Report</w:t>
            </w:r>
          </w:p>
        </w:tc>
        <w:tc>
          <w:tcPr>
            <w:tcW w:w="196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b w:val="1"/>
                <w:bCs w:val="1"/>
                <w:color w:val="4472C4"/>
              </w:rPr>
              <w:t>20</w:t>
            </w:r>
          </w:p>
        </w:tc>
        <w:tc>
          <w:tcPr>
            <w:tcW w:w="0" w:type="dxa"/>
            <w:vAlign w:val="bottom"/>
          </w:tcPr>
          <w:p>
            <w:pPr>
              <w:spacing w:after="0"/>
              <w:rPr>
                <w:sz w:val="1"/>
                <w:szCs w:val="1"/>
                <w:color w:val="auto"/>
              </w:rPr>
            </w:pPr>
          </w:p>
        </w:tc>
      </w:tr>
      <w:tr>
        <w:trPr>
          <w:trHeight w:val="20"/>
        </w:trPr>
        <w:tc>
          <w:tcPr>
            <w:tcW w:w="1700" w:type="dxa"/>
            <w:vAlign w:val="bottom"/>
            <w:gridSpan w:val="9"/>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0000EE"/>
            </w:tcBorders>
            <w:gridSpan w:val="18"/>
          </w:tcPr>
          <w:p>
            <w:pPr>
              <w:spacing w:after="0" w:line="196" w:lineRule="exact"/>
              <w:rPr>
                <w:sz w:val="20"/>
                <w:szCs w:val="20"/>
                <w:color w:val="auto"/>
              </w:rPr>
            </w:pPr>
            <w:r>
              <w:rPr>
                <w:rFonts w:ascii="Calibri" w:cs="Calibri" w:eastAsia="Calibri" w:hAnsi="Calibri"/>
                <w:sz w:val="18"/>
                <w:szCs w:val="18"/>
                <w:b w:val="1"/>
                <w:bCs w:val="1"/>
                <w:color w:val="0000EE"/>
                <w:w w:val="98"/>
              </w:rPr>
              <w:t>Compensaton Discussion and Analysis</w:t>
            </w:r>
          </w:p>
        </w:tc>
        <w:tc>
          <w:tcPr>
            <w:tcW w:w="2120" w:type="dxa"/>
            <w:vAlign w:val="bottom"/>
            <w:gridSpan w:val="1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b w:val="1"/>
                <w:bCs w:val="1"/>
                <w:color w:val="4472C4"/>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Our Year in Review</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Named Executve Ofcers</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20" w:type="dxa"/>
            <w:vAlign w:val="bottom"/>
            <w:gridSpan w:val="1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bottom w:val="single" w:sz="8" w:color="0000EE"/>
            </w:tcBorders>
            <w:gridSpan w:val="13"/>
          </w:tcPr>
          <w:p>
            <w:pPr>
              <w:spacing w:after="0" w:line="196" w:lineRule="exact"/>
              <w:rPr>
                <w:sz w:val="20"/>
                <w:szCs w:val="20"/>
                <w:color w:val="auto"/>
              </w:rPr>
            </w:pPr>
            <w:r>
              <w:rPr>
                <w:rFonts w:ascii="Calibri" w:cs="Calibri" w:eastAsia="Calibri" w:hAnsi="Calibri"/>
                <w:sz w:val="18"/>
                <w:szCs w:val="18"/>
                <w:color w:val="0000EE"/>
                <w:w w:val="98"/>
              </w:rPr>
              <w:t>Compensaton Philosophy</w:t>
            </w:r>
          </w:p>
        </w:tc>
        <w:tc>
          <w:tcPr>
            <w:tcW w:w="270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Determining Executve Compensaton</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80" w:type="dxa"/>
            <w:vAlign w:val="bottom"/>
            <w:gridSpan w:val="19"/>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40" w:type="dxa"/>
            <w:vAlign w:val="bottom"/>
            <w:tcBorders>
              <w:bottom w:val="single" w:sz="8" w:color="0000EE"/>
            </w:tcBorders>
            <w:gridSpan w:val="23"/>
          </w:tcPr>
          <w:p>
            <w:pPr>
              <w:spacing w:after="0" w:line="196" w:lineRule="exact"/>
              <w:rPr>
                <w:sz w:val="20"/>
                <w:szCs w:val="20"/>
                <w:color w:val="auto"/>
              </w:rPr>
            </w:pPr>
            <w:r>
              <w:rPr>
                <w:rFonts w:ascii="Calibri" w:cs="Calibri" w:eastAsia="Calibri" w:hAnsi="Calibri"/>
                <w:sz w:val="18"/>
                <w:szCs w:val="18"/>
                <w:color w:val="0000EE"/>
                <w:w w:val="99"/>
              </w:rPr>
              <w:t>Primary Elements of Executve Compensaton</w:t>
            </w:r>
          </w:p>
        </w:tc>
        <w:tc>
          <w:tcPr>
            <w:tcW w:w="134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40" w:type="dxa"/>
            <w:vAlign w:val="bottom"/>
            <w:tcBorders>
              <w:bottom w:val="single" w:sz="8" w:color="0000EE"/>
            </w:tcBorders>
            <w:gridSpan w:val="22"/>
          </w:tcPr>
          <w:p>
            <w:pPr>
              <w:spacing w:after="0" w:line="196" w:lineRule="exact"/>
              <w:rPr>
                <w:sz w:val="20"/>
                <w:szCs w:val="20"/>
                <w:color w:val="auto"/>
              </w:rPr>
            </w:pPr>
            <w:r>
              <w:rPr>
                <w:rFonts w:ascii="Calibri" w:cs="Calibri" w:eastAsia="Calibri" w:hAnsi="Calibri"/>
                <w:sz w:val="18"/>
                <w:szCs w:val="18"/>
                <w:color w:val="0000EE"/>
              </w:rPr>
              <w:t>Other Elements of Executve Compensaton</w:t>
            </w:r>
          </w:p>
        </w:tc>
        <w:tc>
          <w:tcPr>
            <w:tcW w:w="144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gridSpan w:val="29"/>
          </w:tcPr>
          <w:p>
            <w:pPr>
              <w:spacing w:after="0" w:line="196" w:lineRule="exact"/>
              <w:rPr>
                <w:sz w:val="20"/>
                <w:szCs w:val="20"/>
                <w:color w:val="auto"/>
              </w:rPr>
            </w:pPr>
            <w:r>
              <w:rPr>
                <w:rFonts w:ascii="Calibri" w:cs="Calibri" w:eastAsia="Calibri" w:hAnsi="Calibri"/>
                <w:sz w:val="18"/>
                <w:szCs w:val="18"/>
                <w:color w:val="0000EE"/>
              </w:rPr>
              <w:t>Other Compensaton Policies and Practces</w:t>
            </w:r>
          </w:p>
        </w:tc>
        <w:tc>
          <w:tcPr>
            <w:tcW w:w="580" w:type="dxa"/>
            <w:vAlign w:val="bottom"/>
            <w:gridSpan w:val="2"/>
          </w:tcPr>
          <w:p>
            <w:pPr>
              <w:jc w:val="right"/>
              <w:ind w:right="20"/>
              <w:spacing w:after="0" w:line="196" w:lineRule="exact"/>
              <w:rPr>
                <w:sz w:val="20"/>
                <w:szCs w:val="20"/>
                <w:color w:val="auto"/>
              </w:rPr>
            </w:pPr>
            <w:r>
              <w:rPr>
                <w:rFonts w:ascii="Calibri" w:cs="Calibri" w:eastAsia="Calibri" w:hAnsi="Calibri"/>
                <w:sz w:val="18"/>
                <w:szCs w:val="18"/>
                <w:color w:val="auto"/>
              </w:rPr>
              <w:t>32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Page</w:t>
            </w:r>
          </w:p>
        </w:tc>
        <w:tc>
          <w:tcPr>
            <w:tcW w:w="0" w:type="dxa"/>
            <w:vAlign w:val="bottom"/>
          </w:tcPr>
          <w:p>
            <w:pPr>
              <w:spacing w:after="0"/>
              <w:rPr>
                <w:sz w:val="1"/>
                <w:szCs w:val="1"/>
                <w:color w:val="auto"/>
              </w:rPr>
            </w:pPr>
          </w:p>
        </w:tc>
      </w:tr>
      <w:tr>
        <w:trPr>
          <w:trHeight w:val="23"/>
        </w:trPr>
        <w:tc>
          <w:tcPr>
            <w:tcW w:w="1800" w:type="dxa"/>
            <w:vAlign w:val="bottom"/>
            <w:gridSpan w:val="11"/>
            <w:vMerge w:val="restart"/>
          </w:tcPr>
          <w:p>
            <w:pPr>
              <w:spacing w:after="0" w:line="199" w:lineRule="exact"/>
              <w:rPr>
                <w:sz w:val="20"/>
                <w:szCs w:val="20"/>
                <w:color w:val="auto"/>
              </w:rPr>
            </w:pPr>
            <w:r>
              <w:rPr>
                <w:rFonts w:ascii="Calibri" w:cs="Calibri" w:eastAsia="Calibri" w:hAnsi="Calibri"/>
                <w:sz w:val="18"/>
                <w:szCs w:val="18"/>
                <w:b w:val="1"/>
                <w:bCs w:val="1"/>
                <w:color w:val="0000EE"/>
              </w:rPr>
              <w:t>Executve Compensaton</w:t>
            </w:r>
          </w:p>
        </w:tc>
        <w:tc>
          <w:tcPr>
            <w:tcW w:w="3140" w:type="dxa"/>
            <w:vAlign w:val="bottom"/>
            <w:gridSpan w:val="17"/>
            <w:vMerge w:val="restart"/>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800" w:type="dxa"/>
            <w:vAlign w:val="bottom"/>
            <w:tcBorders>
              <w:bottom w:val="single" w:sz="8" w:color="0000EE"/>
            </w:tcBorders>
            <w:gridSpan w:val="11"/>
            <w:vMerge w:val="continue"/>
          </w:tcPr>
          <w:p>
            <w:pPr>
              <w:spacing w:after="0"/>
              <w:rPr>
                <w:sz w:val="13"/>
                <w:szCs w:val="13"/>
                <w:color w:val="auto"/>
              </w:rPr>
            </w:pPr>
          </w:p>
        </w:tc>
        <w:tc>
          <w:tcPr>
            <w:tcW w:w="3140" w:type="dxa"/>
            <w:vAlign w:val="bottom"/>
            <w:gridSpan w:val="17"/>
            <w:vMerge w:val="continue"/>
          </w:tcPr>
          <w:p>
            <w:pPr>
              <w:spacing w:after="0"/>
              <w:rPr>
                <w:sz w:val="13"/>
                <w:szCs w:val="13"/>
                <w:color w:val="auto"/>
              </w:rPr>
            </w:pPr>
          </w:p>
        </w:tc>
        <w:tc>
          <w:tcPr>
            <w:tcW w:w="540" w:type="dxa"/>
            <w:vAlign w:val="bottom"/>
          </w:tcPr>
          <w:p>
            <w:pPr>
              <w:ind w:left="380"/>
              <w:spacing w:after="0" w:line="156" w:lineRule="exact"/>
              <w:rPr>
                <w:sz w:val="20"/>
                <w:szCs w:val="20"/>
                <w:color w:val="auto"/>
              </w:rPr>
            </w:pPr>
            <w:r>
              <w:rPr>
                <w:rFonts w:ascii="Calibri" w:cs="Calibri" w:eastAsia="Calibri" w:hAnsi="Calibri"/>
                <w:sz w:val="16"/>
                <w:szCs w:val="16"/>
                <w:b w:val="1"/>
                <w:bCs w:val="1"/>
                <w:color w:val="4472C4"/>
                <w:w w:val="85"/>
              </w:rPr>
              <w:t>33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6"/>
          </w:tcPr>
          <w:p>
            <w:pPr>
              <w:spacing w:after="0" w:line="196" w:lineRule="exact"/>
              <w:rPr>
                <w:sz w:val="20"/>
                <w:szCs w:val="20"/>
                <w:color w:val="auto"/>
              </w:rPr>
            </w:pPr>
            <w:r>
              <w:rPr>
                <w:rFonts w:ascii="Calibri" w:cs="Calibri" w:eastAsia="Calibri" w:hAnsi="Calibri"/>
                <w:sz w:val="18"/>
                <w:szCs w:val="18"/>
                <w:color w:val="0000EE"/>
              </w:rPr>
              <w:t>Summary Compensaton Table</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2"/>
          </w:tcPr>
          <w:p>
            <w:pPr>
              <w:spacing w:after="0" w:line="196" w:lineRule="exact"/>
              <w:rPr>
                <w:sz w:val="20"/>
                <w:szCs w:val="20"/>
                <w:color w:val="auto"/>
              </w:rPr>
            </w:pPr>
            <w:r>
              <w:rPr>
                <w:rFonts w:ascii="Calibri" w:cs="Calibri" w:eastAsia="Calibri" w:hAnsi="Calibri"/>
                <w:sz w:val="18"/>
                <w:szCs w:val="18"/>
                <w:color w:val="0000EE"/>
                <w:w w:val="96"/>
              </w:rPr>
              <w:t>Grants of Plan-Based Awards</w:t>
            </w:r>
          </w:p>
        </w:tc>
        <w:tc>
          <w:tcPr>
            <w:tcW w:w="100" w:type="dxa"/>
            <w:vAlign w:val="bottom"/>
            <w:tcBorders>
              <w:top w:val="single" w:sz="8" w:color="0000EE"/>
            </w:tcBorders>
          </w:tcPr>
          <w:p>
            <w:pPr>
              <w:spacing w:after="0"/>
              <w:rPr>
                <w:sz w:val="17"/>
                <w:szCs w:val="17"/>
                <w:color w:val="auto"/>
              </w:rPr>
            </w:pPr>
          </w:p>
        </w:tc>
        <w:tc>
          <w:tcPr>
            <w:tcW w:w="2420" w:type="dxa"/>
            <w:vAlign w:val="bottom"/>
            <w:gridSpan w:val="13"/>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35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Borders>
              <w:bottom w:val="single" w:sz="8" w:color="0000EE"/>
            </w:tcBorders>
            <w:gridSpan w:val="21"/>
          </w:tcPr>
          <w:p>
            <w:pPr>
              <w:spacing w:after="0" w:line="196" w:lineRule="exact"/>
              <w:rPr>
                <w:sz w:val="20"/>
                <w:szCs w:val="20"/>
                <w:color w:val="auto"/>
              </w:rPr>
            </w:pPr>
            <w:r>
              <w:rPr>
                <w:rFonts w:ascii="Calibri" w:cs="Calibri" w:eastAsia="Calibri" w:hAnsi="Calibri"/>
                <w:sz w:val="18"/>
                <w:szCs w:val="18"/>
                <w:color w:val="0000EE"/>
                <w:w w:val="95"/>
              </w:rPr>
              <w:t>Outstanding Equity Awards at Fiscal Year-End</w:t>
            </w:r>
          </w:p>
        </w:tc>
        <w:tc>
          <w:tcPr>
            <w:tcW w:w="1380" w:type="dxa"/>
            <w:vAlign w:val="bottom"/>
            <w:gridSpan w:val="5"/>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36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6"/>
          </w:tcPr>
          <w:p>
            <w:pPr>
              <w:spacing w:after="0" w:line="196" w:lineRule="exact"/>
              <w:rPr>
                <w:sz w:val="20"/>
                <w:szCs w:val="20"/>
                <w:color w:val="auto"/>
              </w:rPr>
            </w:pPr>
            <w:r>
              <w:rPr>
                <w:rFonts w:ascii="Calibri" w:cs="Calibri" w:eastAsia="Calibri" w:hAnsi="Calibri"/>
                <w:sz w:val="18"/>
                <w:szCs w:val="18"/>
                <w:color w:val="0000EE"/>
              </w:rPr>
              <w:t>Opton Exercises and Stock Vested</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38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6"/>
          </w:tcPr>
          <w:p>
            <w:pPr>
              <w:spacing w:after="0" w:line="196" w:lineRule="exact"/>
              <w:rPr>
                <w:sz w:val="20"/>
                <w:szCs w:val="20"/>
                <w:color w:val="auto"/>
              </w:rPr>
            </w:pPr>
            <w:r>
              <w:rPr>
                <w:rFonts w:ascii="Calibri" w:cs="Calibri" w:eastAsia="Calibri" w:hAnsi="Calibri"/>
                <w:sz w:val="18"/>
                <w:szCs w:val="18"/>
                <w:color w:val="0000EE"/>
              </w:rPr>
              <w:t>Nonqualifed Deferred Compensaton in FY 202</w:t>
            </w:r>
            <w:r>
              <w:rPr>
                <w:rFonts w:ascii="Calibri" w:cs="Calibri" w:eastAsia="Calibri" w:hAnsi="Calibri"/>
                <w:sz w:val="18"/>
                <w:szCs w:val="18"/>
                <w:color w:val="000000"/>
              </w:rPr>
              <w:t>2</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22"/>
          </w:tcPr>
          <w:p>
            <w:pPr>
              <w:spacing w:after="0" w:line="196" w:lineRule="exact"/>
              <w:rPr>
                <w:sz w:val="20"/>
                <w:szCs w:val="20"/>
                <w:color w:val="auto"/>
              </w:rPr>
            </w:pPr>
            <w:r>
              <w:rPr>
                <w:rFonts w:ascii="Calibri" w:cs="Calibri" w:eastAsia="Calibri" w:hAnsi="Calibri"/>
                <w:sz w:val="18"/>
                <w:szCs w:val="18"/>
                <w:b w:val="1"/>
                <w:bCs w:val="1"/>
                <w:color w:val="0000EE"/>
                <w:w w:val="98"/>
              </w:rPr>
              <w:t>Potental Payments Upon Terminaton or Change</w:t>
            </w:r>
          </w:p>
        </w:tc>
        <w:tc>
          <w:tcPr>
            <w:tcW w:w="140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sz w:val="20"/>
                <w:szCs w:val="20"/>
                <w:color w:val="auto"/>
              </w:rPr>
            </w:pPr>
            <w:r>
              <w:rPr>
                <w:rFonts w:ascii="Calibri" w:cs="Calibri" w:eastAsia="Calibri" w:hAnsi="Calibri"/>
                <w:sz w:val="18"/>
                <w:szCs w:val="18"/>
                <w:b w:val="1"/>
                <w:bCs w:val="1"/>
                <w:color w:val="0000EE"/>
                <w:w w:val="94"/>
              </w:rPr>
              <w:t>in Control</w:t>
            </w:r>
          </w:p>
        </w:tc>
        <w:tc>
          <w:tcPr>
            <w:tcW w:w="4040" w:type="dxa"/>
            <w:vAlign w:val="bottom"/>
            <w:gridSpan w:val="24"/>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40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6"/>
          </w:tcPr>
          <w:p>
            <w:pPr>
              <w:spacing w:after="0" w:line="196" w:lineRule="exact"/>
              <w:rPr>
                <w:sz w:val="20"/>
                <w:szCs w:val="20"/>
                <w:color w:val="auto"/>
              </w:rPr>
            </w:pPr>
            <w:r>
              <w:rPr>
                <w:rFonts w:ascii="Calibri" w:cs="Calibri" w:eastAsia="Calibri" w:hAnsi="Calibri"/>
                <w:sz w:val="18"/>
                <w:szCs w:val="18"/>
                <w:color w:val="0000EE"/>
              </w:rPr>
              <w:t>Change in Control Contnuity Agreements</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40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7"/>
          </w:tcPr>
          <w:p>
            <w:pPr>
              <w:spacing w:after="0" w:line="196" w:lineRule="exact"/>
              <w:rPr>
                <w:sz w:val="20"/>
                <w:szCs w:val="20"/>
                <w:color w:val="auto"/>
              </w:rPr>
            </w:pPr>
            <w:r>
              <w:rPr>
                <w:rFonts w:ascii="Calibri" w:cs="Calibri" w:eastAsia="Calibri" w:hAnsi="Calibri"/>
                <w:sz w:val="18"/>
                <w:szCs w:val="18"/>
                <w:color w:val="0000EE"/>
                <w:w w:val="97"/>
              </w:rPr>
              <w:t>Payments Made Upon Any Terminaton</w:t>
            </w:r>
          </w:p>
        </w:tc>
        <w:tc>
          <w:tcPr>
            <w:tcW w:w="180" w:type="dxa"/>
            <w:vAlign w:val="bottom"/>
            <w:tcBorders>
              <w:top w:val="single" w:sz="8" w:color="0000EE"/>
            </w:tcBorders>
            <w:gridSpan w:val="2"/>
          </w:tcPr>
          <w:p>
            <w:pPr>
              <w:spacing w:after="0"/>
              <w:rPr>
                <w:sz w:val="17"/>
                <w:szCs w:val="17"/>
                <w:color w:val="auto"/>
              </w:rPr>
            </w:pPr>
          </w:p>
        </w:tc>
        <w:tc>
          <w:tcPr>
            <w:tcW w:w="1620" w:type="dxa"/>
            <w:vAlign w:val="bottom"/>
            <w:gridSpan w:val="7"/>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41</w:t>
            </w:r>
          </w:p>
        </w:tc>
        <w:tc>
          <w:tcPr>
            <w:tcW w:w="0" w:type="dxa"/>
            <w:vAlign w:val="bottom"/>
          </w:tcPr>
          <w:p>
            <w:pPr>
              <w:spacing w:after="0"/>
              <w:rPr>
                <w:sz w:val="1"/>
                <w:szCs w:val="1"/>
                <w:color w:val="auto"/>
              </w:rPr>
            </w:pPr>
          </w:p>
        </w:tc>
      </w:tr>
      <w:tr>
        <w:trPr>
          <w:trHeight w:val="196"/>
        </w:trPr>
        <w:tc>
          <w:tcPr>
            <w:tcW w:w="4940" w:type="dxa"/>
            <w:vAlign w:val="bottom"/>
            <w:gridSpan w:val="28"/>
          </w:tcPr>
          <w:p>
            <w:pPr>
              <w:spacing w:after="0" w:line="196" w:lineRule="exact"/>
              <w:rPr>
                <w:sz w:val="20"/>
                <w:szCs w:val="20"/>
                <w:color w:val="auto"/>
              </w:rPr>
            </w:pPr>
            <w:r>
              <w:rPr>
                <w:rFonts w:ascii="Calibri" w:cs="Calibri" w:eastAsia="Calibri" w:hAnsi="Calibri"/>
                <w:sz w:val="18"/>
                <w:szCs w:val="18"/>
                <w:b w:val="1"/>
                <w:bCs w:val="1"/>
                <w:color w:val="0000EE"/>
              </w:rPr>
              <w:t>CEO Pay Rato</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43</w:t>
            </w:r>
          </w:p>
        </w:tc>
        <w:tc>
          <w:tcPr>
            <w:tcW w:w="0" w:type="dxa"/>
            <w:vAlign w:val="bottom"/>
          </w:tcPr>
          <w:p>
            <w:pPr>
              <w:spacing w:after="0"/>
              <w:rPr>
                <w:sz w:val="1"/>
                <w:szCs w:val="1"/>
                <w:color w:val="auto"/>
              </w:rPr>
            </w:pP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28"/>
          </w:tcPr>
          <w:p>
            <w:pPr>
              <w:spacing w:after="0" w:line="196" w:lineRule="exact"/>
              <w:rPr>
                <w:sz w:val="20"/>
                <w:szCs w:val="20"/>
                <w:color w:val="auto"/>
              </w:rPr>
            </w:pPr>
            <w:r>
              <w:rPr>
                <w:rFonts w:ascii="Calibri" w:cs="Calibri" w:eastAsia="Calibri" w:hAnsi="Calibri"/>
                <w:sz w:val="18"/>
                <w:szCs w:val="18"/>
                <w:b w:val="1"/>
                <w:bCs w:val="1"/>
                <w:color w:val="0000EE"/>
              </w:rPr>
              <w:t>Stock Ownership</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44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sz w:val="20"/>
                <w:szCs w:val="20"/>
                <w:color w:val="auto"/>
              </w:rPr>
            </w:pPr>
            <w:r>
              <w:rPr>
                <w:rFonts w:ascii="Calibri" w:cs="Calibri" w:eastAsia="Calibri" w:hAnsi="Calibri"/>
                <w:sz w:val="18"/>
                <w:szCs w:val="18"/>
                <w:color w:val="0000EE"/>
                <w:w w:val="95"/>
              </w:rPr>
              <w:t>Management</w:t>
            </w:r>
          </w:p>
        </w:tc>
        <w:tc>
          <w:tcPr>
            <w:tcW w:w="3620" w:type="dxa"/>
            <w:vAlign w:val="bottom"/>
            <w:gridSpan w:val="21"/>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44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Borders>
              <w:bottom w:val="single" w:sz="8" w:color="0000EE"/>
            </w:tcBorders>
            <w:gridSpan w:val="10"/>
          </w:tcPr>
          <w:p>
            <w:pPr>
              <w:spacing w:after="0" w:line="196" w:lineRule="exact"/>
              <w:rPr>
                <w:sz w:val="20"/>
                <w:szCs w:val="20"/>
                <w:color w:val="auto"/>
              </w:rPr>
            </w:pPr>
            <w:r>
              <w:rPr>
                <w:rFonts w:ascii="Calibri" w:cs="Calibri" w:eastAsia="Calibri" w:hAnsi="Calibri"/>
                <w:sz w:val="18"/>
                <w:szCs w:val="18"/>
                <w:color w:val="0000EE"/>
                <w:w w:val="98"/>
              </w:rPr>
              <w:t>Certain Benefcial Owners</w:t>
            </w:r>
          </w:p>
        </w:tc>
        <w:tc>
          <w:tcPr>
            <w:tcW w:w="2740" w:type="dxa"/>
            <w:vAlign w:val="bottom"/>
            <w:gridSpan w:val="16"/>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46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Borders>
              <w:bottom w:val="single" w:sz="8" w:color="0000EE"/>
            </w:tcBorders>
            <w:gridSpan w:val="11"/>
          </w:tcPr>
          <w:p>
            <w:pPr>
              <w:spacing w:after="0" w:line="196" w:lineRule="exact"/>
              <w:rPr>
                <w:sz w:val="20"/>
                <w:szCs w:val="20"/>
                <w:color w:val="auto"/>
              </w:rPr>
            </w:pPr>
            <w:r>
              <w:rPr>
                <w:rFonts w:ascii="Calibri" w:cs="Calibri" w:eastAsia="Calibri" w:hAnsi="Calibri"/>
                <w:sz w:val="18"/>
                <w:szCs w:val="18"/>
                <w:color w:val="0000EE"/>
                <w:w w:val="97"/>
              </w:rPr>
              <w:t>Related Party Transactons</w:t>
            </w:r>
          </w:p>
        </w:tc>
        <w:tc>
          <w:tcPr>
            <w:tcW w:w="2700" w:type="dxa"/>
            <w:vAlign w:val="bottom"/>
            <w:gridSpan w:val="15"/>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47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Borders>
              <w:bottom w:val="single" w:sz="8" w:color="0000EE"/>
            </w:tcBorders>
            <w:gridSpan w:val="18"/>
          </w:tcPr>
          <w:p>
            <w:pPr>
              <w:spacing w:after="0" w:line="196" w:lineRule="exact"/>
              <w:rPr>
                <w:sz w:val="20"/>
                <w:szCs w:val="20"/>
                <w:color w:val="auto"/>
              </w:rPr>
            </w:pPr>
            <w:r>
              <w:rPr>
                <w:rFonts w:ascii="Calibri" w:cs="Calibri" w:eastAsia="Calibri" w:hAnsi="Calibri"/>
                <w:sz w:val="18"/>
                <w:szCs w:val="18"/>
                <w:color w:val="0000EE"/>
                <w:w w:val="99"/>
              </w:rPr>
              <w:t>Employee, Ofcer and Director Hedging</w:t>
            </w:r>
          </w:p>
        </w:tc>
        <w:tc>
          <w:tcPr>
            <w:tcW w:w="1760" w:type="dxa"/>
            <w:vAlign w:val="bottom"/>
            <w:gridSpan w:val="8"/>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47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6"/>
          </w:tcPr>
          <w:p>
            <w:pPr>
              <w:spacing w:after="0" w:line="196" w:lineRule="exact"/>
              <w:rPr>
                <w:sz w:val="20"/>
                <w:szCs w:val="20"/>
                <w:color w:val="auto"/>
              </w:rPr>
            </w:pPr>
            <w:r>
              <w:rPr>
                <w:rFonts w:ascii="Calibri" w:cs="Calibri" w:eastAsia="Calibri" w:hAnsi="Calibri"/>
                <w:sz w:val="18"/>
                <w:szCs w:val="18"/>
                <w:color w:val="0000EE"/>
              </w:rPr>
              <w:t>Code of Conduct</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47</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25"/>
          </w:tcPr>
          <w:p>
            <w:pPr>
              <w:spacing w:after="0" w:line="196" w:lineRule="exact"/>
              <w:rPr>
                <w:sz w:val="20"/>
                <w:szCs w:val="20"/>
                <w:color w:val="auto"/>
              </w:rPr>
            </w:pPr>
            <w:r>
              <w:rPr>
                <w:rFonts w:ascii="Calibri" w:cs="Calibri" w:eastAsia="Calibri" w:hAnsi="Calibri"/>
                <w:sz w:val="18"/>
                <w:szCs w:val="18"/>
                <w:b w:val="1"/>
                <w:bCs w:val="1"/>
                <w:color w:val="0000EE"/>
                <w:w w:val="98"/>
              </w:rPr>
              <w:t>Proposal No. 2: Advisory Vote on Compensaton of Our Named</w:t>
            </w:r>
          </w:p>
        </w:tc>
        <w:tc>
          <w:tcPr>
            <w:tcW w:w="34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60" w:type="dxa"/>
            <w:vAlign w:val="bottom"/>
            <w:gridSpan w:val="27"/>
          </w:tcPr>
          <w:p>
            <w:pPr>
              <w:spacing w:after="0" w:line="196" w:lineRule="exact"/>
              <w:rPr>
                <w:sz w:val="20"/>
                <w:szCs w:val="20"/>
                <w:color w:val="auto"/>
              </w:rPr>
            </w:pPr>
            <w:r>
              <w:rPr>
                <w:rFonts w:ascii="Calibri" w:cs="Calibri" w:eastAsia="Calibri" w:hAnsi="Calibri"/>
                <w:sz w:val="18"/>
                <w:szCs w:val="18"/>
                <w:b w:val="1"/>
                <w:bCs w:val="1"/>
                <w:color w:val="0000EE"/>
              </w:rPr>
              <w:t>Executve Ofcers</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6"/>
          </w:tcPr>
          <w:p>
            <w:pPr>
              <w:spacing w:after="0" w:line="196" w:lineRule="exact"/>
              <w:rPr>
                <w:sz w:val="20"/>
                <w:szCs w:val="20"/>
                <w:color w:val="auto"/>
              </w:rPr>
            </w:pPr>
            <w:r>
              <w:rPr>
                <w:rFonts w:ascii="Calibri" w:cs="Calibri" w:eastAsia="Calibri" w:hAnsi="Calibri"/>
                <w:sz w:val="18"/>
                <w:szCs w:val="18"/>
                <w:color w:val="0000EE"/>
              </w:rPr>
              <w:t>Recommendaton of the Board</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48</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27"/>
          </w:tcPr>
          <w:p>
            <w:pPr>
              <w:spacing w:after="0" w:line="196" w:lineRule="exact"/>
              <w:rPr>
                <w:sz w:val="20"/>
                <w:szCs w:val="20"/>
                <w:color w:val="auto"/>
              </w:rPr>
            </w:pPr>
            <w:r>
              <w:rPr>
                <w:rFonts w:ascii="Calibri" w:cs="Calibri" w:eastAsia="Calibri" w:hAnsi="Calibri"/>
                <w:sz w:val="18"/>
                <w:szCs w:val="18"/>
                <w:b w:val="1"/>
                <w:bCs w:val="1"/>
                <w:color w:val="0000EE"/>
                <w:w w:val="97"/>
              </w:rPr>
              <w:t>Proposal No. 3: Approval of Expected Appointment of Independent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sz w:val="20"/>
                <w:szCs w:val="20"/>
                <w:color w:val="auto"/>
              </w:rPr>
            </w:pPr>
            <w:r>
              <w:rPr>
                <w:rFonts w:ascii="Calibri" w:cs="Calibri" w:eastAsia="Calibri" w:hAnsi="Calibri"/>
                <w:sz w:val="18"/>
                <w:szCs w:val="18"/>
                <w:b w:val="1"/>
                <w:bCs w:val="1"/>
                <w:color w:val="0000EE"/>
                <w:w w:val="93"/>
              </w:rPr>
              <w:t>Auditors</w:t>
            </w:r>
          </w:p>
        </w:tc>
        <w:tc>
          <w:tcPr>
            <w:tcW w:w="4140" w:type="dxa"/>
            <w:vAlign w:val="bottom"/>
            <w:gridSpan w:val="25"/>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49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6"/>
          </w:tcPr>
          <w:p>
            <w:pPr>
              <w:spacing w:after="0" w:line="196" w:lineRule="exact"/>
              <w:rPr>
                <w:sz w:val="20"/>
                <w:szCs w:val="20"/>
                <w:color w:val="auto"/>
              </w:rPr>
            </w:pPr>
            <w:r>
              <w:rPr>
                <w:rFonts w:ascii="Calibri" w:cs="Calibri" w:eastAsia="Calibri" w:hAnsi="Calibri"/>
                <w:sz w:val="18"/>
                <w:szCs w:val="18"/>
                <w:color w:val="0000EE"/>
              </w:rPr>
              <w:t>Recommendaton of the Board</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color w:val="auto"/>
                <w:w w:val="87"/>
              </w:rPr>
              <w:t>49</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420" w:type="dxa"/>
            <w:vAlign w:val="bottom"/>
            <w:gridSpan w:val="8"/>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28"/>
          </w:tcPr>
          <w:p>
            <w:pPr>
              <w:spacing w:after="0" w:line="196" w:lineRule="exact"/>
              <w:rPr>
                <w:sz w:val="20"/>
                <w:szCs w:val="20"/>
                <w:color w:val="auto"/>
              </w:rPr>
            </w:pPr>
            <w:r>
              <w:rPr>
                <w:rFonts w:ascii="Calibri" w:cs="Calibri" w:eastAsia="Calibri" w:hAnsi="Calibri"/>
                <w:sz w:val="18"/>
                <w:szCs w:val="18"/>
                <w:b w:val="1"/>
                <w:bCs w:val="1"/>
                <w:color w:val="0000EE"/>
              </w:rPr>
              <w:t>Relatonship with Independent Public Accountants</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50</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10"/>
          </w:tcPr>
          <w:p>
            <w:pPr>
              <w:spacing w:after="0" w:line="196" w:lineRule="exact"/>
              <w:rPr>
                <w:sz w:val="20"/>
                <w:szCs w:val="20"/>
                <w:color w:val="auto"/>
              </w:rPr>
            </w:pPr>
            <w:r>
              <w:rPr>
                <w:rFonts w:ascii="Calibri" w:cs="Calibri" w:eastAsia="Calibri" w:hAnsi="Calibri"/>
                <w:sz w:val="18"/>
                <w:szCs w:val="18"/>
                <w:b w:val="1"/>
                <w:bCs w:val="1"/>
                <w:color w:val="0000EE"/>
                <w:w w:val="99"/>
              </w:rPr>
              <w:t>Audit Commitee Report</w:t>
            </w:r>
          </w:p>
        </w:tc>
        <w:tc>
          <w:tcPr>
            <w:tcW w:w="1920" w:type="dxa"/>
            <w:vAlign w:val="bottom"/>
            <w:tcBorders>
              <w:top w:val="single" w:sz="8" w:color="0000EE"/>
            </w:tcBorders>
            <w:gridSpan w:val="14"/>
          </w:tcPr>
          <w:p>
            <w:pPr>
              <w:spacing w:after="0"/>
              <w:rPr>
                <w:sz w:val="17"/>
                <w:szCs w:val="17"/>
                <w:color w:val="auto"/>
              </w:rPr>
            </w:pPr>
          </w:p>
        </w:tc>
        <w:tc>
          <w:tcPr>
            <w:tcW w:w="1240" w:type="dxa"/>
            <w:vAlign w:val="bottom"/>
            <w:gridSpan w:val="4"/>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51</w:t>
            </w:r>
          </w:p>
        </w:tc>
        <w:tc>
          <w:tcPr>
            <w:tcW w:w="0" w:type="dxa"/>
            <w:vAlign w:val="bottom"/>
          </w:tcPr>
          <w:p>
            <w:pPr>
              <w:spacing w:after="0"/>
              <w:rPr>
                <w:sz w:val="1"/>
                <w:szCs w:val="1"/>
                <w:color w:val="auto"/>
              </w:rPr>
            </w:pPr>
          </w:p>
        </w:tc>
      </w:tr>
      <w:tr>
        <w:trPr>
          <w:trHeight w:val="196"/>
        </w:trPr>
        <w:tc>
          <w:tcPr>
            <w:tcW w:w="4940" w:type="dxa"/>
            <w:vAlign w:val="bottom"/>
            <w:gridSpan w:val="28"/>
          </w:tcPr>
          <w:p>
            <w:pPr>
              <w:spacing w:after="0" w:line="196" w:lineRule="exact"/>
              <w:rPr>
                <w:sz w:val="20"/>
                <w:szCs w:val="20"/>
                <w:color w:val="auto"/>
              </w:rPr>
            </w:pPr>
            <w:r>
              <w:rPr>
                <w:rFonts w:ascii="Calibri" w:cs="Calibri" w:eastAsia="Calibri" w:hAnsi="Calibri"/>
                <w:sz w:val="18"/>
                <w:szCs w:val="18"/>
                <w:b w:val="1"/>
                <w:bCs w:val="1"/>
                <w:color w:val="0000EE"/>
              </w:rPr>
              <w:t>Other Maters Which May be Presented for Acton at the Meetng</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52</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tcBorders>
            <w:gridSpan w:val="26"/>
          </w:tcPr>
          <w:p>
            <w:pPr>
              <w:spacing w:after="0" w:line="196" w:lineRule="exact"/>
              <w:rPr>
                <w:sz w:val="20"/>
                <w:szCs w:val="20"/>
                <w:color w:val="auto"/>
              </w:rPr>
            </w:pPr>
            <w:r>
              <w:rPr>
                <w:rFonts w:ascii="Calibri" w:cs="Calibri" w:eastAsia="Calibri" w:hAnsi="Calibri"/>
                <w:sz w:val="18"/>
                <w:szCs w:val="18"/>
                <w:b w:val="1"/>
                <w:bCs w:val="1"/>
                <w:color w:val="0000EE"/>
              </w:rPr>
              <w:t>Delivery of Documents to Stockholders</w:t>
            </w:r>
          </w:p>
        </w:tc>
        <w:tc>
          <w:tcPr>
            <w:tcW w:w="180" w:type="dxa"/>
            <w:vAlign w:val="bottom"/>
            <w:gridSpan w:val="2"/>
          </w:tcPr>
          <w:p>
            <w:pPr>
              <w:spacing w:after="0"/>
              <w:rPr>
                <w:sz w:val="17"/>
                <w:szCs w:val="17"/>
                <w:color w:val="auto"/>
              </w:rPr>
            </w:pP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52</w:t>
            </w:r>
          </w:p>
        </w:tc>
        <w:tc>
          <w:tcPr>
            <w:tcW w:w="0" w:type="dxa"/>
            <w:vAlign w:val="bottom"/>
          </w:tcPr>
          <w:p>
            <w:pPr>
              <w:spacing w:after="0"/>
              <w:rPr>
                <w:sz w:val="1"/>
                <w:szCs w:val="1"/>
                <w:color w:val="auto"/>
              </w:rPr>
            </w:pPr>
          </w:p>
        </w:tc>
      </w:tr>
      <w:tr>
        <w:trPr>
          <w:trHeight w:val="20"/>
        </w:trPr>
        <w:tc>
          <w:tcPr>
            <w:tcW w:w="2820" w:type="dxa"/>
            <w:vAlign w:val="bottom"/>
            <w:gridSpan w:val="18"/>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28"/>
          </w:tcPr>
          <w:p>
            <w:pPr>
              <w:spacing w:after="0" w:line="196" w:lineRule="exact"/>
              <w:rPr>
                <w:sz w:val="20"/>
                <w:szCs w:val="20"/>
                <w:color w:val="auto"/>
              </w:rPr>
            </w:pPr>
            <w:r>
              <w:rPr>
                <w:rFonts w:ascii="Calibri" w:cs="Calibri" w:eastAsia="Calibri" w:hAnsi="Calibri"/>
                <w:sz w:val="18"/>
                <w:szCs w:val="18"/>
                <w:b w:val="1"/>
                <w:bCs w:val="1"/>
                <w:color w:val="0000EE"/>
              </w:rPr>
              <w:t>Deadline for Receipt of Stockholder Proposals</w:t>
            </w:r>
          </w:p>
        </w:tc>
        <w:tc>
          <w:tcPr>
            <w:tcW w:w="560" w:type="dxa"/>
            <w:vAlign w:val="bottom"/>
            <w:gridSpan w:val="2"/>
          </w:tcPr>
          <w:p>
            <w:pPr>
              <w:ind w:left="380"/>
              <w:spacing w:after="0" w:line="196" w:lineRule="exact"/>
              <w:rPr>
                <w:sz w:val="20"/>
                <w:szCs w:val="20"/>
                <w:color w:val="auto"/>
              </w:rPr>
            </w:pPr>
            <w:r>
              <w:rPr>
                <w:rFonts w:ascii="Calibri" w:cs="Calibri" w:eastAsia="Calibri" w:hAnsi="Calibri"/>
                <w:sz w:val="18"/>
                <w:szCs w:val="18"/>
                <w:b w:val="1"/>
                <w:bCs w:val="1"/>
                <w:color w:val="4472C4"/>
                <w:w w:val="87"/>
              </w:rPr>
              <w:t>52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1221740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500" w:space="240"/>
            <w:col w:w="5500"/>
          </w:cols>
          <w:pgMar w:left="320" w:top="354" w:right="339" w:bottom="1440" w:gutter="0" w:footer="0" w:header="0"/>
          <w:type w:val="continuous"/>
        </w:sectPr>
      </w:pPr>
    </w:p>
    <w:bookmarkStart w:id="5" w:name="page6"/>
    <w:bookmarkEnd w:id="5"/>
    <w:p>
      <w:pPr>
        <w:jc w:val="center"/>
        <w:ind w:right="-39"/>
        <w:spacing w:after="0"/>
        <w:rPr>
          <w:sz w:val="20"/>
          <w:szCs w:val="20"/>
          <w:color w:val="auto"/>
        </w:rPr>
      </w:pPr>
      <w:r>
        <w:rPr>
          <w:rFonts w:ascii="Calibri" w:cs="Calibri" w:eastAsia="Calibri" w:hAnsi="Calibri"/>
          <w:sz w:val="32"/>
          <w:szCs w:val="32"/>
          <w:b w:val="1"/>
          <w:bCs w:val="1"/>
          <w:color w:val="auto"/>
        </w:rPr>
        <w:t>EAGLE MATERIALS INC.</w:t>
      </w:r>
    </w:p>
    <w:p>
      <w:pPr>
        <w:spacing w:after="0" w:line="1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5960 Berkshire Ln., Suite 900</w:t>
      </w:r>
    </w:p>
    <w:p>
      <w:pPr>
        <w:jc w:val="center"/>
        <w:ind w:right="-39"/>
        <w:spacing w:after="0" w:line="235" w:lineRule="auto"/>
        <w:rPr>
          <w:sz w:val="20"/>
          <w:szCs w:val="20"/>
          <w:color w:val="auto"/>
        </w:rPr>
      </w:pPr>
      <w:r>
        <w:rPr>
          <w:rFonts w:ascii="Calibri" w:cs="Calibri" w:eastAsia="Calibri" w:hAnsi="Calibri"/>
          <w:sz w:val="18"/>
          <w:szCs w:val="18"/>
          <w:color w:val="auto"/>
        </w:rPr>
        <w:t>Dallas, Texas 75225</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25"/>
          <w:szCs w:val="25"/>
          <w:b w:val="1"/>
          <w:bCs w:val="1"/>
          <w:color w:val="auto"/>
        </w:rPr>
        <w:t>PROXY STATEMENT</w:t>
      </w:r>
    </w:p>
    <w:p>
      <w:pPr>
        <w:sectPr>
          <w:pgSz w:w="11900" w:h="16838" w:orient="portrait"/>
          <w:cols w:equalWidth="0" w:num="1">
            <w:col w:w="11200"/>
          </w:cols>
          <w:pgMar w:left="320" w:top="328" w:right="379" w:bottom="1440" w:gutter="0" w:footer="0" w:header="0"/>
        </w:sectPr>
      </w:pPr>
    </w:p>
    <w:p>
      <w:pPr>
        <w:spacing w:after="0" w:line="262" w:lineRule="exact"/>
        <w:rPr>
          <w:sz w:val="20"/>
          <w:szCs w:val="20"/>
          <w:color w:val="auto"/>
        </w:rPr>
      </w:pPr>
    </w:p>
    <w:p>
      <w:pPr>
        <w:ind w:left="1920"/>
        <w:spacing w:after="0"/>
        <w:rPr>
          <w:sz w:val="20"/>
          <w:szCs w:val="20"/>
          <w:color w:val="auto"/>
        </w:rPr>
      </w:pPr>
      <w:r>
        <w:rPr>
          <w:rFonts w:ascii="Calibri" w:cs="Calibri" w:eastAsia="Calibri" w:hAnsi="Calibri"/>
          <w:sz w:val="25"/>
          <w:szCs w:val="25"/>
          <w:b w:val="1"/>
          <w:bCs w:val="1"/>
          <w:color w:val="4472C4"/>
        </w:rPr>
        <w:t>INTRODUCTION</w:t>
      </w:r>
    </w:p>
    <w:p>
      <w:pPr>
        <w:spacing w:after="0" w:line="22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accompanying proxy, mailed or provided online, together with this proxy statement, is solicited by and on behalf of the Board of Directors of Eagle Materials Inc., which we refer to as the “Company,” for use at the annual meetng of stockholders of the Company and at any adjournment or postponement thereof. References in this proxy statement to “we,” “us,” “our” or like terms also refer to the Company. References to our “Board of Directors” or “Board” refer to the board of directors of the Company. The Notce Regarding the Availability of Proxy Materials, this proxy statement and accompanying proxy were frst mailed to our stockholders on or about June 24, 2022.</w:t>
      </w:r>
    </w:p>
    <w:p>
      <w:pPr>
        <w:spacing w:after="0" w:line="32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Date, Time and Place of the Annual Meetng</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2022 annual meetng of our stockholders will be held at the Hilton Dallas Park Cites, 5954 Luther Lane, Dallas, TX 75225, at 8:00 a.m., local tme, on Friday, August 5, 2022.</w:t>
      </w:r>
    </w:p>
    <w:p>
      <w:pPr>
        <w:spacing w:after="0" w:line="327"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b w:val="1"/>
          <w:bCs w:val="1"/>
          <w:color w:val="auto"/>
        </w:rPr>
        <w:t>Purposes of the Annual Meetng and Recommendatons of our Board of Directors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At the meetng, acton will be taken upon the following maters:</w:t>
      </w:r>
    </w:p>
    <w:p>
      <w:pPr>
        <w:spacing w:after="0" w:line="109" w:lineRule="exact"/>
        <w:rPr>
          <w:sz w:val="20"/>
          <w:szCs w:val="20"/>
          <w:color w:val="auto"/>
        </w:rPr>
      </w:pPr>
    </w:p>
    <w:p>
      <w:pPr>
        <w:jc w:val="both"/>
        <w:ind w:left="220" w:right="120" w:hanging="201"/>
        <w:spacing w:after="0" w:line="235" w:lineRule="auto"/>
        <w:rPr>
          <w:sz w:val="20"/>
          <w:szCs w:val="20"/>
          <w:color w:val="auto"/>
        </w:rPr>
      </w:pPr>
      <w:r>
        <w:rPr>
          <w:rFonts w:ascii="Calibri" w:cs="Calibri" w:eastAsia="Calibri" w:hAnsi="Calibri"/>
          <w:sz w:val="18"/>
          <w:szCs w:val="18"/>
          <w:color w:val="auto"/>
        </w:rPr>
        <w:t>(1)</w:t>
      </w:r>
      <w:r>
        <w:rPr>
          <w:rFonts w:ascii="Calibri" w:cs="Calibri" w:eastAsia="Calibri" w:hAnsi="Calibri"/>
          <w:sz w:val="18"/>
          <w:szCs w:val="18"/>
          <w:i w:val="1"/>
          <w:iCs w:val="1"/>
          <w:color w:val="auto"/>
        </w:rPr>
        <w:t>Electon of Directors.</w:t>
      </w:r>
      <w:r>
        <w:rPr>
          <w:rFonts w:ascii="Calibri" w:cs="Calibri" w:eastAsia="Calibri" w:hAnsi="Calibri"/>
          <w:sz w:val="18"/>
          <w:szCs w:val="18"/>
          <w:color w:val="auto"/>
        </w:rPr>
        <w:t xml:space="preserve"> Stockholders will be asked to elect the three Class I directors identfed in this proxy statement, each to hold ofce for a term of three years.</w:t>
      </w:r>
    </w:p>
    <w:p>
      <w:pPr>
        <w:spacing w:after="0" w:line="111" w:lineRule="exact"/>
        <w:rPr>
          <w:sz w:val="20"/>
          <w:szCs w:val="20"/>
          <w:color w:val="auto"/>
        </w:rPr>
      </w:pPr>
    </w:p>
    <w:p>
      <w:pPr>
        <w:ind w:left="180" w:right="120"/>
        <w:spacing w:after="0" w:line="235" w:lineRule="auto"/>
        <w:rPr>
          <w:sz w:val="20"/>
          <w:szCs w:val="20"/>
          <w:color w:val="auto"/>
        </w:rPr>
      </w:pPr>
      <w:r>
        <w:rPr>
          <w:rFonts w:ascii="Calibri" w:cs="Calibri" w:eastAsia="Calibri" w:hAnsi="Calibri"/>
          <w:sz w:val="18"/>
          <w:szCs w:val="18"/>
          <w:b w:val="1"/>
          <w:bCs w:val="1"/>
          <w:color w:val="auto"/>
        </w:rPr>
        <w:t>Our Board of Directors recommends that you vote “FOR” the electon of its three nominees for director named in this proxy statement.</w:t>
      </w:r>
    </w:p>
    <w:p>
      <w:pPr>
        <w:spacing w:after="0" w:line="110" w:lineRule="exact"/>
        <w:rPr>
          <w:sz w:val="20"/>
          <w:szCs w:val="20"/>
          <w:color w:val="auto"/>
        </w:rPr>
      </w:pPr>
    </w:p>
    <w:p>
      <w:pPr>
        <w:ind w:left="220" w:right="160" w:hanging="201"/>
        <w:spacing w:after="0" w:line="235" w:lineRule="auto"/>
        <w:rPr>
          <w:sz w:val="20"/>
          <w:szCs w:val="20"/>
          <w:color w:val="auto"/>
        </w:rPr>
      </w:pPr>
      <w:r>
        <w:rPr>
          <w:rFonts w:ascii="Calibri" w:cs="Calibri" w:eastAsia="Calibri" w:hAnsi="Calibri"/>
          <w:sz w:val="18"/>
          <w:szCs w:val="18"/>
          <w:color w:val="auto"/>
        </w:rPr>
        <w:t>(2)</w:t>
      </w:r>
      <w:r>
        <w:rPr>
          <w:rFonts w:ascii="Calibri" w:cs="Calibri" w:eastAsia="Calibri" w:hAnsi="Calibri"/>
          <w:sz w:val="18"/>
          <w:szCs w:val="18"/>
          <w:i w:val="1"/>
          <w:iCs w:val="1"/>
          <w:color w:val="auto"/>
        </w:rPr>
        <w:t>Advisory Vote on Compensaton of our Named Executve Ofcers.</w:t>
      </w:r>
      <w:r>
        <w:rPr>
          <w:rFonts w:ascii="Calibri" w:cs="Calibri" w:eastAsia="Calibri" w:hAnsi="Calibri"/>
          <w:sz w:val="18"/>
          <w:szCs w:val="18"/>
          <w:color w:val="auto"/>
        </w:rPr>
        <w:t xml:space="preserve"> We are asking you to approve a non-binding advisory resoluton regarding the compensaton of our named executve ofcers as reported in this proxy statement.</w:t>
      </w:r>
    </w:p>
    <w:p>
      <w:pPr>
        <w:spacing w:after="0" w:line="111" w:lineRule="exact"/>
        <w:rPr>
          <w:sz w:val="20"/>
          <w:szCs w:val="20"/>
          <w:color w:val="auto"/>
        </w:rPr>
      </w:pPr>
    </w:p>
    <w:p>
      <w:pPr>
        <w:jc w:val="both"/>
        <w:ind w:left="180"/>
        <w:spacing w:after="0" w:line="235" w:lineRule="auto"/>
        <w:rPr>
          <w:sz w:val="20"/>
          <w:szCs w:val="20"/>
          <w:color w:val="auto"/>
        </w:rPr>
      </w:pPr>
      <w:r>
        <w:rPr>
          <w:rFonts w:ascii="Calibri" w:cs="Calibri" w:eastAsia="Calibri" w:hAnsi="Calibri"/>
          <w:sz w:val="18"/>
          <w:szCs w:val="18"/>
          <w:b w:val="1"/>
          <w:bCs w:val="1"/>
          <w:color w:val="auto"/>
        </w:rPr>
        <w:t>Our Board of Directors recommends that you vote “FOR” the non-binding advisory resoluton approving the compensaton of our named executve ofcers.</w:t>
      </w:r>
    </w:p>
    <w:p>
      <w:pPr>
        <w:spacing w:after="0" w:line="111" w:lineRule="exact"/>
        <w:rPr>
          <w:sz w:val="20"/>
          <w:szCs w:val="20"/>
          <w:color w:val="auto"/>
        </w:rPr>
      </w:pPr>
    </w:p>
    <w:p>
      <w:pPr>
        <w:ind w:left="220" w:right="60" w:hanging="201"/>
        <w:spacing w:after="0" w:line="235" w:lineRule="auto"/>
        <w:rPr>
          <w:sz w:val="20"/>
          <w:szCs w:val="20"/>
          <w:color w:val="auto"/>
        </w:rPr>
      </w:pPr>
      <w:r>
        <w:rPr>
          <w:rFonts w:ascii="Calibri" w:cs="Calibri" w:eastAsia="Calibri" w:hAnsi="Calibri"/>
          <w:sz w:val="18"/>
          <w:szCs w:val="18"/>
          <w:color w:val="auto"/>
        </w:rPr>
        <w:t>(3)</w:t>
      </w:r>
      <w:r>
        <w:rPr>
          <w:rFonts w:ascii="Calibri" w:cs="Calibri" w:eastAsia="Calibri" w:hAnsi="Calibri"/>
          <w:sz w:val="18"/>
          <w:szCs w:val="18"/>
          <w:i w:val="1"/>
          <w:iCs w:val="1"/>
          <w:color w:val="auto"/>
        </w:rPr>
        <w:t>Approval of the Expected Appointment of Ernst &amp; Young LLP.</w:t>
      </w:r>
      <w:r>
        <w:rPr>
          <w:rFonts w:ascii="Calibri" w:cs="Calibri" w:eastAsia="Calibri" w:hAnsi="Calibri"/>
          <w:sz w:val="18"/>
          <w:szCs w:val="18"/>
          <w:color w:val="auto"/>
        </w:rPr>
        <w:t xml:space="preserve"> We are asking you to approve the expected appointment by our Audit Commitee of Ernst &amp; Young LLP as the Company’s independent auditors for the fscal year ending March 31, 2023.</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160" w:right="20"/>
        <w:spacing w:after="0" w:line="235" w:lineRule="auto"/>
        <w:rPr>
          <w:sz w:val="20"/>
          <w:szCs w:val="20"/>
          <w:color w:val="auto"/>
        </w:rPr>
      </w:pPr>
      <w:r>
        <w:rPr>
          <w:rFonts w:ascii="Calibri" w:cs="Calibri" w:eastAsia="Calibri" w:hAnsi="Calibri"/>
          <w:sz w:val="18"/>
          <w:szCs w:val="18"/>
          <w:b w:val="1"/>
          <w:bCs w:val="1"/>
          <w:color w:val="auto"/>
        </w:rPr>
        <w:t>Our Board of Directors recommends that you vote “FOR” the approval of the expected appointment of Ernst &amp; Young LLP as the Company’s independent auditors for the fscal year ending March 31, 2023.</w:t>
      </w:r>
    </w:p>
    <w:p>
      <w:pPr>
        <w:spacing w:after="0" w:line="111" w:lineRule="exact"/>
        <w:rPr>
          <w:sz w:val="20"/>
          <w:szCs w:val="20"/>
          <w:color w:val="auto"/>
        </w:rPr>
      </w:pPr>
    </w:p>
    <w:p>
      <w:pPr>
        <w:ind w:left="200" w:right="260" w:hanging="202"/>
        <w:spacing w:after="0" w:line="235" w:lineRule="auto"/>
        <w:rPr>
          <w:sz w:val="20"/>
          <w:szCs w:val="20"/>
          <w:color w:val="auto"/>
        </w:rPr>
      </w:pPr>
      <w:r>
        <w:rPr>
          <w:rFonts w:ascii="Calibri" w:cs="Calibri" w:eastAsia="Calibri" w:hAnsi="Calibri"/>
          <w:sz w:val="18"/>
          <w:szCs w:val="18"/>
          <w:color w:val="auto"/>
        </w:rPr>
        <w:t>(4)</w:t>
      </w:r>
      <w:r>
        <w:rPr>
          <w:rFonts w:ascii="Calibri" w:cs="Calibri" w:eastAsia="Calibri" w:hAnsi="Calibri"/>
          <w:sz w:val="18"/>
          <w:szCs w:val="18"/>
          <w:i w:val="1"/>
          <w:iCs w:val="1"/>
          <w:color w:val="auto"/>
        </w:rPr>
        <w:t>Other Business.</w:t>
      </w:r>
      <w:r>
        <w:rPr>
          <w:rFonts w:ascii="Calibri" w:cs="Calibri" w:eastAsia="Calibri" w:hAnsi="Calibri"/>
          <w:sz w:val="18"/>
          <w:szCs w:val="18"/>
          <w:color w:val="auto"/>
        </w:rPr>
        <w:t xml:space="preserve"> In additon, you may be asked to vote upon such other maters, if any, as properly come before the annual meetng, or any adjournment thereof.</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Board of Directors does not know of any maters to be acted upon at the meetng other than the maters set forth in items (1) through (3)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3488690" cy="1405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8690" cy="1405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left="-59" w:right="840"/>
        <w:spacing w:after="0" w:line="235" w:lineRule="auto"/>
        <w:rPr>
          <w:sz w:val="20"/>
          <w:szCs w:val="20"/>
          <w:color w:val="auto"/>
        </w:rPr>
      </w:pPr>
      <w:r>
        <w:rPr>
          <w:rFonts w:ascii="Calibri" w:cs="Calibri" w:eastAsia="Calibri" w:hAnsi="Calibri"/>
          <w:sz w:val="18"/>
          <w:szCs w:val="18"/>
          <w:b w:val="1"/>
          <w:bCs w:val="1"/>
          <w:color w:val="auto"/>
        </w:rPr>
        <w:t>IMPORTANT NOTICE REGARDING THE AVAILABILITY OF PROXY MATERIALS FOR THE ANNUAL MEETING OF STOCKHOLDERS TO BE HELD ON AUGUST 5, 2022.</w:t>
      </w:r>
    </w:p>
    <w:p>
      <w:pPr>
        <w:spacing w:after="0" w:line="219" w:lineRule="exact"/>
        <w:rPr>
          <w:sz w:val="20"/>
          <w:szCs w:val="20"/>
          <w:color w:val="auto"/>
        </w:rPr>
      </w:pPr>
    </w:p>
    <w:p>
      <w:pPr>
        <w:jc w:val="center"/>
        <w:ind w:left="-99" w:right="820"/>
        <w:spacing w:after="0" w:line="235" w:lineRule="auto"/>
        <w:rPr>
          <w:sz w:val="20"/>
          <w:szCs w:val="20"/>
          <w:color w:val="auto"/>
        </w:rPr>
      </w:pPr>
      <w:r>
        <w:rPr>
          <w:rFonts w:ascii="Calibri" w:cs="Calibri" w:eastAsia="Calibri" w:hAnsi="Calibri"/>
          <w:sz w:val="18"/>
          <w:szCs w:val="18"/>
          <w:b w:val="1"/>
          <w:bCs w:val="1"/>
          <w:color w:val="auto"/>
        </w:rPr>
        <w:t>Our proxy statement and 2022 annual report to stockholders are available to you on the Internet at www.proxyvote.com.</w:t>
      </w:r>
    </w:p>
    <w:p>
      <w:pPr>
        <w:spacing w:after="0" w:line="4910" w:lineRule="exact"/>
        <w:rPr>
          <w:sz w:val="20"/>
          <w:szCs w:val="20"/>
          <w:color w:val="auto"/>
        </w:rPr>
      </w:pPr>
    </w:p>
    <w:p>
      <w:pPr>
        <w:sectPr>
          <w:pgSz w:w="11900" w:h="16838" w:orient="portrait"/>
          <w:cols w:equalWidth="0" w:num="2">
            <w:col w:w="5520" w:space="220"/>
            <w:col w:w="5460"/>
          </w:cols>
          <w:pgMar w:left="320" w:top="32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3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type w:val="continuous"/>
        </w:sectPr>
      </w:pPr>
    </w:p>
    <w:bookmarkStart w:id="6" w:name="page7"/>
    <w:bookmarkEnd w:id="6"/>
    <w:p>
      <w:pPr>
        <w:jc w:val="center"/>
        <w:ind w:right="-19"/>
        <w:spacing w:after="0"/>
        <w:rPr>
          <w:sz w:val="20"/>
          <w:szCs w:val="20"/>
          <w:color w:val="auto"/>
        </w:rPr>
      </w:pPr>
      <w:r>
        <w:rPr>
          <w:rFonts w:ascii="Calibri" w:cs="Calibri" w:eastAsia="Calibri" w:hAnsi="Calibri"/>
          <w:sz w:val="25"/>
          <w:szCs w:val="25"/>
          <w:b w:val="1"/>
          <w:bCs w:val="1"/>
          <w:color w:val="4472C4"/>
        </w:rPr>
        <w:t>ABOUT THE MEETING</w:t>
      </w:r>
    </w:p>
    <w:p>
      <w:pPr>
        <w:sectPr>
          <w:pgSz w:w="11900" w:h="16838" w:orient="portrait"/>
          <w:cols w:equalWidth="0" w:num="1">
            <w:col w:w="11240"/>
          </w:cols>
          <w:pgMar w:left="320" w:top="342" w:right="339" w:bottom="1440" w:gutter="0" w:footer="0" w:header="0"/>
        </w:sectPr>
      </w:pPr>
    </w:p>
    <w:p>
      <w:pPr>
        <w:spacing w:after="0" w:line="2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Who Can Vote</w:t>
      </w:r>
    </w:p>
    <w:p>
      <w:pPr>
        <w:spacing w:after="0" w:line="109"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The record date for the determinaton of holders of the Company’s Common Stock, par value $0.01 per share, which we refer to as our “Common Stock,” enttled to notce of and to vote at the meetng, or any adjournment or postponement of the meetng, is the close of business on June 8, 2022. In this proxy statement, we refer to this date as the “record date.” As of the record date, there were 38,099,267 shares of our Common Stock issued and outstanding and enttled to vote at the meetng. Our stock transfer books will not be closed in connecton with the meetng. Our Common Stock is listed on the New York Stock Exchange, or “NYSE,” under the symbol “EXP.”</w:t>
      </w:r>
    </w:p>
    <w:p>
      <w:pPr>
        <w:spacing w:after="0" w:line="31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How Proxies Will be Voted</w:t>
      </w:r>
    </w:p>
    <w:p>
      <w:pPr>
        <w:spacing w:after="0" w:line="109"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Shares represented by valid proxies will be voted at the meetng in accordance with the directons given. If the enclosed proxy card is signed and returned without any directon given, the shares will be voted in the manner, if any, recommended by the Board. The Board does not intend to present, and has no informaton indicatng that others will present, any business at the annual meetng other than as set forth in the atached Notce of Annual Meetng of Stockholders. However, if other maters requiring the vote of our stockholders properly come before the meetng, it is the intenton of the persons named in the accompanying form of proxy to vote the proxies held by them in accordance with their best judgment in such maters.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How to Revoke Your Proxy</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You have the unconditonal right to revoke your proxy at any tme prior to the votng thereof by submitng a later-dated proxy, by atending the meetng and votng in person, or by writen notce to us addressed to: Eagle Materials Inc., Atenton: Mat Newby, Secretary, 5960 Berkshire Ln., Suite 900, Dallas, Texas 75225. No such revocaton shall be efectve, however, unless and untl received by the Company at or prior to the meetng.</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Quorum and Required Vote</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presence at the meetng, in person or represented by proxy, of the holders of a majority of the votng power of the shares of our capital stock enttled to vote on any mater shall consttute a quorum for purposes of such mater. Abstentons and broker non-votes will be included in determining the presence of a quorum at the meetng. The holders of Common Stock will be enttled to one vote per share on each mater that may properly be brought before the meetng or any adjournment thereof. There is no cumulatve votng.</w:t>
      </w:r>
    </w:p>
    <w:p>
      <w:pPr>
        <w:spacing w:after="0" w:line="1139" w:lineRule="exact"/>
        <w:rPr>
          <w:sz w:val="20"/>
          <w:szCs w:val="20"/>
          <w:color w:val="auto"/>
        </w:rPr>
      </w:pPr>
    </w:p>
    <w:p>
      <w:pPr>
        <w:sectPr>
          <w:pgSz w:w="11900" w:h="16838" w:orient="portrait"/>
          <w:cols w:equalWidth="0" w:num="2">
            <w:col w:w="5500" w:space="240"/>
            <w:col w:w="5500"/>
          </w:cols>
          <w:pgMar w:left="320" w:top="342" w:right="3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gridSpan w:val="2"/>
          </w:tcPr>
          <w:p>
            <w:pPr>
              <w:ind w:left="940"/>
              <w:spacing w:after="0"/>
              <w:rPr>
                <w:sz w:val="20"/>
                <w:szCs w:val="20"/>
                <w:color w:val="auto"/>
              </w:rPr>
            </w:pPr>
            <w:r>
              <w:rPr>
                <w:rFonts w:ascii="Calibri" w:cs="Calibri" w:eastAsia="Calibri" w:hAnsi="Calibri"/>
                <w:sz w:val="16"/>
                <w:szCs w:val="16"/>
                <w:b w:val="1"/>
                <w:bCs w:val="1"/>
                <w:color w:val="auto"/>
              </w:rPr>
              <w:t>Proposal</w:t>
            </w:r>
          </w:p>
        </w:tc>
        <w:tc>
          <w:tcPr>
            <w:tcW w:w="2320" w:type="dxa"/>
            <w:vAlign w:val="bottom"/>
            <w:gridSpan w:val="2"/>
          </w:tcPr>
          <w:p>
            <w:pPr>
              <w:ind w:left="620"/>
              <w:spacing w:after="0"/>
              <w:rPr>
                <w:sz w:val="20"/>
                <w:szCs w:val="20"/>
                <w:color w:val="auto"/>
              </w:rPr>
            </w:pPr>
            <w:r>
              <w:rPr>
                <w:rFonts w:ascii="Calibri" w:cs="Calibri" w:eastAsia="Calibri" w:hAnsi="Calibri"/>
                <w:sz w:val="16"/>
                <w:szCs w:val="16"/>
                <w:b w:val="1"/>
                <w:bCs w:val="1"/>
                <w:color w:val="auto"/>
              </w:rPr>
              <w:t>Required Vote</w:t>
            </w:r>
          </w:p>
        </w:tc>
        <w:tc>
          <w:tcPr>
            <w:tcW w:w="2000" w:type="dxa"/>
            <w:vAlign w:val="bottom"/>
            <w:gridSpan w:val="2"/>
          </w:tcPr>
          <w:p>
            <w:pPr>
              <w:jc w:val="center"/>
              <w:ind w:right="200"/>
              <w:spacing w:after="0"/>
              <w:rPr>
                <w:sz w:val="20"/>
                <w:szCs w:val="20"/>
                <w:color w:val="auto"/>
              </w:rPr>
            </w:pPr>
            <w:r>
              <w:rPr>
                <w:rFonts w:ascii="Calibri" w:cs="Calibri" w:eastAsia="Calibri" w:hAnsi="Calibri"/>
                <w:sz w:val="16"/>
                <w:szCs w:val="16"/>
                <w:b w:val="1"/>
                <w:bCs w:val="1"/>
                <w:color w:val="auto"/>
              </w:rPr>
              <w:t>Efect of Abstentons</w:t>
            </w:r>
          </w:p>
        </w:tc>
        <w:tc>
          <w:tcPr>
            <w:tcW w:w="2280" w:type="dxa"/>
            <w:vAlign w:val="bottom"/>
          </w:tcPr>
          <w:p>
            <w:pPr>
              <w:jc w:val="center"/>
              <w:spacing w:after="0"/>
              <w:rPr>
                <w:sz w:val="20"/>
                <w:szCs w:val="20"/>
                <w:color w:val="auto"/>
              </w:rPr>
            </w:pPr>
            <w:r>
              <w:rPr>
                <w:rFonts w:ascii="Calibri" w:cs="Calibri" w:eastAsia="Calibri" w:hAnsi="Calibri"/>
                <w:sz w:val="16"/>
                <w:szCs w:val="16"/>
                <w:b w:val="1"/>
                <w:bCs w:val="1"/>
                <w:color w:val="auto"/>
              </w:rPr>
              <w:t>Efect of Broker Non-Votes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500" w:type="dxa"/>
            <w:vAlign w:val="bottom"/>
          </w:tcPr>
          <w:p>
            <w:pPr>
              <w:spacing w:after="0" w:line="178" w:lineRule="exact"/>
              <w:rPr>
                <w:sz w:val="20"/>
                <w:szCs w:val="20"/>
                <w:color w:val="auto"/>
              </w:rPr>
            </w:pPr>
            <w:r>
              <w:rPr>
                <w:rFonts w:ascii="Calibri" w:cs="Calibri" w:eastAsia="Calibri" w:hAnsi="Calibri"/>
                <w:sz w:val="16"/>
                <w:szCs w:val="16"/>
                <w:color w:val="auto"/>
              </w:rPr>
              <w:t>Electon of Directors</w:t>
            </w:r>
          </w:p>
        </w:tc>
        <w:tc>
          <w:tcPr>
            <w:tcW w:w="140" w:type="dxa"/>
            <w:vAlign w:val="bottom"/>
            <w:vMerge w:val="continue"/>
          </w:tcPr>
          <w:p>
            <w:pPr>
              <w:spacing w:after="0"/>
              <w:rPr>
                <w:sz w:val="15"/>
                <w:szCs w:val="15"/>
                <w:color w:val="auto"/>
              </w:rPr>
            </w:pPr>
          </w:p>
        </w:tc>
        <w:tc>
          <w:tcPr>
            <w:tcW w:w="2200" w:type="dxa"/>
            <w:vAlign w:val="bottom"/>
          </w:tcPr>
          <w:p>
            <w:pPr>
              <w:spacing w:after="0" w:line="178" w:lineRule="exact"/>
              <w:rPr>
                <w:sz w:val="20"/>
                <w:szCs w:val="20"/>
                <w:color w:val="auto"/>
              </w:rPr>
            </w:pPr>
            <w:r>
              <w:rPr>
                <w:rFonts w:ascii="Calibri" w:cs="Calibri" w:eastAsia="Calibri" w:hAnsi="Calibri"/>
                <w:sz w:val="16"/>
                <w:szCs w:val="16"/>
                <w:color w:val="auto"/>
              </w:rPr>
              <w:t>Majority of votes cast by the</w:t>
            </w:r>
          </w:p>
        </w:tc>
        <w:tc>
          <w:tcPr>
            <w:tcW w:w="120" w:type="dxa"/>
            <w:vAlign w:val="bottom"/>
            <w:vMerge w:val="continue"/>
          </w:tcPr>
          <w:p>
            <w:pPr>
              <w:spacing w:after="0"/>
              <w:rPr>
                <w:sz w:val="15"/>
                <w:szCs w:val="15"/>
                <w:color w:val="auto"/>
              </w:rPr>
            </w:pPr>
          </w:p>
        </w:tc>
        <w:tc>
          <w:tcPr>
            <w:tcW w:w="1800" w:type="dxa"/>
            <w:vAlign w:val="bottom"/>
          </w:tcPr>
          <w:p>
            <w:pPr>
              <w:jc w:val="center"/>
              <w:spacing w:after="0" w:line="178" w:lineRule="exact"/>
              <w:rPr>
                <w:sz w:val="20"/>
                <w:szCs w:val="20"/>
                <w:color w:val="auto"/>
              </w:rPr>
            </w:pPr>
            <w:r>
              <w:rPr>
                <w:rFonts w:ascii="Calibri" w:cs="Calibri" w:eastAsia="Calibri" w:hAnsi="Calibri"/>
                <w:sz w:val="16"/>
                <w:szCs w:val="16"/>
                <w:color w:val="auto"/>
              </w:rPr>
              <w:t>No efect</w:t>
            </w:r>
          </w:p>
        </w:tc>
        <w:tc>
          <w:tcPr>
            <w:tcW w:w="200" w:type="dxa"/>
            <w:vAlign w:val="bottom"/>
            <w:vMerge w:val="continue"/>
          </w:tcPr>
          <w:p>
            <w:pPr>
              <w:spacing w:after="0"/>
              <w:rPr>
                <w:sz w:val="15"/>
                <w:szCs w:val="15"/>
                <w:color w:val="auto"/>
              </w:rPr>
            </w:pPr>
          </w:p>
        </w:tc>
        <w:tc>
          <w:tcPr>
            <w:tcW w:w="2280" w:type="dxa"/>
            <w:vAlign w:val="bottom"/>
          </w:tcPr>
          <w:p>
            <w:pPr>
              <w:jc w:val="center"/>
              <w:spacing w:after="0" w:line="178" w:lineRule="exact"/>
              <w:rPr>
                <w:sz w:val="20"/>
                <w:szCs w:val="20"/>
                <w:color w:val="auto"/>
              </w:rPr>
            </w:pPr>
            <w:r>
              <w:rPr>
                <w:rFonts w:ascii="Calibri" w:cs="Calibri" w:eastAsia="Calibri" w:hAnsi="Calibri"/>
                <w:sz w:val="16"/>
                <w:szCs w:val="16"/>
                <w:color w:val="auto"/>
              </w:rPr>
              <w:t>No efect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2"/>
          </w:tcPr>
          <w:p>
            <w:pPr>
              <w:spacing w:after="0" w:line="193" w:lineRule="exact"/>
              <w:rPr>
                <w:sz w:val="20"/>
                <w:szCs w:val="20"/>
                <w:color w:val="auto"/>
              </w:rPr>
            </w:pPr>
            <w:r>
              <w:rPr>
                <w:rFonts w:ascii="Calibri" w:cs="Calibri" w:eastAsia="Calibri" w:hAnsi="Calibri"/>
                <w:sz w:val="16"/>
                <w:szCs w:val="16"/>
                <w:color w:val="auto"/>
              </w:rPr>
              <w:t>shares present in person or</w:t>
            </w: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Calibri" w:cs="Calibri" w:eastAsia="Calibri" w:hAnsi="Calibri"/>
                <w:sz w:val="16"/>
                <w:szCs w:val="16"/>
                <w:color w:val="auto"/>
              </w:rPr>
              <w:t>represented by proxy at the</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Calibri" w:cs="Calibri" w:eastAsia="Calibri" w:hAnsi="Calibri"/>
                <w:sz w:val="16"/>
                <w:szCs w:val="16"/>
                <w:color w:val="auto"/>
              </w:rPr>
              <w:t>meetng (more FOR votes than</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Calibri" w:cs="Calibri" w:eastAsia="Calibri" w:hAnsi="Calibri"/>
                <w:sz w:val="16"/>
                <w:szCs w:val="16"/>
                <w:color w:val="auto"/>
              </w:rPr>
              <w:t>AGAINST votes)</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2" w:right="339" w:bottom="1440" w:gutter="0" w:footer="0" w:header="0"/>
          <w:type w:val="continuous"/>
        </w:sectPr>
      </w:pPr>
    </w:p>
    <w:p>
      <w:pPr>
        <w:spacing w:after="0" w:line="12" w:lineRule="exact"/>
        <w:rPr>
          <w:sz w:val="20"/>
          <w:szCs w:val="20"/>
          <w:color w:val="auto"/>
        </w:rPr>
      </w:pPr>
    </w:p>
    <w:p>
      <w:pPr>
        <w:ind w:left="1000"/>
        <w:spacing w:after="0" w:line="246" w:lineRule="auto"/>
        <w:rPr>
          <w:sz w:val="20"/>
          <w:szCs w:val="20"/>
          <w:color w:val="auto"/>
        </w:rPr>
      </w:pPr>
      <w:r>
        <w:rPr>
          <w:rFonts w:ascii="Calibri" w:cs="Calibri" w:eastAsia="Calibri" w:hAnsi="Calibri"/>
          <w:sz w:val="16"/>
          <w:szCs w:val="16"/>
          <w:color w:val="auto"/>
        </w:rPr>
        <w:t>Advisory vote on compensaton of our named executve ofcers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0" w:right="80"/>
        <w:spacing w:after="0" w:line="248" w:lineRule="auto"/>
        <w:rPr>
          <w:sz w:val="20"/>
          <w:szCs w:val="20"/>
          <w:color w:val="auto"/>
        </w:rPr>
      </w:pPr>
      <w:r>
        <w:rPr>
          <w:rFonts w:ascii="Calibri" w:cs="Calibri" w:eastAsia="Calibri" w:hAnsi="Calibri"/>
          <w:sz w:val="16"/>
          <w:szCs w:val="16"/>
          <w:color w:val="auto"/>
        </w:rPr>
        <w:t>Approval of the expected appointment of Ernst &amp; Young LLP as our independent auditors for the fscal year ending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40" w:type="dxa"/>
            <w:vAlign w:val="bottom"/>
          </w:tcPr>
          <w:p>
            <w:pPr>
              <w:spacing w:after="0"/>
              <w:rPr>
                <w:sz w:val="20"/>
                <w:szCs w:val="20"/>
                <w:color w:val="auto"/>
              </w:rPr>
            </w:pPr>
            <w:r>
              <w:rPr>
                <w:rFonts w:ascii="Calibri" w:cs="Calibri" w:eastAsia="Calibri" w:hAnsi="Calibri"/>
                <w:sz w:val="16"/>
                <w:szCs w:val="16"/>
                <w:color w:val="auto"/>
              </w:rPr>
              <w:t>Majority of votes cast by the</w:t>
            </w:r>
          </w:p>
        </w:tc>
        <w:tc>
          <w:tcPr>
            <w:tcW w:w="2080" w:type="dxa"/>
            <w:vAlign w:val="bottom"/>
          </w:tcPr>
          <w:p>
            <w:pPr>
              <w:jc w:val="center"/>
              <w:ind w:right="39"/>
              <w:spacing w:after="0"/>
              <w:rPr>
                <w:sz w:val="20"/>
                <w:szCs w:val="20"/>
                <w:color w:val="auto"/>
              </w:rPr>
            </w:pPr>
            <w:r>
              <w:rPr>
                <w:rFonts w:ascii="Calibri" w:cs="Calibri" w:eastAsia="Calibri" w:hAnsi="Calibri"/>
                <w:sz w:val="16"/>
                <w:szCs w:val="16"/>
                <w:color w:val="auto"/>
              </w:rPr>
              <w:t>Counted as a vote—same</w:t>
            </w:r>
          </w:p>
        </w:tc>
        <w:tc>
          <w:tcPr>
            <w:tcW w:w="2000" w:type="dxa"/>
            <w:vAlign w:val="bottom"/>
          </w:tcPr>
          <w:p>
            <w:pPr>
              <w:jc w:val="center"/>
              <w:ind w:left="199"/>
              <w:spacing w:after="0"/>
              <w:rPr>
                <w:sz w:val="20"/>
                <w:szCs w:val="20"/>
                <w:color w:val="auto"/>
              </w:rPr>
            </w:pPr>
            <w:r>
              <w:rPr>
                <w:rFonts w:ascii="Calibri" w:cs="Calibri" w:eastAsia="Calibri" w:hAnsi="Calibri"/>
                <w:sz w:val="16"/>
                <w:szCs w:val="16"/>
                <w:color w:val="auto"/>
              </w:rPr>
              <w:t>No efect</w:t>
            </w:r>
          </w:p>
        </w:tc>
      </w:tr>
      <w:tr>
        <w:trPr>
          <w:trHeight w:val="203"/>
        </w:trPr>
        <w:tc>
          <w:tcPr>
            <w:tcW w:w="2240" w:type="dxa"/>
            <w:vAlign w:val="bottom"/>
          </w:tcPr>
          <w:p>
            <w:pPr>
              <w:spacing w:after="0"/>
              <w:rPr>
                <w:sz w:val="20"/>
                <w:szCs w:val="20"/>
                <w:color w:val="auto"/>
              </w:rPr>
            </w:pPr>
            <w:r>
              <w:rPr>
                <w:rFonts w:ascii="Calibri" w:cs="Calibri" w:eastAsia="Calibri" w:hAnsi="Calibri"/>
                <w:sz w:val="16"/>
                <w:szCs w:val="16"/>
                <w:color w:val="auto"/>
              </w:rPr>
              <w:t>shares present in person or</w:t>
            </w:r>
          </w:p>
        </w:tc>
        <w:tc>
          <w:tcPr>
            <w:tcW w:w="2080" w:type="dxa"/>
            <w:vAlign w:val="bottom"/>
          </w:tcPr>
          <w:p>
            <w:pPr>
              <w:jc w:val="center"/>
              <w:ind w:right="39"/>
              <w:spacing w:after="0"/>
              <w:rPr>
                <w:sz w:val="20"/>
                <w:szCs w:val="20"/>
                <w:color w:val="auto"/>
              </w:rPr>
            </w:pPr>
            <w:r>
              <w:rPr>
                <w:rFonts w:ascii="Calibri" w:cs="Calibri" w:eastAsia="Calibri" w:hAnsi="Calibri"/>
                <w:sz w:val="16"/>
                <w:szCs w:val="16"/>
                <w:color w:val="auto"/>
              </w:rPr>
              <w:t>efect as votes against</w:t>
            </w:r>
          </w:p>
        </w:tc>
        <w:tc>
          <w:tcPr>
            <w:tcW w:w="2000" w:type="dxa"/>
            <w:vAlign w:val="bottom"/>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Calibri" w:cs="Calibri" w:eastAsia="Calibri" w:hAnsi="Calibri"/>
                <w:sz w:val="16"/>
                <w:szCs w:val="16"/>
                <w:color w:val="auto"/>
              </w:rPr>
              <w:t>represented by proxy at the</w:t>
            </w:r>
          </w:p>
        </w:tc>
        <w:tc>
          <w:tcPr>
            <w:tcW w:w="2080" w:type="dxa"/>
            <w:vAlign w:val="bottom"/>
          </w:tcPr>
          <w:p>
            <w:pPr>
              <w:jc w:val="center"/>
              <w:ind w:right="39"/>
              <w:spacing w:after="0"/>
              <w:rPr>
                <w:sz w:val="20"/>
                <w:szCs w:val="20"/>
                <w:color w:val="auto"/>
              </w:rPr>
            </w:pPr>
            <w:r>
              <w:rPr>
                <w:rFonts w:ascii="Calibri" w:cs="Calibri" w:eastAsia="Calibri" w:hAnsi="Calibri"/>
                <w:sz w:val="16"/>
                <w:szCs w:val="16"/>
                <w:color w:val="auto"/>
                <w:w w:val="98"/>
              </w:rPr>
              <w:t>proposal</w:t>
            </w:r>
          </w:p>
        </w:tc>
        <w:tc>
          <w:tcPr>
            <w:tcW w:w="2000" w:type="dxa"/>
            <w:vAlign w:val="bottom"/>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Calibri" w:cs="Calibri" w:eastAsia="Calibri" w:hAnsi="Calibri"/>
                <w:sz w:val="16"/>
                <w:szCs w:val="16"/>
                <w:color w:val="auto"/>
              </w:rPr>
              <w:t>meetng</w:t>
            </w:r>
          </w:p>
        </w:tc>
        <w:tc>
          <w:tcPr>
            <w:tcW w:w="20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2240" w:type="dxa"/>
            <w:vAlign w:val="bottom"/>
          </w:tcPr>
          <w:p>
            <w:pPr>
              <w:spacing w:after="0"/>
              <w:rPr>
                <w:sz w:val="20"/>
                <w:szCs w:val="20"/>
                <w:color w:val="auto"/>
              </w:rPr>
            </w:pPr>
            <w:r>
              <w:rPr>
                <w:rFonts w:ascii="Calibri" w:cs="Calibri" w:eastAsia="Calibri" w:hAnsi="Calibri"/>
                <w:sz w:val="16"/>
                <w:szCs w:val="16"/>
                <w:color w:val="auto"/>
              </w:rPr>
              <w:t>Afrmatve vote of a majority of</w:t>
            </w:r>
          </w:p>
        </w:tc>
        <w:tc>
          <w:tcPr>
            <w:tcW w:w="2080" w:type="dxa"/>
            <w:vAlign w:val="bottom"/>
          </w:tcPr>
          <w:p>
            <w:pPr>
              <w:jc w:val="center"/>
              <w:ind w:right="39"/>
              <w:spacing w:after="0"/>
              <w:rPr>
                <w:sz w:val="20"/>
                <w:szCs w:val="20"/>
                <w:color w:val="auto"/>
              </w:rPr>
            </w:pPr>
            <w:r>
              <w:rPr>
                <w:rFonts w:ascii="Calibri" w:cs="Calibri" w:eastAsia="Calibri" w:hAnsi="Calibri"/>
                <w:sz w:val="16"/>
                <w:szCs w:val="16"/>
                <w:color w:val="auto"/>
              </w:rPr>
              <w:t>Counted as a vote—same</w:t>
            </w:r>
          </w:p>
        </w:tc>
        <w:tc>
          <w:tcPr>
            <w:tcW w:w="2000" w:type="dxa"/>
            <w:vAlign w:val="bottom"/>
          </w:tcPr>
          <w:p>
            <w:pPr>
              <w:jc w:val="center"/>
              <w:ind w:left="179"/>
              <w:spacing w:after="0"/>
              <w:rPr>
                <w:sz w:val="20"/>
                <w:szCs w:val="20"/>
                <w:color w:val="auto"/>
              </w:rPr>
            </w:pPr>
            <w:r>
              <w:rPr>
                <w:rFonts w:ascii="Calibri" w:cs="Calibri" w:eastAsia="Calibri" w:hAnsi="Calibri"/>
                <w:sz w:val="16"/>
                <w:szCs w:val="16"/>
                <w:color w:val="auto"/>
              </w:rPr>
              <w:t>Brokers have discretonary</w:t>
            </w:r>
          </w:p>
        </w:tc>
      </w:tr>
      <w:tr>
        <w:trPr>
          <w:trHeight w:val="203"/>
        </w:trPr>
        <w:tc>
          <w:tcPr>
            <w:tcW w:w="2240" w:type="dxa"/>
            <w:vAlign w:val="bottom"/>
          </w:tcPr>
          <w:p>
            <w:pPr>
              <w:spacing w:after="0"/>
              <w:rPr>
                <w:sz w:val="20"/>
                <w:szCs w:val="20"/>
                <w:color w:val="auto"/>
              </w:rPr>
            </w:pPr>
            <w:r>
              <w:rPr>
                <w:rFonts w:ascii="Calibri" w:cs="Calibri" w:eastAsia="Calibri" w:hAnsi="Calibri"/>
                <w:sz w:val="16"/>
                <w:szCs w:val="16"/>
                <w:color w:val="auto"/>
              </w:rPr>
              <w:t>the shares present in person or</w:t>
            </w:r>
          </w:p>
        </w:tc>
        <w:tc>
          <w:tcPr>
            <w:tcW w:w="2080" w:type="dxa"/>
            <w:vAlign w:val="bottom"/>
          </w:tcPr>
          <w:p>
            <w:pPr>
              <w:jc w:val="center"/>
              <w:ind w:right="39"/>
              <w:spacing w:after="0"/>
              <w:rPr>
                <w:sz w:val="20"/>
                <w:szCs w:val="20"/>
                <w:color w:val="auto"/>
              </w:rPr>
            </w:pPr>
            <w:r>
              <w:rPr>
                <w:rFonts w:ascii="Calibri" w:cs="Calibri" w:eastAsia="Calibri" w:hAnsi="Calibri"/>
                <w:sz w:val="16"/>
                <w:szCs w:val="16"/>
                <w:color w:val="auto"/>
              </w:rPr>
              <w:t>efect as votes against</w:t>
            </w:r>
          </w:p>
        </w:tc>
        <w:tc>
          <w:tcPr>
            <w:tcW w:w="2000" w:type="dxa"/>
            <w:vAlign w:val="bottom"/>
          </w:tcPr>
          <w:p>
            <w:pPr>
              <w:jc w:val="center"/>
              <w:ind w:left="219"/>
              <w:spacing w:after="0"/>
              <w:rPr>
                <w:sz w:val="20"/>
                <w:szCs w:val="20"/>
                <w:color w:val="auto"/>
              </w:rPr>
            </w:pPr>
            <w:r>
              <w:rPr>
                <w:rFonts w:ascii="Calibri" w:cs="Calibri" w:eastAsia="Calibri" w:hAnsi="Calibri"/>
                <w:sz w:val="16"/>
                <w:szCs w:val="16"/>
                <w:color w:val="auto"/>
                <w:w w:val="99"/>
              </w:rPr>
              <w:t>authority to vote</w:t>
            </w:r>
          </w:p>
        </w:tc>
      </w:tr>
      <w:tr>
        <w:trPr>
          <w:trHeight w:val="203"/>
        </w:trPr>
        <w:tc>
          <w:tcPr>
            <w:tcW w:w="2240" w:type="dxa"/>
            <w:vAlign w:val="bottom"/>
          </w:tcPr>
          <w:p>
            <w:pPr>
              <w:spacing w:after="0"/>
              <w:rPr>
                <w:sz w:val="20"/>
                <w:szCs w:val="20"/>
                <w:color w:val="auto"/>
              </w:rPr>
            </w:pPr>
            <w:r>
              <w:rPr>
                <w:rFonts w:ascii="Calibri" w:cs="Calibri" w:eastAsia="Calibri" w:hAnsi="Calibri"/>
                <w:sz w:val="16"/>
                <w:szCs w:val="16"/>
                <w:color w:val="auto"/>
              </w:rPr>
              <w:t>represented by proxy at the</w:t>
            </w:r>
          </w:p>
        </w:tc>
        <w:tc>
          <w:tcPr>
            <w:tcW w:w="2080" w:type="dxa"/>
            <w:vAlign w:val="bottom"/>
          </w:tcPr>
          <w:p>
            <w:pPr>
              <w:jc w:val="center"/>
              <w:ind w:right="39"/>
              <w:spacing w:after="0"/>
              <w:rPr>
                <w:sz w:val="20"/>
                <w:szCs w:val="20"/>
                <w:color w:val="auto"/>
              </w:rPr>
            </w:pPr>
            <w:r>
              <w:rPr>
                <w:rFonts w:ascii="Calibri" w:cs="Calibri" w:eastAsia="Calibri" w:hAnsi="Calibri"/>
                <w:sz w:val="16"/>
                <w:szCs w:val="16"/>
                <w:color w:val="auto"/>
                <w:w w:val="98"/>
              </w:rPr>
              <w:t>proposal</w:t>
            </w:r>
          </w:p>
        </w:tc>
        <w:tc>
          <w:tcPr>
            <w:tcW w:w="2000" w:type="dxa"/>
            <w:vAlign w:val="bottom"/>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Calibri" w:cs="Calibri" w:eastAsia="Calibri" w:hAnsi="Calibri"/>
                <w:sz w:val="16"/>
                <w:szCs w:val="16"/>
                <w:color w:val="auto"/>
              </w:rPr>
              <w:t>meetng</w:t>
            </w:r>
          </w:p>
        </w:tc>
        <w:tc>
          <w:tcPr>
            <w:tcW w:w="208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206" w:lineRule="exact"/>
        <w:rPr>
          <w:sz w:val="20"/>
          <w:szCs w:val="20"/>
          <w:color w:val="auto"/>
        </w:rPr>
      </w:pPr>
    </w:p>
    <w:p>
      <w:pPr>
        <w:sectPr>
          <w:pgSz w:w="11900" w:h="16838" w:orient="portrait"/>
          <w:cols w:equalWidth="0" w:num="2">
            <w:col w:w="3500" w:space="160"/>
            <w:col w:w="7580"/>
          </w:cols>
          <w:pgMar w:left="320" w:top="3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Pursuant to the rules of the NYSE, brokers do not have discretonary authority to vote in the electon of directors if they did not receive instructons from the benefcial owner because the electon of directors is not considered a “routne” mater. The advisory vote regarding executve compensaton is also not considered “routne,” and brokers may not vote your shares with respect to such mater without instructons from you.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Expenses of Solicitng Proxies</w:t>
      </w:r>
    </w:p>
    <w:p>
      <w:pPr>
        <w:spacing w:after="0" w:line="109" w:lineRule="exact"/>
        <w:rPr>
          <w:sz w:val="20"/>
          <w:szCs w:val="20"/>
          <w:color w:val="auto"/>
        </w:rPr>
      </w:pPr>
    </w:p>
    <w:p>
      <w:pPr>
        <w:ind w:right="40"/>
        <w:spacing w:after="0" w:line="249" w:lineRule="auto"/>
        <w:rPr>
          <w:sz w:val="20"/>
          <w:szCs w:val="20"/>
          <w:color w:val="auto"/>
        </w:rPr>
      </w:pPr>
      <w:r>
        <w:rPr>
          <w:rFonts w:ascii="Calibri" w:cs="Calibri" w:eastAsia="Calibri" w:hAnsi="Calibri"/>
          <w:sz w:val="17"/>
          <w:szCs w:val="17"/>
          <w:color w:val="auto"/>
        </w:rPr>
        <w:t>The cost of solicitng proxies for the meetng will be borne by the Company. Solicitatons may be made on behalf of our Board by mail, personal interview, telephone or other electronic means by ofcers and other employees of the Company, who will receive no additonal compensaton therefor. To aid in the solicitaton of proxies, we have retained the frm of Kingsdale Advisors, which will receive a fee of approximately $20,000, in additon to the reimbursement of out-of-pocket expenses.</w:t>
      </w:r>
    </w:p>
    <w:p>
      <w:pPr>
        <w:spacing w:after="0" w:line="1" w:lineRule="exact"/>
        <w:rPr>
          <w:sz w:val="20"/>
          <w:szCs w:val="20"/>
          <w:color w:val="auto"/>
        </w:rPr>
      </w:pPr>
    </w:p>
    <w:p>
      <w:pPr>
        <w:sectPr>
          <w:pgSz w:w="11900" w:h="16838" w:orient="portrait"/>
          <w:cols w:equalWidth="0" w:num="2">
            <w:col w:w="5260" w:space="580"/>
            <w:col w:w="5400"/>
          </w:cols>
          <w:pgMar w:left="320" w:top="342" w:right="339" w:bottom="1440" w:gutter="0" w:footer="0" w:header="0"/>
          <w:type w:val="continuous"/>
        </w:sectPr>
      </w:pPr>
    </w:p>
    <w:p>
      <w:pPr>
        <w:ind w:left="4060"/>
        <w:spacing w:after="0" w:line="233" w:lineRule="auto"/>
        <w:rPr>
          <w:sz w:val="20"/>
          <w:szCs w:val="20"/>
          <w:color w:val="auto"/>
        </w:rPr>
      </w:pPr>
      <w:r>
        <w:rPr>
          <w:rFonts w:ascii="Calibri" w:cs="Calibri" w:eastAsia="Calibri" w:hAnsi="Calibri"/>
          <w:sz w:val="20"/>
          <w:szCs w:val="20"/>
          <w:color w:val="auto"/>
        </w:rPr>
        <w:t>_______________________________</w:t>
      </w:r>
    </w:p>
    <w:p>
      <w:pPr>
        <w:jc w:val="center"/>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7" w:name="page8"/>
    <w:bookmarkEnd w:id="7"/>
    <w:p>
      <w:pPr>
        <w:jc w:val="right"/>
        <w:ind w:right="2959"/>
        <w:spacing w:after="0"/>
        <w:rPr>
          <w:sz w:val="20"/>
          <w:szCs w:val="20"/>
          <w:color w:val="auto"/>
        </w:rPr>
      </w:pPr>
      <w:r>
        <w:rPr>
          <w:rFonts w:ascii="Calibri" w:cs="Calibri" w:eastAsia="Calibri" w:hAnsi="Calibri"/>
          <w:sz w:val="18"/>
          <w:szCs w:val="18"/>
          <w:b w:val="1"/>
          <w:bCs w:val="1"/>
          <w:color w:val="auto"/>
        </w:rPr>
        <w:t>How You Can Vote</w:t>
      </w:r>
    </w:p>
    <w:p>
      <w:pPr>
        <w:spacing w:after="0" w:line="1" w:lineRule="exact"/>
        <w:rPr>
          <w:sz w:val="20"/>
          <w:szCs w:val="20"/>
          <w:color w:val="auto"/>
        </w:rPr>
      </w:pPr>
    </w:p>
    <w:p>
      <w:pPr>
        <w:ind w:right="4759"/>
        <w:spacing w:after="0" w:line="251" w:lineRule="auto"/>
        <w:rPr>
          <w:sz w:val="20"/>
          <w:szCs w:val="20"/>
          <w:color w:val="auto"/>
        </w:rPr>
      </w:pPr>
      <w:r>
        <w:rPr>
          <w:rFonts w:ascii="Calibri" w:cs="Calibri" w:eastAsia="Calibri" w:hAnsi="Calibri"/>
          <w:sz w:val="17"/>
          <w:szCs w:val="17"/>
          <w:color w:val="auto"/>
        </w:rPr>
        <w:t>We will request banks, brokers, custodians, nominees, fduciaries and other record holders to forward copies of this proxy statement to persons on whose behalf they hold shares of Common Stock and to request authority for the exercise of proxies by the record holders on behalf of those persons. In compliance with the regulatons of the Securites and Exchange Commission, or “SEC,” and the NYSE, we will reimburse such persons for reasonable expenses incurred by them in forwarding proxy materials to the benefcial owners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8" w:name="page9"/>
    <w:bookmarkEnd w:id="8"/>
    <w:p>
      <w:pPr>
        <w:spacing w:after="0" w:line="235" w:lineRule="auto"/>
        <w:rPr>
          <w:sz w:val="20"/>
          <w:szCs w:val="20"/>
          <w:color w:val="auto"/>
        </w:rPr>
      </w:pPr>
      <w:r>
        <w:rPr>
          <w:rFonts w:ascii="Calibri" w:cs="Calibri" w:eastAsia="Calibri" w:hAnsi="Calibri"/>
          <w:sz w:val="18"/>
          <w:szCs w:val="18"/>
          <w:color w:val="auto"/>
        </w:rPr>
        <w:t xml:space="preserve">North America), or at 416-867-2272 (collect outside North America), or by email at </w:t>
      </w:r>
      <w:r>
        <w:rPr>
          <w:rFonts w:ascii="Calibri" w:cs="Calibri" w:eastAsia="Calibri" w:hAnsi="Calibri"/>
          <w:sz w:val="18"/>
          <w:szCs w:val="18"/>
          <w:u w:val="single" w:color="auto"/>
          <w:color w:val="auto"/>
        </w:rPr>
        <w:t>contactus@kingsdaleadvisors.com</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alibri" w:cs="Calibri" w:eastAsia="Calibri" w:hAnsi="Calibri"/>
          <w:sz w:val="18"/>
          <w:szCs w:val="18"/>
          <w:color w:val="auto"/>
        </w:rPr>
        <w:t>You can vote your shares at the meetng, by telephone, over the Internet or by completng, signing, datng and returning your proxy in the enclosed envelope. If you have any questons, or require assistance, please contact the Company’s shareholder advisor and proxy solicitaton agent, Kingsdale Advisors, at 1-888-327-0821 (toll free in</w:t>
      </w:r>
    </w:p>
    <w:p>
      <w:pPr>
        <w:spacing w:after="0" w:line="200" w:lineRule="exact"/>
        <w:rPr>
          <w:sz w:val="20"/>
          <w:szCs w:val="20"/>
          <w:color w:val="auto"/>
        </w:rPr>
      </w:pPr>
    </w:p>
    <w:p>
      <w:pPr>
        <w:sectPr>
          <w:pgSz w:w="11900" w:h="16838" w:orient="portrait"/>
          <w:cols w:equalWidth="0" w:num="2">
            <w:col w:w="5280" w:space="560"/>
            <w:col w:w="538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 w:name="page10"/>
    <w:bookmarkEnd w:id="9"/>
    <w:p>
      <w:pPr>
        <w:jc w:val="center"/>
        <w:ind w:right="-19"/>
        <w:spacing w:after="0"/>
        <w:rPr>
          <w:sz w:val="20"/>
          <w:szCs w:val="20"/>
          <w:color w:val="auto"/>
        </w:rPr>
      </w:pPr>
      <w:r>
        <w:rPr>
          <w:rFonts w:ascii="Calibri" w:cs="Calibri" w:eastAsia="Calibri" w:hAnsi="Calibri"/>
          <w:sz w:val="25"/>
          <w:szCs w:val="25"/>
          <w:b w:val="1"/>
          <w:bCs w:val="1"/>
          <w:color w:val="4472C4"/>
        </w:rPr>
        <w:t>PROPOSAL NO. 1: ELECTION OF DIRECTORS AND RELATED MATTERS</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Board of Directors is the ultmate decision-making body of the Company, except with respect to those maters reserved to our stockholders. The primary responsibilites of our Board include:</w:t>
      </w:r>
    </w:p>
    <w:p>
      <w:pPr>
        <w:spacing w:after="0" w:line="111" w:lineRule="exact"/>
        <w:rPr>
          <w:sz w:val="20"/>
          <w:szCs w:val="20"/>
          <w:color w:val="auto"/>
        </w:rPr>
      </w:pPr>
    </w:p>
    <w:p>
      <w:pPr>
        <w:ind w:left="180" w:right="100" w:hanging="172"/>
        <w:spacing w:after="0" w:line="235" w:lineRule="auto"/>
        <w:tabs>
          <w:tab w:leader="none" w:pos="18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selecton, compensaton and evaluaton of our Chief Executve Ofcer and oversight over succession planning;</w:t>
      </w:r>
    </w:p>
    <w:p>
      <w:pPr>
        <w:spacing w:after="0" w:line="10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oversight of our strategic planning;</w:t>
      </w:r>
    </w:p>
    <w:p>
      <w:pPr>
        <w:spacing w:after="0" w:line="10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approval of material transactons and fnancings;</w:t>
      </w:r>
    </w:p>
    <w:p>
      <w:pPr>
        <w:spacing w:after="0" w:line="109" w:lineRule="exact"/>
        <w:rPr>
          <w:rFonts w:ascii="Times New Roman" w:cs="Times New Roman" w:eastAsia="Times New Roman" w:hAnsi="Times New Roman"/>
          <w:sz w:val="18"/>
          <w:szCs w:val="18"/>
          <w:color w:val="auto"/>
        </w:rPr>
      </w:pPr>
    </w:p>
    <w:p>
      <w:pPr>
        <w:ind w:left="180" w:right="180" w:hanging="172"/>
        <w:spacing w:after="0" w:line="235" w:lineRule="auto"/>
        <w:tabs>
          <w:tab w:leader="none" w:pos="18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oversight of processes that are in place to promote compliance with law and high standards of business ethics;</w:t>
      </w:r>
    </w:p>
    <w:p>
      <w:pPr>
        <w:spacing w:after="0" w:line="10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advising management on major issues that may arise; and</w:t>
      </w:r>
    </w:p>
    <w:p>
      <w:pPr>
        <w:spacing w:after="0" w:line="109" w:lineRule="exact"/>
        <w:rPr>
          <w:rFonts w:ascii="Times New Roman" w:cs="Times New Roman" w:eastAsia="Times New Roman" w:hAnsi="Times New Roman"/>
          <w:sz w:val="18"/>
          <w:szCs w:val="18"/>
          <w:color w:val="auto"/>
        </w:rPr>
      </w:pPr>
    </w:p>
    <w:p>
      <w:pPr>
        <w:ind w:left="180" w:right="100" w:hanging="172"/>
        <w:spacing w:after="0" w:line="235" w:lineRule="auto"/>
        <w:tabs>
          <w:tab w:leader="none" w:pos="18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evaluatng the performance of the Board and its commitees, and making appropriate changes where necessary.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50" w:lineRule="auto"/>
        <w:rPr>
          <w:sz w:val="20"/>
          <w:szCs w:val="20"/>
          <w:color w:val="auto"/>
        </w:rPr>
      </w:pPr>
      <w:r>
        <w:rPr>
          <w:rFonts w:ascii="Calibri" w:cs="Calibri" w:eastAsia="Calibri" w:hAnsi="Calibri"/>
          <w:sz w:val="17"/>
          <w:szCs w:val="17"/>
          <w:color w:val="auto"/>
        </w:rPr>
        <w:t>Members of our Board of Directors are divided into three classes based on their term of ofce (Class I, II and III). The directors in each such class hold ofce for staggered terms of three years each. At present, Class I has three directors, Class II has four directors and Class III has fve directors. In light of the expected director retrements described in “Nominees” below, which will be efectve at the annual meetng, the Board is expected to consist of ten directors immediately afer the annual meetng. The following table of directors by class and graphic shows the compositon and tenure of our Board afer the annual meetng, assuming the electon of the proposed slate of Class I director nominees and the expected retrements noted above: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0" w:type="dxa"/>
            <w:vAlign w:val="bottom"/>
            <w:gridSpan w:val="2"/>
          </w:tcPr>
          <w:p>
            <w:pPr>
              <w:jc w:val="center"/>
              <w:ind w:right="60"/>
              <w:spacing w:after="0"/>
              <w:rPr>
                <w:sz w:val="20"/>
                <w:szCs w:val="20"/>
                <w:color w:val="auto"/>
              </w:rPr>
            </w:pPr>
            <w:r>
              <w:rPr>
                <w:rFonts w:ascii="Calibri" w:cs="Calibri" w:eastAsia="Calibri" w:hAnsi="Calibri"/>
                <w:sz w:val="18"/>
                <w:szCs w:val="18"/>
                <w:b w:val="1"/>
                <w:bCs w:val="1"/>
                <w:color w:val="auto"/>
                <w:w w:val="96"/>
              </w:rPr>
              <w:t>Class</w:t>
            </w:r>
          </w:p>
        </w:tc>
        <w:tc>
          <w:tcPr>
            <w:tcW w:w="1120" w:type="dxa"/>
            <w:vAlign w:val="bottom"/>
            <w:gridSpan w:val="2"/>
          </w:tcPr>
          <w:p>
            <w:pPr>
              <w:jc w:val="center"/>
              <w:ind w:right="80"/>
              <w:spacing w:after="0"/>
              <w:rPr>
                <w:sz w:val="20"/>
                <w:szCs w:val="20"/>
                <w:color w:val="auto"/>
              </w:rPr>
            </w:pPr>
            <w:r>
              <w:rPr>
                <w:rFonts w:ascii="Calibri" w:cs="Calibri" w:eastAsia="Calibri" w:hAnsi="Calibri"/>
                <w:sz w:val="18"/>
                <w:szCs w:val="18"/>
                <w:b w:val="1"/>
                <w:bCs w:val="1"/>
                <w:color w:val="auto"/>
                <w:w w:val="94"/>
              </w:rPr>
              <w:t>Term Expires</w:t>
            </w:r>
          </w:p>
        </w:tc>
        <w:tc>
          <w:tcPr>
            <w:tcW w:w="352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Directors</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0" w:type="dxa"/>
            <w:vAlign w:val="bottom"/>
          </w:tcPr>
          <w:p>
            <w:pPr>
              <w:jc w:val="center"/>
              <w:spacing w:after="0" w:line="187" w:lineRule="exact"/>
              <w:rPr>
                <w:sz w:val="20"/>
                <w:szCs w:val="20"/>
                <w:color w:val="auto"/>
              </w:rPr>
            </w:pPr>
            <w:r>
              <w:rPr>
                <w:rFonts w:ascii="Calibri" w:cs="Calibri" w:eastAsia="Calibri" w:hAnsi="Calibri"/>
                <w:sz w:val="18"/>
                <w:szCs w:val="18"/>
                <w:color w:val="auto"/>
                <w:w w:val="87"/>
              </w:rPr>
              <w:t>I</w:t>
            </w:r>
          </w:p>
        </w:tc>
        <w:tc>
          <w:tcPr>
            <w:tcW w:w="80" w:type="dxa"/>
            <w:vAlign w:val="bottom"/>
            <w:vMerge w:val="continue"/>
          </w:tcPr>
          <w:p>
            <w:pPr>
              <w:spacing w:after="0"/>
              <w:rPr>
                <w:sz w:val="16"/>
                <w:szCs w:val="16"/>
                <w:color w:val="auto"/>
              </w:rPr>
            </w:pPr>
          </w:p>
        </w:tc>
        <w:tc>
          <w:tcPr>
            <w:tcW w:w="1040" w:type="dxa"/>
            <w:vAlign w:val="bottom"/>
          </w:tcPr>
          <w:p>
            <w:pPr>
              <w:jc w:val="center"/>
              <w:spacing w:after="0" w:line="187" w:lineRule="exact"/>
              <w:rPr>
                <w:sz w:val="20"/>
                <w:szCs w:val="20"/>
                <w:color w:val="auto"/>
              </w:rPr>
            </w:pPr>
            <w:r>
              <w:rPr>
                <w:rFonts w:ascii="Calibri" w:cs="Calibri" w:eastAsia="Calibri" w:hAnsi="Calibri"/>
                <w:sz w:val="18"/>
                <w:szCs w:val="18"/>
                <w:color w:val="auto"/>
                <w:w w:val="98"/>
              </w:rPr>
              <w:t>2025</w:t>
            </w:r>
          </w:p>
        </w:tc>
        <w:tc>
          <w:tcPr>
            <w:tcW w:w="80" w:type="dxa"/>
            <w:vAlign w:val="bottom"/>
            <w:vMerge w:val="continue"/>
          </w:tcPr>
          <w:p>
            <w:pPr>
              <w:spacing w:after="0"/>
              <w:rPr>
                <w:sz w:val="16"/>
                <w:szCs w:val="16"/>
                <w:color w:val="auto"/>
              </w:rPr>
            </w:pPr>
          </w:p>
        </w:tc>
        <w:tc>
          <w:tcPr>
            <w:tcW w:w="352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George J. Damiris</w:t>
            </w:r>
          </w:p>
        </w:tc>
        <w:tc>
          <w:tcPr>
            <w:tcW w:w="0" w:type="dxa"/>
            <w:vAlign w:val="bottom"/>
          </w:tcPr>
          <w:p>
            <w:pPr>
              <w:spacing w:after="0"/>
              <w:rPr>
                <w:sz w:val="1"/>
                <w:szCs w:val="1"/>
                <w:color w:val="auto"/>
              </w:rPr>
            </w:pPr>
          </w:p>
        </w:tc>
      </w:tr>
      <w:tr>
        <w:trPr>
          <w:trHeight w:val="215"/>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tcPr>
          <w:p>
            <w:pPr>
              <w:jc w:val="center"/>
              <w:spacing w:after="0" w:line="215" w:lineRule="exact"/>
              <w:rPr>
                <w:sz w:val="20"/>
                <w:szCs w:val="20"/>
                <w:color w:val="auto"/>
              </w:rPr>
            </w:pPr>
            <w:r>
              <w:rPr>
                <w:rFonts w:ascii="Calibri" w:cs="Calibri" w:eastAsia="Calibri" w:hAnsi="Calibri"/>
                <w:sz w:val="18"/>
                <w:szCs w:val="18"/>
                <w:color w:val="auto"/>
              </w:rPr>
              <w:t>Martn M. Ellen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David B. Powers</w:t>
            </w:r>
          </w:p>
        </w:tc>
        <w:tc>
          <w:tcPr>
            <w:tcW w:w="0" w:type="dxa"/>
            <w:vAlign w:val="bottom"/>
          </w:tcPr>
          <w:p>
            <w:pPr>
              <w:spacing w:after="0"/>
              <w:rPr>
                <w:sz w:val="1"/>
                <w:szCs w:val="1"/>
                <w:color w:val="auto"/>
              </w:rPr>
            </w:pPr>
          </w:p>
        </w:tc>
      </w:tr>
      <w:tr>
        <w:trPr>
          <w:trHeight w:val="432"/>
        </w:trPr>
        <w:tc>
          <w:tcPr>
            <w:tcW w:w="860" w:type="dxa"/>
            <w:vAlign w:val="bottom"/>
            <w:gridSpan w:val="2"/>
          </w:tcPr>
          <w:p>
            <w:pPr>
              <w:jc w:val="center"/>
              <w:ind w:right="80"/>
              <w:spacing w:after="0"/>
              <w:rPr>
                <w:sz w:val="20"/>
                <w:szCs w:val="20"/>
                <w:color w:val="auto"/>
              </w:rPr>
            </w:pPr>
            <w:r>
              <w:rPr>
                <w:rFonts w:ascii="Calibri" w:cs="Calibri" w:eastAsia="Calibri" w:hAnsi="Calibri"/>
                <w:sz w:val="18"/>
                <w:szCs w:val="18"/>
                <w:color w:val="auto"/>
              </w:rPr>
              <w:t>II</w:t>
            </w:r>
          </w:p>
        </w:tc>
        <w:tc>
          <w:tcPr>
            <w:tcW w:w="1040" w:type="dxa"/>
            <w:vAlign w:val="bottom"/>
          </w:tcPr>
          <w:p>
            <w:pPr>
              <w:jc w:val="center"/>
              <w:spacing w:after="0"/>
              <w:rPr>
                <w:sz w:val="20"/>
                <w:szCs w:val="20"/>
                <w:color w:val="auto"/>
              </w:rPr>
            </w:pPr>
            <w:r>
              <w:rPr>
                <w:rFonts w:ascii="Calibri" w:cs="Calibri" w:eastAsia="Calibri" w:hAnsi="Calibri"/>
                <w:sz w:val="18"/>
                <w:szCs w:val="18"/>
                <w:color w:val="auto"/>
                <w:w w:val="98"/>
              </w:rPr>
              <w:t>2023</w:t>
            </w:r>
          </w:p>
        </w:tc>
        <w:tc>
          <w:tcPr>
            <w:tcW w:w="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Calibri" w:cs="Calibri" w:eastAsia="Calibri" w:hAnsi="Calibri"/>
                <w:sz w:val="18"/>
                <w:szCs w:val="18"/>
                <w:color w:val="auto"/>
                <w:w w:val="96"/>
              </w:rPr>
              <w:t>Margot L. Carter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Michael R. Nicolais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Mary P. Ricciardello</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Richard R. Stewart</w:t>
            </w:r>
          </w:p>
        </w:tc>
        <w:tc>
          <w:tcPr>
            <w:tcW w:w="0" w:type="dxa"/>
            <w:vAlign w:val="bottom"/>
          </w:tcPr>
          <w:p>
            <w:pPr>
              <w:spacing w:after="0"/>
              <w:rPr>
                <w:sz w:val="1"/>
                <w:szCs w:val="1"/>
                <w:color w:val="auto"/>
              </w:rPr>
            </w:pPr>
          </w:p>
        </w:tc>
      </w:tr>
      <w:tr>
        <w:trPr>
          <w:trHeight w:val="432"/>
        </w:trPr>
        <w:tc>
          <w:tcPr>
            <w:tcW w:w="860" w:type="dxa"/>
            <w:vAlign w:val="bottom"/>
            <w:gridSpan w:val="2"/>
          </w:tcPr>
          <w:p>
            <w:pPr>
              <w:jc w:val="center"/>
              <w:ind w:right="80"/>
              <w:spacing w:after="0"/>
              <w:rPr>
                <w:sz w:val="20"/>
                <w:szCs w:val="20"/>
                <w:color w:val="auto"/>
              </w:rPr>
            </w:pPr>
            <w:r>
              <w:rPr>
                <w:rFonts w:ascii="Calibri" w:cs="Calibri" w:eastAsia="Calibri" w:hAnsi="Calibri"/>
                <w:sz w:val="18"/>
                <w:szCs w:val="18"/>
                <w:color w:val="auto"/>
              </w:rPr>
              <w:t>III</w:t>
            </w:r>
          </w:p>
        </w:tc>
        <w:tc>
          <w:tcPr>
            <w:tcW w:w="1040" w:type="dxa"/>
            <w:vAlign w:val="bottom"/>
          </w:tcPr>
          <w:p>
            <w:pPr>
              <w:jc w:val="center"/>
              <w:spacing w:after="0"/>
              <w:rPr>
                <w:sz w:val="20"/>
                <w:szCs w:val="20"/>
                <w:color w:val="auto"/>
              </w:rPr>
            </w:pPr>
            <w:r>
              <w:rPr>
                <w:rFonts w:ascii="Calibri" w:cs="Calibri" w:eastAsia="Calibri" w:hAnsi="Calibri"/>
                <w:sz w:val="18"/>
                <w:szCs w:val="18"/>
                <w:color w:val="auto"/>
                <w:w w:val="98"/>
              </w:rPr>
              <w:t>2024</w:t>
            </w:r>
          </w:p>
        </w:tc>
        <w:tc>
          <w:tcPr>
            <w:tcW w:w="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Calibri" w:cs="Calibri" w:eastAsia="Calibri" w:hAnsi="Calibri"/>
                <w:sz w:val="18"/>
                <w:szCs w:val="18"/>
                <w:color w:val="auto"/>
              </w:rPr>
              <w:t>Richard Beckwit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Mauro Gregorio</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Michael R. Haack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701040</wp:posOffset>
            </wp:positionV>
            <wp:extent cx="3634740" cy="2091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34740" cy="2091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260"/>
            <w:col w:w="5500"/>
          </w:cols>
          <w:pgMar w:left="320" w:top="3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Director Independence</w:t>
      </w:r>
    </w:p>
    <w:p>
      <w:pPr>
        <w:spacing w:after="0" w:line="109"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NYSE corporate governance rules require that our Board of Directors be comprised of a majority of independent directors. Our Board of Directors has determined, upon the recommendaton of our Corporate Governance and Nominatng Commitee, which we refer to as our “Governance Commitee,” that all members of our Board of Directors, other than Messrs. Haack and Powers, are “independent” within the meaning of the specifc provisions of the Securites Exchange Act of 1934, as amended, which we refer to as the “Exchange Act,” and the corporate governance rules of the NYSE.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In determining that eight of our ten contnuing directors are “independent,” our Board of Directors did not identfy any material relatonship that would potentally cause Mses. Margot L. Carter and Mary P. Ricciardello and Messrs. Richard Beckwit, George J. Damiris, Mauro Gregorio, Martn M. Ellen, Michael R. Nicolais and Richard R. Stewart not to be independent for purposes of the Exchange Act or the corporate governance rules of the NYSE. With respect to Mr. David Powers, the Board did not consider him to be independent given his role as an executve ofcer of the Company untl July 2019 and his advisory agreement that was in efect through March 2020.</w:t>
      </w:r>
    </w:p>
    <w:p>
      <w:pPr>
        <w:spacing w:after="0" w:line="200" w:lineRule="exact"/>
        <w:rPr>
          <w:sz w:val="20"/>
          <w:szCs w:val="20"/>
          <w:color w:val="auto"/>
        </w:rPr>
      </w:pPr>
    </w:p>
    <w:p>
      <w:pPr>
        <w:sectPr>
          <w:pgSz w:w="11900" w:h="16838" w:orient="portrait"/>
          <w:cols w:equalWidth="0" w:num="2">
            <w:col w:w="5480" w:space="260"/>
            <w:col w:w="5500"/>
          </w:cols>
          <w:pgMar w:left="320" w:top="1206" w:right="339" w:bottom="1440" w:gutter="0" w:footer="0" w:header="0"/>
        </w:sectPr>
      </w:pPr>
    </w:p>
    <w:p>
      <w:pPr>
        <w:spacing w:after="0" w:line="226" w:lineRule="exact"/>
        <w:rPr>
          <w:sz w:val="20"/>
          <w:szCs w:val="20"/>
          <w:color w:val="auto"/>
        </w:rPr>
      </w:pPr>
    </w:p>
    <w:p>
      <w:pPr>
        <w:ind w:left="4220"/>
        <w:spacing w:after="0"/>
        <w:rPr>
          <w:sz w:val="20"/>
          <w:szCs w:val="20"/>
          <w:color w:val="auto"/>
        </w:rPr>
      </w:pPr>
      <w:r>
        <w:rPr>
          <w:rFonts w:ascii="Calibri" w:cs="Calibri" w:eastAsia="Calibri" w:hAnsi="Calibri"/>
          <w:sz w:val="18"/>
          <w:szCs w:val="18"/>
          <w:color w:val="auto"/>
        </w:rPr>
        <w:t>________________________________</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Our Board includes a group of leaders with a diverse set of skills in their respectve felds. The matrix below illustrates some of the key skills, qualifcatons and demographics that our directors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152400</wp:posOffset>
            </wp:positionV>
            <wp:extent cx="5520690" cy="4071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20690" cy="407162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Nominees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Because this is an uncontested electon of directors, a majority of votes cast by the holders of our Common Stock (number of shares voted “for” a director nominee must exceed the number of votes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spacing w:after="0" w:line="249" w:lineRule="auto"/>
        <w:rPr>
          <w:sz w:val="20"/>
          <w:szCs w:val="20"/>
          <w:color w:val="auto"/>
        </w:rPr>
      </w:pPr>
      <w:r>
        <w:rPr>
          <w:rFonts w:ascii="Calibri" w:cs="Calibri" w:eastAsia="Calibri" w:hAnsi="Calibri"/>
          <w:sz w:val="17"/>
          <w:szCs w:val="17"/>
          <w:color w:val="auto"/>
        </w:rPr>
        <w:t>Each of the nominees listed below is currently a member of our Board of Directors. Each of these nominees has been recommended for nominaton by our Governance Commitee afer considering the criteria described below under the heading “Corporate Governance and Nominatng Commitee.” We have no reason to believe that any of the listed nominees will become unavailable for electon, but if for any reason that should be the case, proxies may be voted for substtute nominees.</w:t>
      </w:r>
    </w:p>
    <w:p>
      <w:pPr>
        <w:spacing w:after="0" w:line="1" w:lineRule="exact"/>
        <w:rPr>
          <w:sz w:val="20"/>
          <w:szCs w:val="20"/>
          <w:color w:val="auto"/>
        </w:rPr>
      </w:pPr>
    </w:p>
    <w:p>
      <w:pPr>
        <w:sectPr>
          <w:pgSz w:w="11900" w:h="16838" w:orient="portrait"/>
          <w:cols w:equalWidth="0" w:num="2">
            <w:col w:w="5400" w:space="440"/>
            <w:col w:w="5400"/>
          </w:cols>
          <w:pgMar w:left="320" w:top="1206" w:right="339" w:bottom="1440" w:gutter="0" w:footer="0" w:header="0"/>
          <w:type w:val="continuous"/>
        </w:sectPr>
      </w:pPr>
    </w:p>
    <w:p>
      <w:pPr>
        <w:ind w:left="4060"/>
        <w:spacing w:after="0" w:line="233" w:lineRule="auto"/>
        <w:rPr>
          <w:sz w:val="20"/>
          <w:szCs w:val="20"/>
          <w:color w:val="auto"/>
        </w:rPr>
      </w:pPr>
      <w:r>
        <w:rPr>
          <w:rFonts w:ascii="Calibri" w:cs="Calibri" w:eastAsia="Calibri" w:hAnsi="Calibri"/>
          <w:sz w:val="20"/>
          <w:szCs w:val="20"/>
          <w:color w:val="auto"/>
        </w:rPr>
        <w:t>_______________________________</w:t>
      </w:r>
    </w:p>
    <w:p>
      <w:pPr>
        <w:jc w:val="center"/>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type w:val="continuous"/>
        </w:sectPr>
      </w:pPr>
    </w:p>
    <w:bookmarkStart w:id="11" w:name="page12"/>
    <w:bookmarkEnd w:id="11"/>
    <w:p>
      <w:pPr>
        <w:spacing w:after="0" w:line="235" w:lineRule="auto"/>
        <w:rPr>
          <w:sz w:val="20"/>
          <w:szCs w:val="20"/>
          <w:color w:val="auto"/>
        </w:rPr>
      </w:pPr>
      <w:r>
        <w:rPr>
          <w:rFonts w:ascii="Calibri" w:cs="Calibri" w:eastAsia="Calibri" w:hAnsi="Calibri"/>
          <w:sz w:val="18"/>
          <w:szCs w:val="18"/>
          <w:color w:val="auto"/>
        </w:rPr>
        <w:t>cast “against” the director nominee) will be required to elect the nominees for director in accordance with our Bylaws and our Corporate Governance Guidelines. (A plurality votng standard would apply in a contested electon.) If an incumbent director is not re-elected, such director will promptly tender his or her resignaton to the Chairman of the Board, and a special commitee of independent directors will consider the resignaton and make a recommendaton to the Board as to whether to accept or reject such resignaton. The Board will then publicly disclose its decision regarding the resignaton and the ratonale behind the decision.</w:t>
      </w:r>
    </w:p>
    <w:p>
      <w:pPr>
        <w:spacing w:after="0" w:line="200" w:lineRule="exact"/>
        <w:rPr>
          <w:sz w:val="20"/>
          <w:szCs w:val="20"/>
          <w:color w:val="auto"/>
        </w:rPr>
      </w:pPr>
    </w:p>
    <w:p>
      <w:pPr>
        <w:spacing w:after="0" w:line="24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Corporate Governance Guidelines generally require directors to retre at the frst annual meetng that occurs afer the director’s 75th birthday unless the Board (other than the afected director) waives the requirement upon the recommendaton of the Governance Commitee. Pursuant to these guidelines, Messrs. Barnet and Bowman are antcipated to retre as Class III directors at the 2022 annual meetng.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Recommendaton of the Board</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Our Board of Directors recommends that holders of Common Stock vote “FOR” the electon of the three nominees listed below to serve as Class I directors for a three-year term ending at our 2025 annual meetng of stockholders:</w:t>
      </w:r>
    </w:p>
    <w:p>
      <w:pPr>
        <w:spacing w:after="0" w:line="107" w:lineRule="exact"/>
        <w:rPr>
          <w:sz w:val="20"/>
          <w:szCs w:val="20"/>
          <w:color w:val="auto"/>
        </w:rPr>
      </w:pPr>
    </w:p>
    <w:p>
      <w:pPr>
        <w:ind w:left="180"/>
        <w:spacing w:after="0"/>
        <w:rPr>
          <w:sz w:val="20"/>
          <w:szCs w:val="20"/>
          <w:color w:val="auto"/>
        </w:rPr>
      </w:pPr>
      <w:r>
        <w:rPr>
          <w:rFonts w:ascii="Calibri" w:cs="Calibri" w:eastAsia="Calibri" w:hAnsi="Calibri"/>
          <w:sz w:val="18"/>
          <w:szCs w:val="18"/>
          <w:color w:val="auto"/>
        </w:rPr>
        <w:t>George J. Damiris</w:t>
      </w:r>
    </w:p>
    <w:p>
      <w:pPr>
        <w:ind w:left="180"/>
        <w:spacing w:after="0" w:line="235" w:lineRule="auto"/>
        <w:rPr>
          <w:sz w:val="20"/>
          <w:szCs w:val="20"/>
          <w:color w:val="auto"/>
        </w:rPr>
      </w:pPr>
      <w:r>
        <w:rPr>
          <w:rFonts w:ascii="Calibri" w:cs="Calibri" w:eastAsia="Calibri" w:hAnsi="Calibri"/>
          <w:sz w:val="18"/>
          <w:szCs w:val="18"/>
          <w:color w:val="auto"/>
        </w:rPr>
        <w:t>Martn M. Ellen</w:t>
      </w:r>
    </w:p>
    <w:p>
      <w:pPr>
        <w:ind w:left="180"/>
        <w:spacing w:after="0" w:line="236" w:lineRule="auto"/>
        <w:rPr>
          <w:sz w:val="20"/>
          <w:szCs w:val="20"/>
          <w:color w:val="auto"/>
        </w:rPr>
      </w:pPr>
      <w:r>
        <w:rPr>
          <w:rFonts w:ascii="Calibri" w:cs="Calibri" w:eastAsia="Calibri" w:hAnsi="Calibri"/>
          <w:sz w:val="18"/>
          <w:szCs w:val="18"/>
          <w:color w:val="auto"/>
        </w:rPr>
        <w:t>David B. Powers</w:t>
      </w:r>
    </w:p>
    <w:p>
      <w:pPr>
        <w:spacing w:after="0" w:line="200" w:lineRule="exact"/>
        <w:rPr>
          <w:sz w:val="20"/>
          <w:szCs w:val="20"/>
          <w:color w:val="auto"/>
        </w:rPr>
      </w:pPr>
    </w:p>
    <w:p>
      <w:pPr>
        <w:sectPr>
          <w:pgSz w:w="11900" w:h="16838" w:orient="portrait"/>
          <w:cols w:equalWidth="0" w:num="2">
            <w:col w:w="5400" w:space="440"/>
            <w:col w:w="5260"/>
          </w:cols>
          <w:pgMar w:left="320" w:top="1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3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8"/>
          <w:szCs w:val="18"/>
          <w:b w:val="1"/>
          <w:bCs w:val="1"/>
          <w:color w:val="auto"/>
        </w:rPr>
        <w:t>Director Qualifcatons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Set forth below is informaton about the nominees standing for electon at</w:t>
      </w:r>
    </w:p>
    <w:p>
      <w:pPr>
        <w:spacing w:after="0" w:line="235" w:lineRule="auto"/>
        <w:rPr>
          <w:sz w:val="20"/>
          <w:szCs w:val="20"/>
          <w:color w:val="auto"/>
        </w:rPr>
      </w:pPr>
      <w:r>
        <w:rPr>
          <w:rFonts w:ascii="Calibri" w:cs="Calibri" w:eastAsia="Calibri" w:hAnsi="Calibri"/>
          <w:sz w:val="18"/>
          <w:szCs w:val="18"/>
          <w:color w:val="auto"/>
        </w:rPr>
        <w:t>our 2022 annual meetng, as well as our contnuing directors whose terms of</w:t>
      </w:r>
    </w:p>
    <w:p>
      <w:pPr>
        <w:spacing w:after="0" w:line="236" w:lineRule="auto"/>
        <w:rPr>
          <w:sz w:val="20"/>
          <w:szCs w:val="20"/>
          <w:color w:val="auto"/>
        </w:rPr>
      </w:pPr>
      <w:r>
        <w:rPr>
          <w:rFonts w:ascii="Calibri" w:cs="Calibri" w:eastAsia="Calibri" w:hAnsi="Calibri"/>
          <w:sz w:val="18"/>
          <w:szCs w:val="18"/>
          <w:color w:val="auto"/>
        </w:rPr>
        <w:t>ofce do not expire at such annual meetng. The biographical informaton</w:t>
      </w:r>
    </w:p>
    <w:p>
      <w:pPr>
        <w:spacing w:after="0" w:line="236" w:lineRule="auto"/>
        <w:rPr>
          <w:sz w:val="20"/>
          <w:szCs w:val="20"/>
          <w:color w:val="auto"/>
        </w:rPr>
      </w:pPr>
      <w:r>
        <w:rPr>
          <w:rFonts w:ascii="Calibri" w:cs="Calibri" w:eastAsia="Calibri" w:hAnsi="Calibri"/>
          <w:sz w:val="18"/>
          <w:szCs w:val="18"/>
          <w:color w:val="auto"/>
        </w:rPr>
        <w:t>appearing below regarding the nominees for director and contnuing</w:t>
      </w:r>
    </w:p>
    <w:p>
      <w:pPr>
        <w:spacing w:after="0" w:line="236" w:lineRule="auto"/>
        <w:rPr>
          <w:sz w:val="20"/>
          <w:szCs w:val="20"/>
          <w:color w:val="auto"/>
        </w:rPr>
      </w:pPr>
      <w:r>
        <w:rPr>
          <w:rFonts w:ascii="Calibri" w:cs="Calibri" w:eastAsia="Calibri" w:hAnsi="Calibri"/>
          <w:sz w:val="18"/>
          <w:szCs w:val="18"/>
          <w:color w:val="auto"/>
        </w:rPr>
        <w:t>directors has been furnished to us by the respectve nominees and directors.</w:t>
      </w:r>
    </w:p>
    <w:p>
      <w:pPr>
        <w:spacing w:after="0" w:line="236" w:lineRule="auto"/>
        <w:rPr>
          <w:sz w:val="20"/>
          <w:szCs w:val="20"/>
          <w:color w:val="auto"/>
        </w:rPr>
      </w:pPr>
      <w:r>
        <w:rPr>
          <w:rFonts w:ascii="Calibri" w:cs="Calibri" w:eastAsia="Calibri" w:hAnsi="Calibri"/>
          <w:sz w:val="18"/>
          <w:szCs w:val="18"/>
          <w:color w:val="auto"/>
        </w:rPr>
        <w:t>Also included below is a brief descripton of how each individual’s experience</w:t>
      </w:r>
    </w:p>
    <w:p>
      <w:pPr>
        <w:spacing w:after="0" w:line="236" w:lineRule="auto"/>
        <w:rPr>
          <w:sz w:val="20"/>
          <w:szCs w:val="20"/>
          <w:color w:val="auto"/>
        </w:rPr>
      </w:pPr>
      <w:r>
        <w:rPr>
          <w:rFonts w:ascii="Calibri" w:cs="Calibri" w:eastAsia="Calibri" w:hAnsi="Calibri"/>
          <w:sz w:val="18"/>
          <w:szCs w:val="18"/>
          <w:color w:val="auto"/>
        </w:rPr>
        <w:t>qualifes him or her to serve as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21"/>
          <w:szCs w:val="21"/>
          <w:b w:val="1"/>
          <w:bCs w:val="1"/>
          <w:color w:val="auto"/>
        </w:rPr>
        <w:t>Nominees Whose Terms Expire at our 2022 Annual Meetng</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6669405" cy="1423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9405" cy="1423035"/>
                    </a:xfrm>
                    <a:prstGeom prst="rect">
                      <a:avLst/>
                    </a:prstGeom>
                    <a:noFill/>
                  </pic:spPr>
                </pic:pic>
              </a:graphicData>
            </a:graphic>
          </wp:anchor>
        </w:drawing>
      </w:r>
    </w:p>
    <w:p>
      <w:pPr>
        <w:sectPr>
          <w:pgSz w:w="11900" w:h="16838" w:orient="portrait"/>
          <w:cols w:equalWidth="0" w:num="1">
            <w:col w:w="11240"/>
          </w:cols>
          <w:pgMar w:left="320" w:top="342" w:right="339" w:bottom="9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color w:val="auto"/>
        </w:rPr>
        <w:t>Career Highlights</w:t>
      </w:r>
      <w:r>
        <w:rPr>
          <w:rFonts w:ascii="Calibri" w:cs="Calibri" w:eastAsia="Calibri" w:hAnsi="Calibri"/>
          <w:sz w:val="18"/>
          <w:szCs w:val="18"/>
          <w:color w:val="auto"/>
        </w:rPr>
        <w:t>: Mr. Damiris served as Chief Executve Ofcer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President of HollyFronter Corporaton from 2016 through 2019 and as a director from 2015 through 2019. He previously served as Executve Vice President and Chief Operatng Ofcer from September 2014 to January 2016 and as Senior Vice President, Supply and Marketng from January 2008 untl September 2014. Prior to his retrement in 2019, Mr. Damiris also served as a director of Holly Logistcs Services, L.L.C., the general partner of the general partner of Holly Energy Partners, L.P., since February 2016, as CEO since November 2016 and as President since February 2017.</w:t>
      </w:r>
    </w:p>
    <w:p>
      <w:pPr>
        <w:spacing w:after="0" w:line="224"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b w:val="1"/>
          <w:bCs w:val="1"/>
          <w:color w:val="auto"/>
        </w:rPr>
        <w:t>Skills and Qualifcatons</w:t>
      </w:r>
      <w:r>
        <w:rPr>
          <w:rFonts w:ascii="Calibri" w:cs="Calibri" w:eastAsia="Calibri" w:hAnsi="Calibri"/>
          <w:sz w:val="18"/>
          <w:szCs w:val="18"/>
          <w:color w:val="auto"/>
        </w:rPr>
        <w:t>: Mr. Damiris brings to the Board and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Compensaton Commitee his extensive management and operatonal experience gained from his tme as a senior executve at a large, public industrial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153670</wp:posOffset>
            </wp:positionV>
            <wp:extent cx="3162935" cy="129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6293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Career Highlights</w:t>
      </w:r>
      <w:r>
        <w:rPr>
          <w:rFonts w:ascii="Calibri" w:cs="Calibri" w:eastAsia="Calibri" w:hAnsi="Calibri"/>
          <w:sz w:val="18"/>
          <w:szCs w:val="18"/>
          <w:color w:val="auto"/>
        </w:rPr>
        <w:t>: Mr. Ellen retred as Chief Financial Ofcer and Executve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Vice President at Dr Pepper Snapple Group, Inc. in July 2018, having served in that capacity since April 2010. Mr. Ellen also served as the Chief Financial Ofcer and Senior Vice President - Finance of Snap-on Inc. from November 2002 to March 2010.</w:t>
      </w:r>
    </w:p>
    <w:p>
      <w:pPr>
        <w:spacing w:after="0" w:line="220" w:lineRule="exact"/>
        <w:rPr>
          <w:sz w:val="20"/>
          <w:szCs w:val="20"/>
          <w:color w:val="auto"/>
        </w:rPr>
      </w:pPr>
    </w:p>
    <w:p>
      <w:pPr>
        <w:ind w:right="100"/>
        <w:spacing w:after="0" w:line="252" w:lineRule="auto"/>
        <w:rPr>
          <w:sz w:val="20"/>
          <w:szCs w:val="20"/>
          <w:color w:val="auto"/>
        </w:rPr>
      </w:pPr>
      <w:r>
        <w:rPr>
          <w:rFonts w:ascii="Calibri" w:cs="Calibri" w:eastAsia="Calibri" w:hAnsi="Calibri"/>
          <w:sz w:val="17"/>
          <w:szCs w:val="17"/>
          <w:b w:val="1"/>
          <w:bCs w:val="1"/>
          <w:color w:val="auto"/>
        </w:rPr>
        <w:t>Skills and Qualifcatons</w:t>
      </w:r>
      <w:r>
        <w:rPr>
          <w:rFonts w:ascii="Calibri" w:cs="Calibri" w:eastAsia="Calibri" w:hAnsi="Calibri"/>
          <w:sz w:val="17"/>
          <w:szCs w:val="17"/>
          <w:color w:val="auto"/>
        </w:rPr>
        <w:t>: Mr. Ellen brings to the Board and the Audit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Commitee his extensive management, fnance and audit experience gained from over 25 years serving as chief fnancial ofcer with public and private companies and prior experience with a major public accountng frm.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Career Highlights</w:t>
      </w:r>
      <w:r>
        <w:rPr>
          <w:rFonts w:ascii="Calibri" w:cs="Calibri" w:eastAsia="Calibri" w:hAnsi="Calibri"/>
          <w:sz w:val="18"/>
          <w:szCs w:val="18"/>
          <w:color w:val="auto"/>
        </w:rPr>
        <w:t>: Mr. Powers served as the Company’s President and Chief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Executve Ofcer from March 2016 untl his retrement on July 1, 2019. Prior to his promoton to President and Chief Executve Ofcer of the Company, Mr. Powers served as Executve Vice President – Gypsum of the Company and as President of American Gypsum Company LLC, a subsidiary of the Company (“American Gypsum”), since January 2005. Mr. Powers previously served as Executve Vice President – Marketng, Sales and Distributon of American Gypsum, beginning in June 2002.</w:t>
      </w:r>
    </w:p>
    <w:p>
      <w:pPr>
        <w:spacing w:after="0" w:line="22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color w:val="auto"/>
        </w:rPr>
        <w:t>Skills and Qualifcatons</w:t>
      </w:r>
      <w:r>
        <w:rPr>
          <w:rFonts w:ascii="Calibri" w:cs="Calibri" w:eastAsia="Calibri" w:hAnsi="Calibri"/>
          <w:sz w:val="18"/>
          <w:szCs w:val="18"/>
          <w:color w:val="auto"/>
        </w:rPr>
        <w:t>: Mr. Powers brings to the Board his extensive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executve and operatons experience in the constructon products industry, including over 35 years of experience in the gypsum wallboard industry, and his knowledge of the Company and its business and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p>
    <w:p>
      <w:pPr>
        <w:spacing w:after="0" w:line="2139" w:lineRule="exact"/>
        <w:rPr>
          <w:sz w:val="20"/>
          <w:szCs w:val="20"/>
          <w:color w:val="auto"/>
        </w:rPr>
      </w:pPr>
    </w:p>
    <w:p>
      <w:pPr>
        <w:sectPr>
          <w:pgSz w:w="11900" w:h="16838" w:orient="portrait"/>
          <w:cols w:equalWidth="0" w:num="2">
            <w:col w:w="5500" w:space="240"/>
            <w:col w:w="5500"/>
          </w:cols>
          <w:pgMar w:left="320" w:top="342" w:right="339" w:bottom="96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967" w:gutter="0" w:footer="0" w:header="0"/>
          <w:type w:val="continuous"/>
        </w:sectPr>
      </w:pPr>
    </w:p>
    <w:bookmarkStart w:id="13" w:name="page14"/>
    <w:bookmarkEnd w:id="13"/>
    <w:p>
      <w:pPr>
        <w:jc w:val="center"/>
        <w:ind w:right="-19"/>
        <w:spacing w:after="0"/>
        <w:rPr>
          <w:sz w:val="20"/>
          <w:szCs w:val="20"/>
          <w:color w:val="auto"/>
        </w:rPr>
      </w:pPr>
      <w:r>
        <w:rPr>
          <w:rFonts w:ascii="Calibri" w:cs="Calibri" w:eastAsia="Calibri" w:hAnsi="Calibri"/>
          <w:sz w:val="21"/>
          <w:szCs w:val="21"/>
          <w:b w:val="1"/>
          <w:bCs w:val="1"/>
          <w:color w:val="auto"/>
        </w:rPr>
        <w:t>Contnuing Directors Whose Terms Expire at our 2023 Annual Meetng</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(Class II Directors)</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Career Highlights</w:t>
      </w:r>
      <w:r>
        <w:rPr>
          <w:rFonts w:ascii="Calibri" w:cs="Calibri" w:eastAsia="Calibri" w:hAnsi="Calibri"/>
          <w:sz w:val="18"/>
          <w:szCs w:val="18"/>
          <w:color w:val="auto"/>
        </w:rPr>
        <w:t>: Ms. Carter has been a director of Installed Building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Products, Inc., an installer of insulaton and complementary building products, since 2014. She serves as IBP’s lead independent director, the Chair of its Nominatng and Governance Commitee and a member of the Audit Commitee. From 2010 to 2015, Ms. Carter served as Executve Vice President, Chief Legal Ofcer and Secretary for RealPage, Inc. Since 1998, Ms. Carter has served as the President and founder of Living Mountain Capital, L.L.C., a business advisory frm. She is the Chair of the NACD North Texas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-2508885</wp:posOffset>
            </wp:positionV>
            <wp:extent cx="3162935" cy="1259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62935" cy="1259840"/>
                    </a:xfrm>
                    <a:prstGeom prst="rect">
                      <a:avLst/>
                    </a:prstGeom>
                    <a:noFill/>
                  </pic:spPr>
                </pic:pic>
              </a:graphicData>
            </a:graphic>
          </wp:anchor>
        </w:drawing>
      </w:r>
    </w:p>
    <w:p>
      <w:pPr>
        <w:spacing w:after="0" w:line="204"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b w:val="1"/>
          <w:bCs w:val="1"/>
          <w:color w:val="auto"/>
        </w:rPr>
        <w:t>Skills and Qualifcatons</w:t>
      </w:r>
      <w:r>
        <w:rPr>
          <w:rFonts w:ascii="Calibri" w:cs="Calibri" w:eastAsia="Calibri" w:hAnsi="Calibri"/>
          <w:sz w:val="17"/>
          <w:szCs w:val="17"/>
          <w:color w:val="auto"/>
        </w:rPr>
        <w:t>: Ms. Carter brings to the Board and the commitees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on which she serves her proven leadership and business experience gained as a general counsel and director at other public companies. Ms. Carter also brings strategy, business development, M&amp;A experience and corporate governance and fnance knowledge gained from over 20 years of executve and board experience at other public companies.</w:t>
      </w:r>
    </w:p>
    <w:p>
      <w:pPr>
        <w:spacing w:after="0" w:line="232" w:lineRule="exact"/>
        <w:rPr>
          <w:sz w:val="20"/>
          <w:szCs w:val="20"/>
          <w:color w:val="auto"/>
        </w:rPr>
      </w:pPr>
    </w:p>
    <w:p>
      <w:pPr>
        <w:spacing w:after="0"/>
        <w:rPr>
          <w:sz w:val="20"/>
          <w:szCs w:val="20"/>
          <w:color w:val="auto"/>
        </w:rPr>
      </w:pPr>
      <w:r>
        <w:rPr>
          <w:sz w:val="1"/>
          <w:szCs w:val="1"/>
          <w:color w:val="auto"/>
        </w:rPr>
        <w:drawing>
          <wp:inline distT="0" distB="0" distL="0" distR="0">
            <wp:extent cx="3162935" cy="12573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62935" cy="1257300"/>
                    </a:xfrm>
                    <a:prstGeom prst="rect">
                      <a:avLst/>
                    </a:prstGeom>
                    <a:noFill/>
                    <a:ln>
                      <a:noFill/>
                    </a:ln>
                  </pic:spPr>
                </pic:pic>
              </a:graphicData>
            </a:graphic>
          </wp:inline>
        </w:drawing>
      </w:r>
      <w:r>
        <w:rPr>
          <w:rFonts w:ascii="Calibri" w:cs="Calibri" w:eastAsia="Calibri" w:hAnsi="Calibri"/>
          <w:sz w:val="18"/>
          <w:szCs w:val="18"/>
          <w:b w:val="1"/>
          <w:bCs w:val="1"/>
          <w:color w:val="auto"/>
        </w:rPr>
        <w:t xml:space="preserve"> Career Highlights</w:t>
      </w:r>
      <w:r>
        <w:rPr>
          <w:rFonts w:ascii="Calibri" w:cs="Calibri" w:eastAsia="Calibri" w:hAnsi="Calibri"/>
          <w:sz w:val="18"/>
          <w:szCs w:val="18"/>
          <w:color w:val="auto"/>
        </w:rPr>
        <w:t>: In January 2020, Mr. Nicolais founded and is managing partner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Roble Drive Investment Company, a private investment frm, following his retrement as Vice Chairman and Chief Executve Ofcer of Highlander Partners L.P., an investment partnership—an ofce he held from January 2017 through December 2019. Previously, Mr. Nicolais served Highlander Partners as President from April 2004 through December 2016. From August 2002 untl March 2004, Mr. Nicolais served as Managing Director of Stephens, Inc., an investment banking frm. Prior to joining Stephens, Inc., he was a partner in the private investment frm of Olivhan Investments, L.P. from March 2001 untl August 2002. From August 1986 to December 2000, he was employed by Donaldson, Lufin &amp; Jenrete Securites Corporaton’s Investment Banking Division, most recently in the positon of Managing Director and co-head of that frm’s Dallas ofce.</w:t>
      </w:r>
    </w:p>
    <w:p>
      <w:pPr>
        <w:spacing w:after="0" w:line="22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color w:val="auto"/>
        </w:rPr>
        <w:t>Skills and Qualifcatons</w:t>
      </w:r>
      <w:r>
        <w:rPr>
          <w:rFonts w:ascii="Calibri" w:cs="Calibri" w:eastAsia="Calibri" w:hAnsi="Calibri"/>
          <w:sz w:val="18"/>
          <w:szCs w:val="18"/>
          <w:color w:val="auto"/>
        </w:rPr>
        <w:t>: Mr. Nicolais brings to the Board and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commitees on which he serves his extensive knowledge of capital markets, mergers and acquisitons and fnancial analysis and fnancial oversight experience gained through his work as an investment banker and investment 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hanging="3"/>
        <w:spacing w:after="0"/>
        <w:rPr>
          <w:sz w:val="20"/>
          <w:szCs w:val="20"/>
          <w:color w:val="auto"/>
        </w:rPr>
      </w:pPr>
      <w:r>
        <w:rPr>
          <w:sz w:val="1"/>
          <w:szCs w:val="1"/>
          <w:color w:val="auto"/>
        </w:rPr>
        <w:drawing>
          <wp:inline distT="0" distB="0" distL="0" distR="0">
            <wp:extent cx="3162935" cy="12668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62935" cy="1266825"/>
                    </a:xfrm>
                    <a:prstGeom prst="rect">
                      <a:avLst/>
                    </a:prstGeom>
                    <a:noFill/>
                    <a:ln>
                      <a:noFill/>
                    </a:ln>
                  </pic:spPr>
                </pic:pic>
              </a:graphicData>
            </a:graphic>
          </wp:inline>
        </w:drawing>
      </w:r>
      <w:r>
        <w:rPr>
          <w:rFonts w:ascii="Calibri" w:cs="Calibri" w:eastAsia="Calibri" w:hAnsi="Calibri"/>
          <w:sz w:val="18"/>
          <w:szCs w:val="18"/>
          <w:b w:val="1"/>
          <w:bCs w:val="1"/>
          <w:color w:val="auto"/>
        </w:rPr>
        <w:t xml:space="preserve"> Career Highlights</w:t>
      </w:r>
      <w:r>
        <w:rPr>
          <w:rFonts w:ascii="Calibri" w:cs="Calibri" w:eastAsia="Calibri" w:hAnsi="Calibri"/>
          <w:sz w:val="18"/>
          <w:szCs w:val="18"/>
          <w:color w:val="auto"/>
        </w:rPr>
        <w:t>: In 2002, Ms. Ricciardello retred afer a 20-year career with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Reliant Energy Inc., a leading independent power producer and marketer. She served in various fnancial management positons with the company, including Comptroller, Vice President and most recently Senior Vice President and Chief Accountng Ofcer. Ms. Ricciardello served as a director of Devon Energy from 2007 to January 2021. She also served on the Noble Corporaton board from 2003 untl May 2020 and as a director of EnLink Midstream from 2014 untl 2018. She served on the board of U.S. Concrete, Inc. from 2003 untl 2010. Ms. Ricciardello currently sits on the advisory board of the NACD TriCites Chapter (Houston).</w:t>
      </w:r>
    </w:p>
    <w:p>
      <w:pPr>
        <w:spacing w:after="0" w:line="219"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color w:val="auto"/>
        </w:rPr>
        <w:t>Skills and Qualifcatons</w:t>
      </w:r>
      <w:r>
        <w:rPr>
          <w:rFonts w:ascii="Calibri" w:cs="Calibri" w:eastAsia="Calibri" w:hAnsi="Calibri"/>
          <w:sz w:val="18"/>
          <w:szCs w:val="18"/>
          <w:color w:val="auto"/>
        </w:rPr>
        <w:t>: Ms. Ricciardello is a licensed Certfed Public</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Accountant and a fnancial executve with over 30 years of experience. She brings to the Board her extensive experience with corporate fnance, accountng and tax maters and her experience as a board member for energy and constructon products companies.</w:t>
      </w:r>
    </w:p>
    <w:p>
      <w:pPr>
        <w:spacing w:after="0" w:line="243" w:lineRule="exact"/>
        <w:rPr>
          <w:sz w:val="20"/>
          <w:szCs w:val="20"/>
          <w:color w:val="auto"/>
        </w:rPr>
      </w:pPr>
    </w:p>
    <w:p>
      <w:pPr>
        <w:ind w:hanging="3"/>
        <w:spacing w:after="0" w:line="247" w:lineRule="auto"/>
        <w:rPr>
          <w:sz w:val="20"/>
          <w:szCs w:val="20"/>
          <w:color w:val="auto"/>
        </w:rPr>
      </w:pPr>
      <w:r>
        <w:rPr>
          <w:sz w:val="1"/>
          <w:szCs w:val="1"/>
          <w:color w:val="auto"/>
        </w:rPr>
        <w:drawing>
          <wp:inline distT="0" distB="0" distL="0" distR="0">
            <wp:extent cx="3162935" cy="12858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62935" cy="1285875"/>
                    </a:xfrm>
                    <a:prstGeom prst="rect">
                      <a:avLst/>
                    </a:prstGeom>
                    <a:noFill/>
                    <a:ln>
                      <a:noFill/>
                    </a:ln>
                  </pic:spPr>
                </pic:pic>
              </a:graphicData>
            </a:graphic>
          </wp:inline>
        </w:drawing>
      </w:r>
      <w:r>
        <w:rPr>
          <w:rFonts w:ascii="Calibri" w:cs="Calibri" w:eastAsia="Calibri" w:hAnsi="Calibri"/>
          <w:sz w:val="17"/>
          <w:szCs w:val="17"/>
          <w:b w:val="1"/>
          <w:bCs w:val="1"/>
          <w:color w:val="auto"/>
        </w:rPr>
        <w:t xml:space="preserve"> Career Highlights</w:t>
      </w:r>
      <w:r>
        <w:rPr>
          <w:rFonts w:ascii="Calibri" w:cs="Calibri" w:eastAsia="Calibri" w:hAnsi="Calibri"/>
          <w:sz w:val="17"/>
          <w:szCs w:val="17"/>
          <w:color w:val="auto"/>
        </w:rPr>
        <w:t>: From 1998 untl 2006 Mr. Stewart served as President and CEO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GE Aero Energy, a division of GE Power Systems and as an ofcer of General Electric Company. Mr. Stewart retred from General Electric in 2006.</w:t>
      </w:r>
    </w:p>
    <w:p>
      <w:pPr>
        <w:spacing w:after="0" w:line="1"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Mr. Stewart’s career at General Electric began in 1998 as a result of General Electric’s acquisiton of the gas turbine business of Stewart &amp; Stevenson Services, Inc. Mr. Stewart began his career at Stewart &amp; Stevenson in 1972 and while at Stewart &amp; Stevenson served in various positons including as Group President and member of the board of directors. Mr. Stewart also served as a director of Plug Power Inc. from July of 2003 to March of 2006. Mr. Stewart was a director of Lufin Industries, Inc. from 2009 untl its acquisiton by GE Oil &amp; Gas in 2013 and served a director of Exterran Corp. from 2015 to 2018.</w:t>
      </w:r>
    </w:p>
    <w:p>
      <w:pPr>
        <w:spacing w:after="0" w:line="1877" w:lineRule="exact"/>
        <w:rPr>
          <w:sz w:val="20"/>
          <w:szCs w:val="20"/>
          <w:color w:val="auto"/>
        </w:rPr>
      </w:pPr>
    </w:p>
    <w:p>
      <w:pPr>
        <w:sectPr>
          <w:pgSz w:w="11900" w:h="16838" w:orient="portrait"/>
          <w:cols w:equalWidth="0" w:num="2">
            <w:col w:w="5500" w:space="240"/>
            <w:col w:w="5500"/>
          </w:cols>
          <w:pgMar w:left="320" w:top="354" w:right="339" w:bottom="1440" w:gutter="0" w:footer="0" w:header="0"/>
          <w:type w:val="continuous"/>
        </w:sectPr>
      </w:pPr>
    </w:p>
    <w:p>
      <w:pPr>
        <w:spacing w:after="0" w:line="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14" w:name="page15"/>
    <w:bookmarkEnd w:id="14"/>
    <w:p>
      <w:pPr>
        <w:ind w:right="4679"/>
        <w:spacing w:after="0" w:line="251" w:lineRule="auto"/>
        <w:rPr>
          <w:sz w:val="20"/>
          <w:szCs w:val="20"/>
          <w:color w:val="auto"/>
        </w:rPr>
      </w:pPr>
      <w:r>
        <w:rPr>
          <w:rFonts w:ascii="Calibri" w:cs="Calibri" w:eastAsia="Calibri" w:hAnsi="Calibri"/>
          <w:sz w:val="17"/>
          <w:szCs w:val="17"/>
          <w:b w:val="1"/>
          <w:bCs w:val="1"/>
          <w:color w:val="auto"/>
        </w:rPr>
        <w:t>Skills and Qualifcatons</w:t>
      </w:r>
      <w:r>
        <w:rPr>
          <w:rFonts w:ascii="Calibri" w:cs="Calibri" w:eastAsia="Calibri" w:hAnsi="Calibri"/>
          <w:sz w:val="17"/>
          <w:szCs w:val="17"/>
          <w:color w:val="auto"/>
        </w:rPr>
        <w:t>: Mr. Stewart brings to the Board and the commitee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on which he serves his proven leadership and business experience as the former CEO of a manufacturing company. Mr. Stewart also brings corporate governance experience gained from membership on the boards of other public companies and as an ofcer with General Electric.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right"/>
        <w:ind w:right="249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47" w:right="1440" w:bottom="1440" w:gutter="0" w:footer="0" w:header="0"/>
        </w:sectPr>
      </w:pPr>
    </w:p>
    <w:bookmarkStart w:id="15" w:name="page16"/>
    <w:bookmarkEnd w:id="15"/>
    <w:p>
      <w:pPr>
        <w:jc w:val="center"/>
        <w:ind w:right="-59"/>
        <w:spacing w:after="0"/>
        <w:rPr>
          <w:sz w:val="20"/>
          <w:szCs w:val="20"/>
          <w:color w:val="auto"/>
        </w:rPr>
      </w:pPr>
      <w:r>
        <w:rPr>
          <w:rFonts w:ascii="Calibri" w:cs="Calibri" w:eastAsia="Calibri" w:hAnsi="Calibri"/>
          <w:sz w:val="21"/>
          <w:szCs w:val="21"/>
          <w:b w:val="1"/>
          <w:bCs w:val="1"/>
          <w:color w:val="auto"/>
        </w:rPr>
        <w:t>Contnuing Directors Whose Terms Expire at our 2024 Annual Meetng</w:t>
      </w:r>
    </w:p>
    <w:p>
      <w:pPr>
        <w:spacing w:after="0" w:line="1" w:lineRule="exact"/>
        <w:rPr>
          <w:sz w:val="20"/>
          <w:szCs w:val="20"/>
          <w:color w:val="auto"/>
        </w:rPr>
      </w:pPr>
    </w:p>
    <w:p>
      <w:pPr>
        <w:jc w:val="center"/>
        <w:ind w:right="-59"/>
        <w:spacing w:after="0"/>
        <w:rPr>
          <w:sz w:val="20"/>
          <w:szCs w:val="20"/>
          <w:color w:val="auto"/>
        </w:rPr>
      </w:pPr>
      <w:r>
        <w:rPr>
          <w:rFonts w:ascii="Calibri" w:cs="Calibri" w:eastAsia="Calibri" w:hAnsi="Calibri"/>
          <w:sz w:val="22"/>
          <w:szCs w:val="22"/>
          <w:b w:val="1"/>
          <w:bCs w:val="1"/>
          <w:color w:val="auto"/>
        </w:rPr>
        <w:t>(Class III Directors)</w:t>
      </w:r>
    </w:p>
    <w:p>
      <w:pPr>
        <w:sectPr>
          <w:pgSz w:w="11900" w:h="16838" w:orient="portrait"/>
          <w:cols w:equalWidth="0" w:num="1">
            <w:col w:w="11200"/>
          </w:cols>
          <w:pgMar w:left="320" w:top="35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49" w:lineRule="auto"/>
        <w:rPr>
          <w:sz w:val="20"/>
          <w:szCs w:val="20"/>
          <w:color w:val="auto"/>
        </w:rPr>
      </w:pPr>
      <w:r>
        <w:rPr>
          <w:rFonts w:ascii="Calibri" w:cs="Calibri" w:eastAsia="Calibri" w:hAnsi="Calibri"/>
          <w:sz w:val="17"/>
          <w:szCs w:val="17"/>
          <w:b w:val="1"/>
          <w:bCs w:val="1"/>
          <w:color w:val="auto"/>
        </w:rPr>
        <w:t>Career Highlights</w:t>
      </w:r>
      <w:r>
        <w:rPr>
          <w:rFonts w:ascii="Calibri" w:cs="Calibri" w:eastAsia="Calibri" w:hAnsi="Calibri"/>
          <w:sz w:val="17"/>
          <w:szCs w:val="17"/>
          <w:color w:val="auto"/>
        </w:rPr>
        <w:t>: Mr. Beckwit is the Co-Chief Executve Ofcer and Co-President of Lennar Corporaton, positons he has held since November 2020. He also serves on the Lennar Board of Directors. He joined Lennar in March 2006 as an Executve Vice President, became President in April 2011 and was promoted to CEO in April 2018. Mr. Beckwit served on the Board of Directors of D.R. Horton, Inc. from 1993 to November 2003. From 1993 to March 2000, he held various executve ofcer positons at D.R. Horton, including President of the Company. From March 2000 to April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-2399030</wp:posOffset>
            </wp:positionV>
            <wp:extent cx="3162935" cy="128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62935" cy="1285875"/>
                    </a:xfrm>
                    <a:prstGeom prst="rect">
                      <a:avLst/>
                    </a:prstGeom>
                    <a:noFill/>
                  </pic:spPr>
                </pic:pic>
              </a:graphicData>
            </a:graphic>
          </wp:anchor>
        </w:drawing>
      </w:r>
    </w:p>
    <w:p>
      <w:pPr>
        <w:ind w:right="40"/>
        <w:spacing w:after="0" w:line="235" w:lineRule="auto"/>
        <w:rPr>
          <w:sz w:val="20"/>
          <w:szCs w:val="20"/>
          <w:color w:val="auto"/>
        </w:rPr>
      </w:pPr>
      <w:r>
        <w:rPr>
          <w:rFonts w:ascii="Calibri" w:cs="Calibri" w:eastAsia="Calibri" w:hAnsi="Calibri"/>
          <w:sz w:val="18"/>
          <w:szCs w:val="18"/>
          <w:color w:val="auto"/>
        </w:rPr>
        <w:t>Mr. Beckwit was the owner and principal of EVP Capital, L.P., a venture capital and real estate advisory company. From 1986 to 1993, Mr. Beckwit worked in the Mergers and Acquisitons and Corporate Finance Departments at Lehman Brothers. Mr. Beckwit also served as a director of Five Point Holdings from May 2016 to June 2020.</w:t>
      </w:r>
    </w:p>
    <w:p>
      <w:pPr>
        <w:spacing w:after="0" w:line="220"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color w:val="auto"/>
        </w:rPr>
        <w:t>Skills and Qualifcatons</w:t>
      </w:r>
      <w:r>
        <w:rPr>
          <w:rFonts w:ascii="Calibri" w:cs="Calibri" w:eastAsia="Calibri" w:hAnsi="Calibri"/>
          <w:sz w:val="18"/>
          <w:szCs w:val="18"/>
          <w:color w:val="auto"/>
        </w:rPr>
        <w:t>: Mr. Beckwit brings to the Board and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commitee on which he serves his extensive executve experience gained through his service as the Chief Executve Ofcer and executve ofcer of public companies within the homebuilding industry, as well as fnance-related experience with a major investment banking frm.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162935" cy="128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62935" cy="128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color w:val="auto"/>
        </w:rPr>
        <w:t>Career Highlights</w:t>
      </w:r>
      <w:r>
        <w:rPr>
          <w:rFonts w:ascii="Calibri" w:cs="Calibri" w:eastAsia="Calibri" w:hAnsi="Calibri"/>
          <w:sz w:val="18"/>
          <w:szCs w:val="18"/>
          <w:color w:val="auto"/>
        </w:rPr>
        <w:t>: Mr. Gregorio is the President of Performance Materials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Coatngs at Dow. With annual sales of $9 billion, this business provides innovatve solutons to global markets in infrastructure and transportaton as well as other segments. Mr. Gregorio also has executve oversight for Dow’s business in the Latn America Region. Mr. Gregorio joined Dow in 1984. He has signifcant market and internatonal experience afer working at several Dow locatons globally. He has been recognized as #1 on the Empower Top 100 Ethnic Minority Senior Business Leader Role Models list for 2020.</w:t>
      </w:r>
    </w:p>
    <w:p>
      <w:pPr>
        <w:spacing w:after="0" w:line="224"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Skills and Qualifcatons</w:t>
      </w:r>
      <w:r>
        <w:rPr>
          <w:rFonts w:ascii="Calibri" w:cs="Calibri" w:eastAsia="Calibri" w:hAnsi="Calibri"/>
          <w:sz w:val="18"/>
          <w:szCs w:val="18"/>
          <w:color w:val="auto"/>
        </w:rPr>
        <w:t>: Mr. Gregorio, a senior executve at a global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manufacturing company, brings to the Board and the commitee on which he serves extensive executve and industrial business management experience acquired through several assignments that included supply chain, commercial, innovaton and M&amp;A transactons. We also beneft from his experience and reputaton building inclusive growth-oriented organizatons.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292100</wp:posOffset>
            </wp:positionV>
            <wp:extent cx="3162935" cy="1259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6293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color w:val="auto"/>
        </w:rPr>
        <w:t>Career Highlights</w:t>
      </w:r>
      <w:r>
        <w:rPr>
          <w:rFonts w:ascii="Calibri" w:cs="Calibri" w:eastAsia="Calibri" w:hAnsi="Calibri"/>
          <w:sz w:val="18"/>
          <w:szCs w:val="18"/>
          <w:color w:val="auto"/>
        </w:rPr>
        <w:t>: Mr. Haack has been the Company’s President and Chief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Executve Ofcer since July 1, 2019. Prior to that tme, he has served as President and Chief Operatng Ofcer since August 2018 and was Executve Vice President and Chief Operatng Ofcer from December 2014 through August 2018. Mr. Haack was employed at Halliburton Energy Services for the 17 years prior to joining the Company, most recently as Global Operatons Manager at Halliburton’s Sperry Drilling division.</w:t>
      </w:r>
    </w:p>
    <w:p>
      <w:pPr>
        <w:spacing w:after="0" w:line="222" w:lineRule="exact"/>
        <w:rPr>
          <w:sz w:val="20"/>
          <w:szCs w:val="20"/>
          <w:color w:val="auto"/>
        </w:rPr>
      </w:pPr>
    </w:p>
    <w:p>
      <w:pPr>
        <w:ind w:right="40"/>
        <w:spacing w:after="0" w:line="254" w:lineRule="auto"/>
        <w:rPr>
          <w:sz w:val="20"/>
          <w:szCs w:val="20"/>
          <w:color w:val="auto"/>
        </w:rPr>
      </w:pPr>
      <w:r>
        <w:rPr>
          <w:rFonts w:ascii="Calibri" w:cs="Calibri" w:eastAsia="Calibri" w:hAnsi="Calibri"/>
          <w:sz w:val="17"/>
          <w:szCs w:val="17"/>
          <w:b w:val="1"/>
          <w:bCs w:val="1"/>
          <w:color w:val="auto"/>
        </w:rPr>
        <w:t>Skills and Qualifcatons</w:t>
      </w:r>
      <w:r>
        <w:rPr>
          <w:rFonts w:ascii="Calibri" w:cs="Calibri" w:eastAsia="Calibri" w:hAnsi="Calibri"/>
          <w:sz w:val="17"/>
          <w:szCs w:val="17"/>
          <w:color w:val="auto"/>
        </w:rPr>
        <w:t>: Mr. Haack brings to the Board his extensive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knowledge of the Company’s operatons, as well as his executve and operatons experience gained in heavy industry over the previous 20 years.</w:t>
      </w:r>
    </w:p>
    <w:p>
      <w:pPr>
        <w:spacing w:after="0" w:line="200" w:lineRule="exact"/>
        <w:rPr>
          <w:sz w:val="20"/>
          <w:szCs w:val="20"/>
          <w:color w:val="auto"/>
        </w:rPr>
      </w:pPr>
    </w:p>
    <w:p>
      <w:pPr>
        <w:sectPr>
          <w:pgSz w:w="11900" w:h="16838" w:orient="portrait"/>
          <w:cols w:equalWidth="0" w:num="2">
            <w:col w:w="5340" w:space="500"/>
            <w:col w:w="5360"/>
          </w:cols>
          <w:pgMar w:left="320" w:top="354" w:right="37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3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8"/>
          <w:szCs w:val="18"/>
          <w:b w:val="1"/>
          <w:bCs w:val="1"/>
          <w:color w:val="auto"/>
        </w:rPr>
        <w:t>Board Meetngs and Atendance Records</w:t>
      </w:r>
    </w:p>
    <w:p>
      <w:pPr>
        <w:spacing w:after="0" w:line="109" w:lineRule="exact"/>
        <w:rPr>
          <w:sz w:val="20"/>
          <w:szCs w:val="20"/>
          <w:color w:val="auto"/>
        </w:rPr>
      </w:pPr>
    </w:p>
    <w:p>
      <w:pPr>
        <w:ind w:right="4639"/>
        <w:spacing w:after="0" w:line="235" w:lineRule="auto"/>
        <w:rPr>
          <w:sz w:val="20"/>
          <w:szCs w:val="20"/>
          <w:color w:val="auto"/>
        </w:rPr>
      </w:pPr>
      <w:r>
        <w:rPr>
          <w:rFonts w:ascii="Calibri" w:cs="Calibri" w:eastAsia="Calibri" w:hAnsi="Calibri"/>
          <w:sz w:val="18"/>
          <w:szCs w:val="18"/>
          <w:color w:val="auto"/>
        </w:rPr>
        <w:t>During the Company’s fscal year ended March 31, 2022, our Board of Directors held four regularly scheduled meetngs and no special meetngs. During such fscal year, all of the incumbent directors atended at least 75% of the meetngs of the Board and the commitees of the Board on which they served. In accordance with our informal policy, we antcipate that all contnuing directors and nominees will atend our 2022 annual stockholders meetng. All of our then-current directors atended our 2021 annual meetng. We strongly encourage all directors to atend our stockholder meetngs. Our non-employee directors (which currently consttute all our directors, except for Mr. Haack) meet immediately afer all Board meetngs without management present. The Chairman presides at all executve sessions of the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right"/>
        <w:ind w:right="245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42" w:right="1440" w:bottom="1440" w:gutter="0" w:footer="0" w:header="0"/>
        </w:sectPr>
      </w:pPr>
    </w:p>
    <w:bookmarkStart w:id="17" w:name="page18"/>
    <w:bookmarkEnd w:id="17"/>
    <w:p>
      <w:pPr>
        <w:jc w:val="center"/>
        <w:ind w:right="-59"/>
        <w:spacing w:after="0"/>
        <w:rPr>
          <w:sz w:val="20"/>
          <w:szCs w:val="20"/>
          <w:color w:val="auto"/>
        </w:rPr>
      </w:pPr>
      <w:r>
        <w:rPr>
          <w:rFonts w:ascii="Calibri" w:cs="Calibri" w:eastAsia="Calibri" w:hAnsi="Calibri"/>
          <w:sz w:val="25"/>
          <w:szCs w:val="25"/>
          <w:b w:val="1"/>
          <w:bCs w:val="1"/>
          <w:color w:val="4472C4"/>
        </w:rPr>
        <w:t>BOARD COMPENSATION</w:t>
      </w:r>
    </w:p>
    <w:p>
      <w:pPr>
        <w:sectPr>
          <w:pgSz w:w="11900" w:h="16838" w:orient="portrait"/>
          <w:cols w:equalWidth="0" w:num="1">
            <w:col w:w="11200"/>
          </w:cols>
          <w:pgMar w:left="320" w:top="342" w:right="37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Board compensaton for the 12-month period from August 2021 through July 2022 was approved by our Board of Directors in August 2021. The Board adopted a director compensaton structure in which directors who are not employees of the Company or any of our subsidiaries received compensaton for their services during the 12-month period from August 2021 through July 2022 by electng one of the following two compensaton package alternatves:</w:t>
      </w:r>
    </w:p>
    <w:p>
      <w:pPr>
        <w:spacing w:after="0" w:line="114" w:lineRule="exact"/>
        <w:rPr>
          <w:sz w:val="20"/>
          <w:szCs w:val="20"/>
          <w:color w:val="auto"/>
        </w:rPr>
      </w:pPr>
    </w:p>
    <w:p>
      <w:pPr>
        <w:ind w:left="220" w:right="100" w:hanging="201"/>
        <w:spacing w:after="0" w:line="235" w:lineRule="auto"/>
        <w:rPr>
          <w:sz w:val="20"/>
          <w:szCs w:val="20"/>
          <w:color w:val="auto"/>
        </w:rPr>
      </w:pPr>
      <w:r>
        <w:rPr>
          <w:rFonts w:ascii="Calibri" w:cs="Calibri" w:eastAsia="Calibri" w:hAnsi="Calibri"/>
          <w:sz w:val="18"/>
          <w:szCs w:val="18"/>
          <w:color w:val="auto"/>
        </w:rPr>
        <w:t>(1)total compensaton valued at $230,000, of which $105,000 is paid in cash and the remainder is provided in the form of an equity grant valued at $125,000; or</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(2)an equity grant valued at $261,500.</w:t>
      </w:r>
    </w:p>
    <w:p>
      <w:pPr>
        <w:spacing w:after="0" w:line="21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grant date value of the equity grant under either alternatve is allocated between restricted stock and optons to purchase Common Stock (based upon the recommendaton of the Compensaton Commitee) with respect to each non-employee director.</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accordance with the terms of the Eagle Materials Inc. Amended and Restated Incentve Plan, which we refer to as our “Incentve Plan,” the exercise price of stock optons is set at the closing price of the Common Stock on the NYSE on the date of grant. The number of opton shares granted is determined as of the date of grant by using the Black-Scholes method. All the optons granted to directors in August 2021 were fully exercisable when granted and have a ten-year term.</w:t>
      </w:r>
    </w:p>
    <w:p>
      <w:pPr>
        <w:spacing w:after="0" w:line="22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number of shares of restricted stock is determined as of the date of grant using the closing price of the Common Stock on the NYSE on the date of grant. The restricted stock granted to directors in August 2021 was earned at the tme of grant; however, the shares did not become fully vested (unrestricted) untl the earliest to occur of (i) February 3, 2022; (ii) the recipient’s retrement from the Board in accordance with the Company’s director retrement policy, or under such circumstances as are approved by the Compensaton Commitee; or (iii) the recipient’s death. During the restricton period the director will have the right to vote the shares. In additon, the director will also be enttled to cash dividends as and when the Company issues a cash dividend on the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Non-employee directors who chair commitees of the Board of Directors receive additonal annual compensaton. The chairs of the Audit Commitee, Compensaton Commitee and Governance Commitee each receive a fee of $20,000 per year. The Chairman of the Board received a fee of $125,000 during the past year. Chairpersons who choose compensaton package alternatve one (part equity and part cash) receive this additonal compensaton in the form of cash. Chairpersons who choose compensaton package alternatve two (all equity) receive this additonal compensaton in the form of equity, in which case a 30% premium is added to such fees when valuing the equity to be received by such chairperson.</w:t>
      </w:r>
    </w:p>
    <w:p>
      <w:pPr>
        <w:spacing w:after="0" w:line="22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If non-employee directors hold unvested restricted stock units, which we refer to as “RSUs,” granted as part of director compensaton in prior fscal years (which currently only includes Mr. Nicolais), these directors will receive dividend equivalent units as and when the Company pays a cash dividend on the Common Stock in accordance with the terms of the RSUs.</w:t>
      </w:r>
    </w:p>
    <w:p>
      <w:pPr>
        <w:spacing w:after="0" w:line="220" w:lineRule="exact"/>
        <w:rPr>
          <w:sz w:val="20"/>
          <w:szCs w:val="20"/>
          <w:color w:val="auto"/>
        </w:rPr>
      </w:pPr>
    </w:p>
    <w:p>
      <w:pPr>
        <w:spacing w:after="0"/>
        <w:rPr>
          <w:sz w:val="20"/>
          <w:szCs w:val="20"/>
          <w:color w:val="auto"/>
        </w:rPr>
      </w:pPr>
      <w:r>
        <w:rPr>
          <w:rFonts w:ascii="Calibri" w:cs="Calibri" w:eastAsia="Calibri" w:hAnsi="Calibri"/>
          <w:sz w:val="17"/>
          <w:szCs w:val="17"/>
          <w:color w:val="auto"/>
        </w:rPr>
        <w:t>All directors are reimbursed for reasonable expenses of atending meetngs.</w:t>
      </w:r>
    </w:p>
    <w:p>
      <w:pPr>
        <w:spacing w:after="0" w:line="3888" w:lineRule="exact"/>
        <w:rPr>
          <w:sz w:val="20"/>
          <w:szCs w:val="20"/>
          <w:color w:val="auto"/>
        </w:rPr>
      </w:pPr>
    </w:p>
    <w:p>
      <w:pPr>
        <w:sectPr>
          <w:pgSz w:w="11900" w:h="16838" w:orient="portrait"/>
          <w:cols w:equalWidth="0" w:num="2">
            <w:col w:w="5520" w:space="220"/>
            <w:col w:w="5460"/>
          </w:cols>
          <w:pgMar w:left="320" w:top="342" w:right="379" w:bottom="1440" w:gutter="0" w:footer="0" w:header="0"/>
          <w:type w:val="continuous"/>
        </w:sectPr>
      </w:pPr>
    </w:p>
    <w:p>
      <w:pPr>
        <w:ind w:left="4060"/>
        <w:spacing w:after="0" w:line="237" w:lineRule="auto"/>
        <w:rPr>
          <w:sz w:val="20"/>
          <w:szCs w:val="20"/>
          <w:color w:val="auto"/>
        </w:rPr>
      </w:pPr>
      <w:r>
        <w:rPr>
          <w:rFonts w:ascii="Calibri" w:cs="Calibri" w:eastAsia="Calibri" w:hAnsi="Calibri"/>
          <w:sz w:val="20"/>
          <w:szCs w:val="20"/>
          <w:color w:val="auto"/>
        </w:rPr>
        <w:t>_______________________________</w:t>
      </w:r>
    </w:p>
    <w:p>
      <w:pPr>
        <w:jc w:val="center"/>
        <w:ind w:right="-39"/>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type w:val="continuous"/>
        </w:sectPr>
      </w:pPr>
    </w:p>
    <w:bookmarkStart w:id="18" w:name="page19"/>
    <w:bookmarkEnd w:id="18"/>
    <w:p>
      <w:pPr>
        <w:jc w:val="center"/>
        <w:ind w:right="-19"/>
        <w:spacing w:after="0"/>
        <w:rPr>
          <w:sz w:val="20"/>
          <w:szCs w:val="20"/>
          <w:color w:val="auto"/>
        </w:rPr>
      </w:pPr>
      <w:r>
        <w:rPr>
          <w:rFonts w:ascii="Calibri" w:cs="Calibri" w:eastAsia="Calibri" w:hAnsi="Calibri"/>
          <w:sz w:val="18"/>
          <w:szCs w:val="18"/>
          <w:b w:val="1"/>
          <w:bCs w:val="1"/>
          <w:color w:val="auto"/>
        </w:rPr>
        <w:t>Non-Employee Director Compensaton for Fiscal Year 2022</w:t>
      </w:r>
    </w:p>
    <w:p>
      <w:pPr>
        <w:spacing w:after="0" w:line="212"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The table below summarizes the compensaton paid by the Company to our non-employee directors for the fscal year ended March 31,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Calibri" w:cs="Calibri" w:eastAsia="Calibri" w:hAnsi="Calibri"/>
                <w:sz w:val="14"/>
                <w:szCs w:val="14"/>
                <w:b w:val="1"/>
                <w:bCs w:val="1"/>
                <w:color w:val="auto"/>
              </w:rPr>
              <w:t>Change in Pension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Value and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Nonqualifed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Fees Earned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Calibri" w:cs="Calibri" w:eastAsia="Calibri" w:hAnsi="Calibri"/>
                <w:sz w:val="14"/>
                <w:szCs w:val="14"/>
                <w:b w:val="1"/>
                <w:bCs w:val="1"/>
                <w:color w:val="auto"/>
              </w:rPr>
              <w:t>Non-Equity</w:t>
            </w:r>
          </w:p>
        </w:tc>
        <w:tc>
          <w:tcPr>
            <w:tcW w:w="2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Deferred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3"/>
              <w:spacing w:after="0"/>
              <w:rPr>
                <w:sz w:val="20"/>
                <w:szCs w:val="20"/>
                <w:color w:val="auto"/>
              </w:rPr>
            </w:pPr>
            <w:r>
              <w:rPr>
                <w:rFonts w:ascii="Calibri" w:cs="Calibri" w:eastAsia="Calibri" w:hAnsi="Calibri"/>
                <w:sz w:val="14"/>
                <w:szCs w:val="14"/>
                <w:b w:val="1"/>
                <w:bCs w:val="1"/>
                <w:color w:val="auto"/>
                <w:w w:val="95"/>
              </w:rPr>
              <w:t>or</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Stock</w:t>
            </w:r>
          </w:p>
        </w:tc>
        <w:tc>
          <w:tcPr>
            <w:tcW w:w="2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Opton</w:t>
            </w:r>
          </w:p>
        </w:tc>
        <w:tc>
          <w:tcPr>
            <w:tcW w:w="880" w:type="dxa"/>
            <w:vAlign w:val="bottom"/>
          </w:tcPr>
          <w:p>
            <w:pPr>
              <w:jc w:val="center"/>
              <w:spacing w:after="0"/>
              <w:rPr>
                <w:sz w:val="20"/>
                <w:szCs w:val="20"/>
                <w:color w:val="auto"/>
              </w:rPr>
            </w:pPr>
            <w:r>
              <w:rPr>
                <w:rFonts w:ascii="Calibri" w:cs="Calibri" w:eastAsia="Calibri" w:hAnsi="Calibri"/>
                <w:sz w:val="14"/>
                <w:szCs w:val="14"/>
                <w:b w:val="1"/>
                <w:bCs w:val="1"/>
                <w:color w:val="auto"/>
              </w:rPr>
              <w:t>Incentve Plan</w:t>
            </w:r>
          </w:p>
        </w:tc>
        <w:tc>
          <w:tcPr>
            <w:tcW w:w="2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Compensaton</w:t>
            </w:r>
          </w:p>
        </w:tc>
        <w:tc>
          <w:tcPr>
            <w:tcW w:w="1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All Other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Paid in Cash</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Awards</w:t>
            </w:r>
          </w:p>
        </w:tc>
        <w:tc>
          <w:tcPr>
            <w:tcW w:w="2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Awards</w:t>
            </w:r>
          </w:p>
        </w:tc>
        <w:tc>
          <w:tcPr>
            <w:tcW w:w="880" w:type="dxa"/>
            <w:vAlign w:val="bottom"/>
          </w:tcPr>
          <w:p>
            <w:pPr>
              <w:jc w:val="center"/>
              <w:spacing w:after="0"/>
              <w:rPr>
                <w:sz w:val="20"/>
                <w:szCs w:val="20"/>
                <w:color w:val="auto"/>
              </w:rPr>
            </w:pPr>
            <w:r>
              <w:rPr>
                <w:rFonts w:ascii="Calibri" w:cs="Calibri" w:eastAsia="Calibri" w:hAnsi="Calibri"/>
                <w:sz w:val="14"/>
                <w:szCs w:val="14"/>
                <w:b w:val="1"/>
                <w:bCs w:val="1"/>
                <w:color w:val="auto"/>
              </w:rPr>
              <w:t>Compensaton</w:t>
            </w:r>
          </w:p>
        </w:tc>
        <w:tc>
          <w:tcPr>
            <w:tcW w:w="2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Earnings</w:t>
            </w:r>
          </w:p>
        </w:tc>
        <w:tc>
          <w:tcPr>
            <w:tcW w:w="110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Compensaton</w:t>
            </w:r>
          </w:p>
        </w:tc>
        <w:tc>
          <w:tcPr>
            <w:tcW w:w="1000" w:type="dxa"/>
            <w:vAlign w:val="bottom"/>
            <w:gridSpan w:val="2"/>
          </w:tcPr>
          <w:p>
            <w:pPr>
              <w:ind w:left="300"/>
              <w:spacing w:after="0"/>
              <w:rPr>
                <w:sz w:val="20"/>
                <w:szCs w:val="20"/>
                <w:color w:val="auto"/>
              </w:rPr>
            </w:pPr>
            <w:r>
              <w:rPr>
                <w:rFonts w:ascii="Calibri" w:cs="Calibri" w:eastAsia="Calibri" w:hAnsi="Calibri"/>
                <w:sz w:val="14"/>
                <w:szCs w:val="14"/>
                <w:b w:val="1"/>
                <w:bCs w:val="1"/>
                <w:color w:val="auto"/>
              </w:rPr>
              <w:t>Total</w:t>
            </w:r>
          </w:p>
        </w:tc>
      </w:tr>
      <w:tr>
        <w:trPr>
          <w:trHeight w:val="156"/>
        </w:trPr>
        <w:tc>
          <w:tcPr>
            <w:tcW w:w="2520" w:type="dxa"/>
            <w:vAlign w:val="bottom"/>
            <w:gridSpan w:val="2"/>
          </w:tcPr>
          <w:p>
            <w:pPr>
              <w:spacing w:after="0" w:line="156" w:lineRule="exact"/>
              <w:rPr>
                <w:sz w:val="20"/>
                <w:szCs w:val="20"/>
                <w:color w:val="auto"/>
              </w:rPr>
            </w:pPr>
            <w:r>
              <w:rPr>
                <w:rFonts w:ascii="Calibri" w:cs="Calibri" w:eastAsia="Calibri" w:hAnsi="Calibri"/>
                <w:sz w:val="14"/>
                <w:szCs w:val="14"/>
                <w:b w:val="1"/>
                <w:bCs w:val="1"/>
                <w:color w:val="auto"/>
              </w:rPr>
              <w:t>Name</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3"/>
              <w:spacing w:after="0" w:line="156" w:lineRule="exact"/>
              <w:rPr>
                <w:sz w:val="20"/>
                <w:szCs w:val="20"/>
                <w:color w:val="auto"/>
              </w:rPr>
            </w:pPr>
            <w:r>
              <w:rPr>
                <w:rFonts w:ascii="Calibri" w:cs="Calibri" w:eastAsia="Calibri" w:hAnsi="Calibri"/>
                <w:sz w:val="14"/>
                <w:szCs w:val="14"/>
                <w:b w:val="1"/>
                <w:bCs w:val="1"/>
                <w:color w:val="auto"/>
              </w:rPr>
              <w:t>($)</w:t>
            </w:r>
          </w:p>
        </w:tc>
        <w:tc>
          <w:tcPr>
            <w:tcW w:w="1120" w:type="dxa"/>
            <w:vAlign w:val="bottom"/>
            <w:gridSpan w:val="2"/>
          </w:tcPr>
          <w:p>
            <w:pPr>
              <w:jc w:val="center"/>
              <w:ind w:left="133"/>
              <w:spacing w:after="0" w:line="156" w:lineRule="exact"/>
              <w:rPr>
                <w:sz w:val="20"/>
                <w:szCs w:val="20"/>
                <w:color w:val="auto"/>
              </w:rPr>
            </w:pPr>
            <w:r>
              <w:rPr>
                <w:rFonts w:ascii="Calibri" w:cs="Calibri" w:eastAsia="Calibri" w:hAnsi="Calibri"/>
                <w:sz w:val="11"/>
                <w:szCs w:val="11"/>
                <w:b w:val="1"/>
                <w:bCs w:val="1"/>
                <w:color w:val="auto"/>
              </w:rPr>
              <w:t>($)</w:t>
            </w:r>
            <w:r>
              <w:rPr>
                <w:rFonts w:ascii="Calibri" w:cs="Calibri" w:eastAsia="Calibri" w:hAnsi="Calibri"/>
                <w:sz w:val="17"/>
                <w:szCs w:val="17"/>
                <w:b w:val="1"/>
                <w:bCs w:val="1"/>
                <w:color w:val="auto"/>
                <w:vertAlign w:val="superscript"/>
              </w:rPr>
              <w:t>(1)</w:t>
            </w:r>
          </w:p>
        </w:tc>
        <w:tc>
          <w:tcPr>
            <w:tcW w:w="1100" w:type="dxa"/>
            <w:vAlign w:val="bottom"/>
            <w:gridSpan w:val="2"/>
          </w:tcPr>
          <w:p>
            <w:pPr>
              <w:jc w:val="center"/>
              <w:ind w:left="116"/>
              <w:spacing w:after="0" w:line="156"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3"/>
                <w:szCs w:val="13"/>
                <w:color w:val="auto"/>
              </w:rPr>
            </w:pPr>
          </w:p>
        </w:tc>
        <w:tc>
          <w:tcPr>
            <w:tcW w:w="880" w:type="dxa"/>
            <w:vAlign w:val="bottom"/>
          </w:tcPr>
          <w:p>
            <w:pPr>
              <w:jc w:val="center"/>
              <w:spacing w:after="0" w:line="156" w:lineRule="exact"/>
              <w:rPr>
                <w:sz w:val="20"/>
                <w:szCs w:val="20"/>
                <w:color w:val="auto"/>
              </w:rPr>
            </w:pPr>
            <w:r>
              <w:rPr>
                <w:rFonts w:ascii="Calibri" w:cs="Calibri" w:eastAsia="Calibri" w:hAnsi="Calibri"/>
                <w:sz w:val="14"/>
                <w:szCs w:val="14"/>
                <w:b w:val="1"/>
                <w:bCs w:val="1"/>
                <w:color w:val="auto"/>
              </w:rPr>
              <w:t>($)</w:t>
            </w:r>
          </w:p>
        </w:tc>
        <w:tc>
          <w:tcPr>
            <w:tcW w:w="1320" w:type="dxa"/>
            <w:vAlign w:val="bottom"/>
            <w:gridSpan w:val="2"/>
          </w:tcPr>
          <w:p>
            <w:pPr>
              <w:jc w:val="center"/>
              <w:ind w:left="128"/>
              <w:spacing w:after="0" w:line="156"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4"/>
              <w:spacing w:after="0" w:line="156" w:lineRule="exact"/>
              <w:rPr>
                <w:sz w:val="20"/>
                <w:szCs w:val="20"/>
                <w:color w:val="auto"/>
              </w:rPr>
            </w:pPr>
            <w:r>
              <w:rPr>
                <w:rFonts w:ascii="Calibri" w:cs="Calibri" w:eastAsia="Calibri" w:hAnsi="Calibri"/>
                <w:sz w:val="11"/>
                <w:szCs w:val="11"/>
                <w:b w:val="1"/>
                <w:bCs w:val="1"/>
                <w:color w:val="auto"/>
              </w:rPr>
              <w:t>($)</w:t>
            </w:r>
            <w:r>
              <w:rPr>
                <w:rFonts w:ascii="Calibri" w:cs="Calibri" w:eastAsia="Calibri" w:hAnsi="Calibri"/>
                <w:sz w:val="17"/>
                <w:szCs w:val="17"/>
                <w:b w:val="1"/>
                <w:bCs w:val="1"/>
                <w:color w:val="auto"/>
                <w:vertAlign w:val="superscript"/>
              </w:rPr>
              <w:t>(2)</w:t>
            </w:r>
          </w:p>
        </w:tc>
        <w:tc>
          <w:tcPr>
            <w:tcW w:w="220" w:type="dxa"/>
            <w:vAlign w:val="bottom"/>
          </w:tcPr>
          <w:p>
            <w:pPr>
              <w:spacing w:after="0"/>
              <w:rPr>
                <w:sz w:val="13"/>
                <w:szCs w:val="13"/>
                <w:color w:val="auto"/>
              </w:rPr>
            </w:pPr>
          </w:p>
        </w:tc>
        <w:tc>
          <w:tcPr>
            <w:tcW w:w="900" w:type="dxa"/>
            <w:vAlign w:val="bottom"/>
          </w:tcPr>
          <w:p>
            <w:pPr>
              <w:jc w:val="right"/>
              <w:ind w:right="293"/>
              <w:spacing w:after="0" w:line="156"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3"/>
                <w:szCs w:val="13"/>
                <w:color w:val="auto"/>
              </w:rPr>
            </w:pPr>
          </w:p>
        </w:tc>
      </w:tr>
      <w:tr>
        <w:trPr>
          <w:trHeight w:val="21"/>
        </w:trPr>
        <w:tc>
          <w:tcPr>
            <w:tcW w:w="360" w:type="dxa"/>
            <w:vAlign w:val="bottom"/>
            <w:tcBorders>
              <w:top w:val="single" w:sz="8" w:color="auto"/>
              <w:bottom w:val="single" w:sz="8" w:color="CFF0FC"/>
            </w:tcBorders>
          </w:tcPr>
          <w:p>
            <w:pPr>
              <w:spacing w:after="0" w:line="20" w:lineRule="exact"/>
              <w:rPr>
                <w:sz w:val="1"/>
                <w:szCs w:val="1"/>
                <w:color w:val="auto"/>
              </w:rPr>
            </w:pPr>
          </w:p>
        </w:tc>
        <w:tc>
          <w:tcPr>
            <w:tcW w:w="216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2520" w:type="dxa"/>
            <w:vAlign w:val="bottom"/>
            <w:gridSpan w:val="2"/>
            <w:shd w:val="clear" w:color="auto" w:fill="CFF0FC"/>
          </w:tcPr>
          <w:p>
            <w:pPr>
              <w:spacing w:after="0" w:line="199" w:lineRule="exact"/>
              <w:rPr>
                <w:sz w:val="20"/>
                <w:szCs w:val="20"/>
                <w:color w:val="auto"/>
              </w:rPr>
            </w:pPr>
            <w:r>
              <w:rPr>
                <w:rFonts w:ascii="Calibri" w:cs="Calibri" w:eastAsia="Calibri" w:hAnsi="Calibri"/>
                <w:sz w:val="18"/>
                <w:szCs w:val="18"/>
                <w:color w:val="auto"/>
              </w:rPr>
              <w:t>F. William Barnet(3)</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261,500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ind w:left="72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8,718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270,218</w:t>
            </w:r>
          </w:p>
        </w:tc>
        <w:tc>
          <w:tcPr>
            <w:tcW w:w="100" w:type="dxa"/>
            <w:vAlign w:val="bottom"/>
            <w:shd w:val="clear" w:color="auto" w:fill="CFF0FC"/>
          </w:tcPr>
          <w:p>
            <w:pPr>
              <w:spacing w:after="0"/>
              <w:rPr>
                <w:sz w:val="19"/>
                <w:szCs w:val="19"/>
                <w:color w:val="auto"/>
              </w:rPr>
            </w:pPr>
          </w:p>
        </w:tc>
      </w:tr>
      <w:tr>
        <w:trPr>
          <w:trHeight w:val="222"/>
        </w:trPr>
        <w:tc>
          <w:tcPr>
            <w:tcW w:w="2520" w:type="dxa"/>
            <w:vAlign w:val="bottom"/>
            <w:gridSpan w:val="2"/>
          </w:tcPr>
          <w:p>
            <w:pPr>
              <w:spacing w:after="0" w:line="215" w:lineRule="exact"/>
              <w:rPr>
                <w:sz w:val="20"/>
                <w:szCs w:val="20"/>
                <w:color w:val="auto"/>
              </w:rPr>
            </w:pPr>
            <w:r>
              <w:rPr>
                <w:rFonts w:ascii="Calibri" w:cs="Calibri" w:eastAsia="Calibri" w:hAnsi="Calibri"/>
                <w:sz w:val="18"/>
                <w:szCs w:val="18"/>
                <w:color w:val="auto"/>
              </w:rPr>
              <w:t>Richard Beckwit(4)</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287,500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ind w:left="72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9"/>
                <w:szCs w:val="19"/>
                <w:color w:val="auto"/>
              </w:rPr>
            </w:pPr>
          </w:p>
        </w:tc>
        <w:tc>
          <w:tcPr>
            <w:tcW w:w="13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4,309</w:t>
            </w:r>
          </w:p>
        </w:tc>
        <w:tc>
          <w:tcPr>
            <w:tcW w:w="22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291,809</w:t>
            </w:r>
          </w:p>
        </w:tc>
        <w:tc>
          <w:tcPr>
            <w:tcW w:w="100" w:type="dxa"/>
            <w:vAlign w:val="bottom"/>
          </w:tcPr>
          <w:p>
            <w:pPr>
              <w:spacing w:after="0"/>
              <w:rPr>
                <w:sz w:val="19"/>
                <w:szCs w:val="19"/>
                <w:color w:val="auto"/>
              </w:rPr>
            </w:pPr>
          </w:p>
        </w:tc>
      </w:tr>
      <w:tr>
        <w:trPr>
          <w:trHeight w:val="237"/>
        </w:trPr>
        <w:tc>
          <w:tcPr>
            <w:tcW w:w="2520" w:type="dxa"/>
            <w:vAlign w:val="bottom"/>
            <w:gridSpan w:val="2"/>
            <w:shd w:val="clear" w:color="auto" w:fill="CFF0FC"/>
          </w:tcPr>
          <w:p>
            <w:pPr>
              <w:spacing w:after="0"/>
              <w:rPr>
                <w:sz w:val="20"/>
                <w:szCs w:val="20"/>
                <w:color w:val="auto"/>
              </w:rPr>
            </w:pPr>
            <w:r>
              <w:rPr>
                <w:rFonts w:ascii="Calibri" w:cs="Calibri" w:eastAsia="Calibri" w:hAnsi="Calibri"/>
                <w:sz w:val="18"/>
                <w:szCs w:val="18"/>
                <w:color w:val="auto"/>
              </w:rPr>
              <w:t>Ed H. Bowman(3)(5)</w:t>
            </w:r>
          </w:p>
        </w:tc>
        <w:tc>
          <w:tcPr>
            <w:tcW w:w="100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35,000</w:t>
            </w:r>
          </w:p>
        </w:tc>
        <w:tc>
          <w:tcPr>
            <w:tcW w:w="11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261,500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ind w:left="720"/>
              <w:spacing w:after="0"/>
              <w:rPr>
                <w:sz w:val="20"/>
                <w:szCs w:val="20"/>
                <w:color w:val="auto"/>
              </w:rPr>
            </w:pPr>
            <w:r>
              <w:rPr>
                <w:rFonts w:ascii="Calibri" w:cs="Calibri" w:eastAsia="Calibri" w:hAnsi="Calibri"/>
                <w:sz w:val="18"/>
                <w:szCs w:val="18"/>
                <w:color w:val="auto"/>
                <w:w w:val="85"/>
              </w:rPr>
              <w:t>—</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8,778</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305,278</w:t>
            </w:r>
          </w:p>
        </w:tc>
        <w:tc>
          <w:tcPr>
            <w:tcW w:w="100" w:type="dxa"/>
            <w:vAlign w:val="bottom"/>
            <w:shd w:val="clear" w:color="auto" w:fill="CFF0FC"/>
          </w:tcPr>
          <w:p>
            <w:pPr>
              <w:spacing w:after="0"/>
              <w:rPr>
                <w:sz w:val="20"/>
                <w:szCs w:val="20"/>
                <w:color w:val="auto"/>
              </w:rPr>
            </w:pPr>
          </w:p>
        </w:tc>
      </w:tr>
      <w:tr>
        <w:trPr>
          <w:trHeight w:val="222"/>
        </w:trPr>
        <w:tc>
          <w:tcPr>
            <w:tcW w:w="2520" w:type="dxa"/>
            <w:vAlign w:val="bottom"/>
            <w:gridSpan w:val="2"/>
          </w:tcPr>
          <w:p>
            <w:pPr>
              <w:spacing w:after="0" w:line="215" w:lineRule="exact"/>
              <w:rPr>
                <w:sz w:val="20"/>
                <w:szCs w:val="20"/>
                <w:color w:val="auto"/>
              </w:rPr>
            </w:pPr>
            <w:r>
              <w:rPr>
                <w:rFonts w:ascii="Calibri" w:cs="Calibri" w:eastAsia="Calibri" w:hAnsi="Calibri"/>
                <w:sz w:val="18"/>
                <w:szCs w:val="18"/>
                <w:color w:val="auto"/>
              </w:rPr>
              <w:t>Margot L. Carter(3)(5)</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35,000</w:t>
            </w:r>
          </w:p>
        </w:tc>
        <w:tc>
          <w:tcPr>
            <w:tcW w:w="1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261,500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ind w:left="72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9"/>
                <w:szCs w:val="19"/>
                <w:color w:val="auto"/>
              </w:rPr>
            </w:pPr>
          </w:p>
        </w:tc>
        <w:tc>
          <w:tcPr>
            <w:tcW w:w="13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914</w:t>
            </w:r>
          </w:p>
        </w:tc>
        <w:tc>
          <w:tcPr>
            <w:tcW w:w="22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297,414</w:t>
            </w:r>
          </w:p>
        </w:tc>
        <w:tc>
          <w:tcPr>
            <w:tcW w:w="100" w:type="dxa"/>
            <w:vAlign w:val="bottom"/>
          </w:tcPr>
          <w:p>
            <w:pPr>
              <w:spacing w:after="0"/>
              <w:rPr>
                <w:sz w:val="19"/>
                <w:szCs w:val="19"/>
                <w:color w:val="auto"/>
              </w:rPr>
            </w:pPr>
          </w:p>
        </w:tc>
      </w:tr>
      <w:tr>
        <w:trPr>
          <w:trHeight w:val="237"/>
        </w:trPr>
        <w:tc>
          <w:tcPr>
            <w:tcW w:w="2520" w:type="dxa"/>
            <w:vAlign w:val="bottom"/>
            <w:gridSpan w:val="2"/>
            <w:shd w:val="clear" w:color="auto" w:fill="CFF0FC"/>
          </w:tcPr>
          <w:p>
            <w:pPr>
              <w:spacing w:after="0"/>
              <w:rPr>
                <w:sz w:val="20"/>
                <w:szCs w:val="20"/>
                <w:color w:val="auto"/>
              </w:rPr>
            </w:pPr>
            <w:r>
              <w:rPr>
                <w:rFonts w:ascii="Calibri" w:cs="Calibri" w:eastAsia="Calibri" w:hAnsi="Calibri"/>
                <w:sz w:val="18"/>
                <w:szCs w:val="18"/>
                <w:color w:val="auto"/>
              </w:rPr>
              <w:t>George J. Damiris(6)</w:t>
            </w: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287,500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ind w:left="720"/>
              <w:spacing w:after="0"/>
              <w:rPr>
                <w:sz w:val="20"/>
                <w:szCs w:val="20"/>
                <w:color w:val="auto"/>
              </w:rPr>
            </w:pPr>
            <w:r>
              <w:rPr>
                <w:rFonts w:ascii="Calibri" w:cs="Calibri" w:eastAsia="Calibri" w:hAnsi="Calibri"/>
                <w:sz w:val="18"/>
                <w:szCs w:val="18"/>
                <w:color w:val="auto"/>
                <w:w w:val="85"/>
              </w:rPr>
              <w:t>—</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1,005</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288,505</w:t>
            </w:r>
          </w:p>
        </w:tc>
        <w:tc>
          <w:tcPr>
            <w:tcW w:w="100" w:type="dxa"/>
            <w:vAlign w:val="bottom"/>
            <w:shd w:val="clear" w:color="auto" w:fill="CFF0FC"/>
          </w:tcPr>
          <w:p>
            <w:pPr>
              <w:spacing w:after="0"/>
              <w:rPr>
                <w:sz w:val="20"/>
                <w:szCs w:val="20"/>
                <w:color w:val="auto"/>
              </w:rPr>
            </w:pPr>
          </w:p>
        </w:tc>
      </w:tr>
      <w:tr>
        <w:trPr>
          <w:trHeight w:val="222"/>
        </w:trPr>
        <w:tc>
          <w:tcPr>
            <w:tcW w:w="2520" w:type="dxa"/>
            <w:vAlign w:val="bottom"/>
            <w:gridSpan w:val="2"/>
          </w:tcPr>
          <w:p>
            <w:pPr>
              <w:spacing w:after="0" w:line="215" w:lineRule="exact"/>
              <w:rPr>
                <w:sz w:val="20"/>
                <w:szCs w:val="20"/>
                <w:color w:val="auto"/>
              </w:rPr>
            </w:pPr>
            <w:r>
              <w:rPr>
                <w:rFonts w:ascii="Calibri" w:cs="Calibri" w:eastAsia="Calibri" w:hAnsi="Calibri"/>
                <w:sz w:val="18"/>
                <w:szCs w:val="18"/>
                <w:color w:val="auto"/>
              </w:rPr>
              <w:t>Martn M. Ellen(8)</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125,000</w:t>
            </w:r>
          </w:p>
        </w:tc>
        <w:tc>
          <w:tcPr>
            <w:tcW w:w="1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125,000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ind w:left="72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9"/>
                <w:szCs w:val="19"/>
                <w:color w:val="auto"/>
              </w:rPr>
            </w:pPr>
          </w:p>
        </w:tc>
        <w:tc>
          <w:tcPr>
            <w:tcW w:w="13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1,826</w:t>
            </w:r>
          </w:p>
        </w:tc>
        <w:tc>
          <w:tcPr>
            <w:tcW w:w="22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251,826</w:t>
            </w:r>
          </w:p>
        </w:tc>
        <w:tc>
          <w:tcPr>
            <w:tcW w:w="100" w:type="dxa"/>
            <w:vAlign w:val="bottom"/>
          </w:tcPr>
          <w:p>
            <w:pPr>
              <w:spacing w:after="0"/>
              <w:rPr>
                <w:sz w:val="19"/>
                <w:szCs w:val="19"/>
                <w:color w:val="auto"/>
              </w:rPr>
            </w:pPr>
          </w:p>
        </w:tc>
      </w:tr>
      <w:tr>
        <w:trPr>
          <w:trHeight w:val="237"/>
        </w:trPr>
        <w:tc>
          <w:tcPr>
            <w:tcW w:w="2520" w:type="dxa"/>
            <w:vAlign w:val="bottom"/>
            <w:gridSpan w:val="2"/>
            <w:shd w:val="clear" w:color="auto" w:fill="CFF0FC"/>
          </w:tcPr>
          <w:p>
            <w:pPr>
              <w:spacing w:after="0"/>
              <w:rPr>
                <w:sz w:val="20"/>
                <w:szCs w:val="20"/>
                <w:color w:val="auto"/>
              </w:rPr>
            </w:pPr>
            <w:r>
              <w:rPr>
                <w:rFonts w:ascii="Calibri" w:cs="Calibri" w:eastAsia="Calibri" w:hAnsi="Calibri"/>
                <w:sz w:val="18"/>
                <w:szCs w:val="18"/>
                <w:color w:val="auto"/>
              </w:rPr>
              <w:t>Mauro Gregorio(9)</w:t>
            </w: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196,125</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ind w:left="720"/>
              <w:spacing w:after="0"/>
              <w:rPr>
                <w:sz w:val="20"/>
                <w:szCs w:val="20"/>
                <w:color w:val="auto"/>
              </w:rPr>
            </w:pPr>
            <w:r>
              <w:rPr>
                <w:rFonts w:ascii="Calibri" w:cs="Calibri" w:eastAsia="Calibri" w:hAnsi="Calibri"/>
                <w:sz w:val="18"/>
                <w:szCs w:val="18"/>
                <w:color w:val="auto"/>
                <w:w w:val="85"/>
              </w:rPr>
              <w:t>—</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326</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196,451</w:t>
            </w:r>
          </w:p>
        </w:tc>
        <w:tc>
          <w:tcPr>
            <w:tcW w:w="100" w:type="dxa"/>
            <w:vAlign w:val="bottom"/>
            <w:shd w:val="clear" w:color="auto" w:fill="CFF0FC"/>
          </w:tcPr>
          <w:p>
            <w:pPr>
              <w:spacing w:after="0"/>
              <w:rPr>
                <w:sz w:val="20"/>
                <w:szCs w:val="20"/>
                <w:color w:val="auto"/>
              </w:rPr>
            </w:pPr>
          </w:p>
        </w:tc>
      </w:tr>
      <w:tr>
        <w:trPr>
          <w:trHeight w:val="222"/>
        </w:trPr>
        <w:tc>
          <w:tcPr>
            <w:tcW w:w="2520" w:type="dxa"/>
            <w:vAlign w:val="bottom"/>
            <w:gridSpan w:val="2"/>
          </w:tcPr>
          <w:p>
            <w:pPr>
              <w:spacing w:after="0" w:line="215" w:lineRule="exact"/>
              <w:rPr>
                <w:sz w:val="20"/>
                <w:szCs w:val="20"/>
                <w:color w:val="auto"/>
              </w:rPr>
            </w:pPr>
            <w:r>
              <w:rPr>
                <w:rFonts w:ascii="Calibri" w:cs="Calibri" w:eastAsia="Calibri" w:hAnsi="Calibri"/>
                <w:sz w:val="18"/>
                <w:szCs w:val="18"/>
                <w:color w:val="auto"/>
              </w:rPr>
              <w:t>Michael R. Nicolais(10)</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318,090</w:t>
            </w:r>
          </w:p>
        </w:tc>
        <w:tc>
          <w:tcPr>
            <w:tcW w:w="11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   106,041</w:t>
            </w:r>
          </w:p>
        </w:tc>
        <w:tc>
          <w:tcPr>
            <w:tcW w:w="220" w:type="dxa"/>
            <w:vAlign w:val="bottom"/>
          </w:tcPr>
          <w:p>
            <w:pPr>
              <w:spacing w:after="0"/>
              <w:rPr>
                <w:sz w:val="19"/>
                <w:szCs w:val="19"/>
                <w:color w:val="auto"/>
              </w:rPr>
            </w:pPr>
          </w:p>
        </w:tc>
        <w:tc>
          <w:tcPr>
            <w:tcW w:w="880" w:type="dxa"/>
            <w:vAlign w:val="bottom"/>
          </w:tcPr>
          <w:p>
            <w:pPr>
              <w:ind w:left="72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9"/>
                <w:szCs w:val="19"/>
                <w:color w:val="auto"/>
              </w:rPr>
            </w:pPr>
          </w:p>
        </w:tc>
        <w:tc>
          <w:tcPr>
            <w:tcW w:w="13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5,138</w:t>
            </w:r>
          </w:p>
        </w:tc>
        <w:tc>
          <w:tcPr>
            <w:tcW w:w="22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429,269</w:t>
            </w:r>
          </w:p>
        </w:tc>
        <w:tc>
          <w:tcPr>
            <w:tcW w:w="100" w:type="dxa"/>
            <w:vAlign w:val="bottom"/>
          </w:tcPr>
          <w:p>
            <w:pPr>
              <w:spacing w:after="0"/>
              <w:rPr>
                <w:sz w:val="19"/>
                <w:szCs w:val="19"/>
                <w:color w:val="auto"/>
              </w:rPr>
            </w:pPr>
          </w:p>
        </w:tc>
      </w:tr>
      <w:tr>
        <w:trPr>
          <w:trHeight w:val="237"/>
        </w:trPr>
        <w:tc>
          <w:tcPr>
            <w:tcW w:w="2520" w:type="dxa"/>
            <w:vAlign w:val="bottom"/>
            <w:gridSpan w:val="2"/>
            <w:shd w:val="clear" w:color="auto" w:fill="CFF0FC"/>
          </w:tcPr>
          <w:p>
            <w:pPr>
              <w:spacing w:after="0"/>
              <w:rPr>
                <w:sz w:val="20"/>
                <w:szCs w:val="20"/>
                <w:color w:val="auto"/>
              </w:rPr>
            </w:pPr>
            <w:r>
              <w:rPr>
                <w:rFonts w:ascii="Calibri" w:cs="Calibri" w:eastAsia="Calibri" w:hAnsi="Calibri"/>
                <w:sz w:val="18"/>
                <w:szCs w:val="18"/>
                <w:color w:val="auto"/>
              </w:rPr>
              <w:t>David B. Powers(7)</w:t>
            </w: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105,000</w:t>
            </w:r>
          </w:p>
        </w:tc>
        <w:tc>
          <w:tcPr>
            <w:tcW w:w="11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125,000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ind w:left="720"/>
              <w:spacing w:after="0"/>
              <w:rPr>
                <w:sz w:val="20"/>
                <w:szCs w:val="20"/>
                <w:color w:val="auto"/>
              </w:rPr>
            </w:pPr>
            <w:r>
              <w:rPr>
                <w:rFonts w:ascii="Calibri" w:cs="Calibri" w:eastAsia="Calibri" w:hAnsi="Calibri"/>
                <w:sz w:val="18"/>
                <w:szCs w:val="18"/>
                <w:color w:val="auto"/>
                <w:w w:val="85"/>
              </w:rPr>
              <w:t>—</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437</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230,437</w:t>
            </w:r>
          </w:p>
        </w:tc>
        <w:tc>
          <w:tcPr>
            <w:tcW w:w="100" w:type="dxa"/>
            <w:vAlign w:val="bottom"/>
            <w:shd w:val="clear" w:color="auto" w:fill="CFF0FC"/>
          </w:tcPr>
          <w:p>
            <w:pPr>
              <w:spacing w:after="0"/>
              <w:rPr>
                <w:sz w:val="20"/>
                <w:szCs w:val="20"/>
                <w:color w:val="auto"/>
              </w:rPr>
            </w:pPr>
          </w:p>
        </w:tc>
      </w:tr>
      <w:tr>
        <w:trPr>
          <w:trHeight w:val="222"/>
        </w:trPr>
        <w:tc>
          <w:tcPr>
            <w:tcW w:w="2520" w:type="dxa"/>
            <w:vAlign w:val="bottom"/>
            <w:gridSpan w:val="2"/>
          </w:tcPr>
          <w:p>
            <w:pPr>
              <w:spacing w:after="0" w:line="215" w:lineRule="exact"/>
              <w:rPr>
                <w:sz w:val="20"/>
                <w:szCs w:val="20"/>
                <w:color w:val="auto"/>
              </w:rPr>
            </w:pPr>
            <w:r>
              <w:rPr>
                <w:rFonts w:ascii="Calibri" w:cs="Calibri" w:eastAsia="Calibri" w:hAnsi="Calibri"/>
                <w:sz w:val="18"/>
                <w:szCs w:val="18"/>
                <w:color w:val="auto"/>
              </w:rPr>
              <w:t>Mary P. Ricciardello(3)</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196,177</w:t>
            </w:r>
          </w:p>
        </w:tc>
        <w:tc>
          <w:tcPr>
            <w:tcW w:w="11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65,386</w:t>
            </w:r>
          </w:p>
        </w:tc>
        <w:tc>
          <w:tcPr>
            <w:tcW w:w="220" w:type="dxa"/>
            <w:vAlign w:val="bottom"/>
          </w:tcPr>
          <w:p>
            <w:pPr>
              <w:spacing w:after="0"/>
              <w:rPr>
                <w:sz w:val="19"/>
                <w:szCs w:val="19"/>
                <w:color w:val="auto"/>
              </w:rPr>
            </w:pPr>
          </w:p>
        </w:tc>
        <w:tc>
          <w:tcPr>
            <w:tcW w:w="880" w:type="dxa"/>
            <w:vAlign w:val="bottom"/>
          </w:tcPr>
          <w:p>
            <w:pPr>
              <w:ind w:left="72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9"/>
                <w:szCs w:val="19"/>
                <w:color w:val="auto"/>
              </w:rPr>
            </w:pPr>
          </w:p>
        </w:tc>
        <w:tc>
          <w:tcPr>
            <w:tcW w:w="13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686</w:t>
            </w:r>
          </w:p>
        </w:tc>
        <w:tc>
          <w:tcPr>
            <w:tcW w:w="22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262,249</w:t>
            </w:r>
          </w:p>
        </w:tc>
        <w:tc>
          <w:tcPr>
            <w:tcW w:w="100" w:type="dxa"/>
            <w:vAlign w:val="bottom"/>
          </w:tcPr>
          <w:p>
            <w:pPr>
              <w:spacing w:after="0"/>
              <w:rPr>
                <w:sz w:val="19"/>
                <w:szCs w:val="19"/>
                <w:color w:val="auto"/>
              </w:rPr>
            </w:pPr>
          </w:p>
        </w:tc>
      </w:tr>
      <w:tr>
        <w:trPr>
          <w:trHeight w:val="237"/>
        </w:trPr>
        <w:tc>
          <w:tcPr>
            <w:tcW w:w="2520" w:type="dxa"/>
            <w:vAlign w:val="bottom"/>
            <w:gridSpan w:val="2"/>
            <w:shd w:val="clear" w:color="auto" w:fill="CFF0FC"/>
          </w:tcPr>
          <w:p>
            <w:pPr>
              <w:spacing w:after="0"/>
              <w:rPr>
                <w:sz w:val="20"/>
                <w:szCs w:val="20"/>
                <w:color w:val="auto"/>
              </w:rPr>
            </w:pPr>
            <w:r>
              <w:rPr>
                <w:rFonts w:ascii="Calibri" w:cs="Calibri" w:eastAsia="Calibri" w:hAnsi="Calibri"/>
                <w:sz w:val="18"/>
                <w:szCs w:val="18"/>
                <w:color w:val="auto"/>
              </w:rPr>
              <w:t>Richard R. Stewart(7)</w:t>
            </w: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105,000</w:t>
            </w:r>
          </w:p>
        </w:tc>
        <w:tc>
          <w:tcPr>
            <w:tcW w:w="11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125,000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ind w:left="720"/>
              <w:spacing w:after="0"/>
              <w:rPr>
                <w:sz w:val="20"/>
                <w:szCs w:val="20"/>
                <w:color w:val="auto"/>
              </w:rPr>
            </w:pPr>
            <w:r>
              <w:rPr>
                <w:rFonts w:ascii="Calibri" w:cs="Calibri" w:eastAsia="Calibri" w:hAnsi="Calibri"/>
                <w:sz w:val="18"/>
                <w:szCs w:val="18"/>
                <w:color w:val="auto"/>
                <w:w w:val="85"/>
              </w:rPr>
              <w:t>—</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3,100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233,100</w:t>
            </w:r>
          </w:p>
        </w:tc>
        <w:tc>
          <w:tcPr>
            <w:tcW w:w="100" w:type="dxa"/>
            <w:vAlign w:val="bottom"/>
            <w:shd w:val="clear" w:color="auto" w:fill="CFF0FC"/>
          </w:tcPr>
          <w:p>
            <w:pPr>
              <w:spacing w:after="0"/>
              <w:rPr>
                <w:sz w:val="20"/>
                <w:szCs w:val="20"/>
                <w:color w:val="auto"/>
              </w:rPr>
            </w:pPr>
          </w:p>
        </w:tc>
      </w:tr>
      <w:tr>
        <w:trPr>
          <w:trHeight w:val="122"/>
        </w:trPr>
        <w:tc>
          <w:tcPr>
            <w:tcW w:w="3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1240"/>
          </w:cols>
          <w:pgMar w:left="320" w:top="342" w:right="339" w:bottom="1440" w:gutter="0" w:footer="0" w:header="0"/>
        </w:sectPr>
      </w:pPr>
    </w:p>
    <w:p>
      <w:pPr>
        <w:spacing w:after="0" w:line="88" w:lineRule="exact"/>
        <w:rPr>
          <w:sz w:val="20"/>
          <w:szCs w:val="20"/>
          <w:color w:val="auto"/>
        </w:rPr>
      </w:pPr>
    </w:p>
    <w:p>
      <w:pPr>
        <w:ind w:left="220" w:right="20" w:hanging="201"/>
        <w:spacing w:after="0" w:line="235" w:lineRule="auto"/>
        <w:rPr>
          <w:sz w:val="20"/>
          <w:szCs w:val="20"/>
          <w:color w:val="auto"/>
        </w:rPr>
      </w:pPr>
      <w:r>
        <w:rPr>
          <w:rFonts w:ascii="Calibri" w:cs="Calibri" w:eastAsia="Calibri" w:hAnsi="Calibri"/>
          <w:sz w:val="18"/>
          <w:szCs w:val="18"/>
          <w:color w:val="auto"/>
        </w:rPr>
        <w:t>(1)The amounts in this column refect the value of restricted stock awards made to the directors in the fscal year ended March 31, 2022 and are consistent with the grant date fair value of the award computed in accordance with FASB ASC Topic 718. For assumptons used in determining these values, refer to footnote (L) to the Company’s audited fnancial statements for the fscal year ended March 31, 2022 included in the Company’s Annual Report on Form 10-K fled with the SEC on May 20, 2022, or “Fiscal 2022 Form 10-K.”</w:t>
      </w:r>
    </w:p>
    <w:p>
      <w:pPr>
        <w:spacing w:after="0" w:line="47" w:lineRule="exact"/>
        <w:rPr>
          <w:sz w:val="20"/>
          <w:szCs w:val="20"/>
          <w:color w:val="auto"/>
        </w:rPr>
      </w:pPr>
    </w:p>
    <w:p>
      <w:pPr>
        <w:ind w:left="220" w:right="160" w:hanging="201"/>
        <w:spacing w:after="0" w:line="235" w:lineRule="auto"/>
        <w:rPr>
          <w:sz w:val="20"/>
          <w:szCs w:val="20"/>
          <w:color w:val="auto"/>
        </w:rPr>
      </w:pPr>
      <w:r>
        <w:rPr>
          <w:rFonts w:ascii="Calibri" w:cs="Calibri" w:eastAsia="Calibri" w:hAnsi="Calibri"/>
          <w:sz w:val="18"/>
          <w:szCs w:val="18"/>
          <w:color w:val="auto"/>
        </w:rPr>
        <w:t>(2)The amounts in this column represent dividend payments made in fscal 2022 to the directors with respect to restricted stock held by such directors.</w:t>
      </w:r>
    </w:p>
    <w:p>
      <w:pPr>
        <w:spacing w:after="0" w:line="43" w:lineRule="exact"/>
        <w:rPr>
          <w:sz w:val="20"/>
          <w:szCs w:val="20"/>
          <w:color w:val="auto"/>
        </w:rPr>
      </w:pPr>
    </w:p>
    <w:p>
      <w:pPr>
        <w:ind w:left="220" w:right="260" w:hanging="201"/>
        <w:spacing w:after="0" w:line="258" w:lineRule="auto"/>
        <w:rPr>
          <w:sz w:val="20"/>
          <w:szCs w:val="20"/>
          <w:color w:val="auto"/>
        </w:rPr>
      </w:pPr>
      <w:r>
        <w:rPr>
          <w:rFonts w:ascii="Calibri" w:cs="Calibri" w:eastAsia="Calibri" w:hAnsi="Calibri"/>
          <w:sz w:val="17"/>
          <w:szCs w:val="17"/>
          <w:color w:val="auto"/>
        </w:rPr>
        <w:t>(3)Messrs. Barnet, Bowman and Mses. Carter and Ricciardello elected to receive 100% of their director compensaton in the form of equity.</w:t>
      </w:r>
    </w:p>
    <w:p>
      <w:pPr>
        <w:spacing w:after="0" w:line="26" w:lineRule="exact"/>
        <w:rPr>
          <w:sz w:val="20"/>
          <w:szCs w:val="20"/>
          <w:color w:val="auto"/>
        </w:rPr>
      </w:pPr>
    </w:p>
    <w:p>
      <w:pPr>
        <w:ind w:left="220" w:hanging="201"/>
        <w:spacing w:after="0" w:line="235" w:lineRule="auto"/>
        <w:rPr>
          <w:sz w:val="20"/>
          <w:szCs w:val="20"/>
          <w:color w:val="auto"/>
        </w:rPr>
      </w:pPr>
      <w:r>
        <w:rPr>
          <w:rFonts w:ascii="Calibri" w:cs="Calibri" w:eastAsia="Calibri" w:hAnsi="Calibri"/>
          <w:sz w:val="18"/>
          <w:szCs w:val="18"/>
          <w:color w:val="auto"/>
        </w:rPr>
        <w:t>(4)Mr. Beckwit is the Chair of the Governance Commitee. He elected to receive 100% of his director compensaton in the form of equity (including his chairperson fee).</w:t>
      </w:r>
    </w:p>
    <w:p>
      <w:pPr>
        <w:spacing w:after="0" w:line="43" w:lineRule="exact"/>
        <w:rPr>
          <w:sz w:val="20"/>
          <w:szCs w:val="20"/>
          <w:color w:val="auto"/>
        </w:rPr>
      </w:pPr>
    </w:p>
    <w:p>
      <w:pPr>
        <w:ind w:left="220" w:right="200" w:hanging="201"/>
        <w:spacing w:after="0" w:line="258" w:lineRule="auto"/>
        <w:rPr>
          <w:sz w:val="20"/>
          <w:szCs w:val="20"/>
          <w:color w:val="auto"/>
        </w:rPr>
      </w:pPr>
      <w:r>
        <w:rPr>
          <w:rFonts w:ascii="Calibri" w:cs="Calibri" w:eastAsia="Calibri" w:hAnsi="Calibri"/>
          <w:sz w:val="17"/>
          <w:szCs w:val="17"/>
          <w:color w:val="auto"/>
        </w:rPr>
        <w:t>(5)The cash received during this fscal year by Mr. Bowman and Ms. Carter relates to director compensaton for the prior year ended July 2021.</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04" w:right="20" w:hanging="202"/>
        <w:spacing w:after="0" w:line="235" w:lineRule="auto"/>
        <w:rPr>
          <w:sz w:val="20"/>
          <w:szCs w:val="20"/>
          <w:color w:val="auto"/>
        </w:rPr>
      </w:pPr>
      <w:r>
        <w:rPr>
          <w:rFonts w:ascii="Calibri" w:cs="Calibri" w:eastAsia="Calibri" w:hAnsi="Calibri"/>
          <w:sz w:val="18"/>
          <w:szCs w:val="18"/>
          <w:color w:val="auto"/>
        </w:rPr>
        <w:t>(6)Mr. Damiris is the Chair of the Compensaton Commitee. He elected to receive 100% of his director compensaton in the form of equity (including his chairperson fee).</w:t>
      </w:r>
    </w:p>
    <w:p>
      <w:pPr>
        <w:spacing w:after="0" w:line="43" w:lineRule="exact"/>
        <w:rPr>
          <w:sz w:val="20"/>
          <w:szCs w:val="20"/>
          <w:color w:val="auto"/>
        </w:rPr>
      </w:pPr>
    </w:p>
    <w:p>
      <w:pPr>
        <w:ind w:left="204" w:hanging="202"/>
        <w:spacing w:after="0" w:line="235" w:lineRule="auto"/>
        <w:rPr>
          <w:sz w:val="20"/>
          <w:szCs w:val="20"/>
          <w:color w:val="auto"/>
        </w:rPr>
      </w:pPr>
      <w:r>
        <w:rPr>
          <w:rFonts w:ascii="Calibri" w:cs="Calibri" w:eastAsia="Calibri" w:hAnsi="Calibri"/>
          <w:sz w:val="18"/>
          <w:szCs w:val="18"/>
          <w:color w:val="auto"/>
        </w:rPr>
        <w:t>(7)Messrs. Powers and Stewart selected the compensaton package where they receive a porton of their director compensaton in the form of equity and a porton in cash.</w:t>
      </w:r>
    </w:p>
    <w:p>
      <w:pPr>
        <w:spacing w:after="0" w:line="43" w:lineRule="exact"/>
        <w:rPr>
          <w:sz w:val="20"/>
          <w:szCs w:val="20"/>
          <w:color w:val="auto"/>
        </w:rPr>
      </w:pPr>
    </w:p>
    <w:p>
      <w:pPr>
        <w:ind w:left="204" w:right="20" w:hanging="202"/>
        <w:spacing w:after="0" w:line="235" w:lineRule="auto"/>
        <w:rPr>
          <w:sz w:val="20"/>
          <w:szCs w:val="20"/>
          <w:color w:val="auto"/>
        </w:rPr>
      </w:pPr>
      <w:r>
        <w:rPr>
          <w:rFonts w:ascii="Calibri" w:cs="Calibri" w:eastAsia="Calibri" w:hAnsi="Calibri"/>
          <w:sz w:val="18"/>
          <w:szCs w:val="18"/>
          <w:color w:val="auto"/>
        </w:rPr>
        <w:t>(8)Mr. Ellen is Chair of the Audit Commitee. He selected the compensaton package where he receives a porton of his director compensaton in the form of equity and a porton in cash. Mr. Ellen received his chairperson fee in cash.</w:t>
      </w:r>
    </w:p>
    <w:p>
      <w:pPr>
        <w:spacing w:after="0" w:line="44" w:lineRule="exact"/>
        <w:rPr>
          <w:sz w:val="20"/>
          <w:szCs w:val="20"/>
          <w:color w:val="auto"/>
        </w:rPr>
      </w:pPr>
    </w:p>
    <w:p>
      <w:pPr>
        <w:ind w:left="204" w:right="80" w:hanging="202"/>
        <w:spacing w:after="0" w:line="235" w:lineRule="auto"/>
        <w:rPr>
          <w:sz w:val="20"/>
          <w:szCs w:val="20"/>
          <w:color w:val="auto"/>
        </w:rPr>
      </w:pPr>
      <w:r>
        <w:rPr>
          <w:rFonts w:ascii="Calibri" w:cs="Calibri" w:eastAsia="Calibri" w:hAnsi="Calibri"/>
          <w:sz w:val="18"/>
          <w:szCs w:val="18"/>
          <w:color w:val="auto"/>
        </w:rPr>
        <w:t>(9)Mr. Gregorio was appointed to the Board in November 2021 and received a restricted stock award for his service as a director from the date of his appointment through July 2022. The restrictons on this award lapsed on May 1, 2022.</w:t>
      </w:r>
    </w:p>
    <w:p>
      <w:pPr>
        <w:spacing w:after="0" w:line="44" w:lineRule="exact"/>
        <w:rPr>
          <w:sz w:val="20"/>
          <w:szCs w:val="20"/>
          <w:color w:val="auto"/>
        </w:rPr>
      </w:pPr>
    </w:p>
    <w:p>
      <w:pPr>
        <w:jc w:val="both"/>
        <w:ind w:left="304" w:right="400" w:hanging="304"/>
        <w:spacing w:after="0" w:line="235" w:lineRule="auto"/>
        <w:tabs>
          <w:tab w:leader="none" w:pos="304"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Mr. Nicolais served as Chairman of the Board during fscal 2022. He elected to receive 100% of his director compensaton in the form of equity (including his chairperson fee).</w:t>
      </w:r>
    </w:p>
    <w:p>
      <w:pPr>
        <w:spacing w:after="0" w:line="432" w:lineRule="exact"/>
        <w:rPr>
          <w:sz w:val="20"/>
          <w:szCs w:val="20"/>
          <w:color w:val="auto"/>
        </w:rPr>
      </w:pPr>
    </w:p>
    <w:p>
      <w:pPr>
        <w:sectPr>
          <w:pgSz w:w="11900" w:h="16838" w:orient="portrait"/>
          <w:cols w:equalWidth="0" w:num="2">
            <w:col w:w="5480" w:space="256"/>
            <w:col w:w="5504"/>
          </w:cols>
          <w:pgMar w:left="320" w:top="342" w:right="3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19" w:name="page20"/>
    <w:bookmarkEnd w:id="19"/>
    <w:p>
      <w:pPr>
        <w:ind w:right="40"/>
        <w:spacing w:after="0" w:line="235" w:lineRule="auto"/>
        <w:rPr>
          <w:sz w:val="20"/>
          <w:szCs w:val="20"/>
          <w:color w:val="auto"/>
        </w:rPr>
      </w:pPr>
      <w:r>
        <w:rPr>
          <w:rFonts w:ascii="Calibri" w:cs="Calibri" w:eastAsia="Calibri" w:hAnsi="Calibri"/>
          <w:sz w:val="18"/>
          <w:szCs w:val="18"/>
          <w:color w:val="auto"/>
        </w:rPr>
        <w:t>The following chart shows the number of outstanding stock optons, RSUs and shares of restricted stock held by each non-employee director as of March 31,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Calibri" w:cs="Calibri" w:eastAsia="Calibri" w:hAnsi="Calibri"/>
                <w:sz w:val="18"/>
                <w:szCs w:val="18"/>
                <w:b w:val="1"/>
                <w:bCs w:val="1"/>
                <w:color w:val="auto"/>
                <w:w w:val="97"/>
              </w:rPr>
              <w:t>Restricted</w:t>
            </w:r>
          </w:p>
        </w:tc>
      </w:tr>
      <w:tr>
        <w:trPr>
          <w:trHeight w:val="186"/>
        </w:trPr>
        <w:tc>
          <w:tcPr>
            <w:tcW w:w="5740" w:type="dxa"/>
            <w:vAlign w:val="bottom"/>
            <w:gridSpan w:val="4"/>
          </w:tcPr>
          <w:p>
            <w:pPr>
              <w:ind w:left="1140"/>
              <w:spacing w:after="0" w:line="185" w:lineRule="exact"/>
              <w:rPr>
                <w:sz w:val="20"/>
                <w:szCs w:val="20"/>
                <w:color w:val="auto"/>
              </w:rPr>
            </w:pPr>
            <w:r>
              <w:rPr>
                <w:rFonts w:ascii="Calibri" w:cs="Calibri" w:eastAsia="Calibri" w:hAnsi="Calibri"/>
                <w:sz w:val="18"/>
                <w:szCs w:val="18"/>
                <w:b w:val="1"/>
                <w:bCs w:val="1"/>
                <w:color w:val="auto"/>
              </w:rPr>
              <w:t>Name</w:t>
            </w:r>
          </w:p>
        </w:tc>
        <w:tc>
          <w:tcPr>
            <w:tcW w:w="1500" w:type="dxa"/>
            <w:vAlign w:val="bottom"/>
            <w:gridSpan w:val="2"/>
          </w:tcPr>
          <w:p>
            <w:pPr>
              <w:ind w:left="40"/>
              <w:spacing w:after="0" w:line="186" w:lineRule="exact"/>
              <w:rPr>
                <w:sz w:val="20"/>
                <w:szCs w:val="20"/>
                <w:color w:val="auto"/>
              </w:rPr>
            </w:pPr>
            <w:r>
              <w:rPr>
                <w:rFonts w:ascii="Calibri" w:cs="Calibri" w:eastAsia="Calibri" w:hAnsi="Calibri"/>
                <w:sz w:val="13"/>
                <w:szCs w:val="13"/>
                <w:b w:val="1"/>
                <w:bCs w:val="1"/>
                <w:color w:val="auto"/>
              </w:rPr>
              <w:t>Stock Optons</w:t>
            </w:r>
            <w:r>
              <w:rPr>
                <w:rFonts w:ascii="Calibri" w:cs="Calibri" w:eastAsia="Calibri" w:hAnsi="Calibri"/>
                <w:sz w:val="20"/>
                <w:szCs w:val="20"/>
                <w:b w:val="1"/>
                <w:bCs w:val="1"/>
                <w:color w:val="auto"/>
                <w:vertAlign w:val="superscript"/>
              </w:rPr>
              <w:t>(1)</w:t>
            </w:r>
          </w:p>
        </w:tc>
        <w:tc>
          <w:tcPr>
            <w:tcW w:w="1520" w:type="dxa"/>
            <w:vAlign w:val="bottom"/>
            <w:gridSpan w:val="2"/>
          </w:tcPr>
          <w:p>
            <w:pPr>
              <w:ind w:left="360"/>
              <w:spacing w:after="0" w:line="186" w:lineRule="exact"/>
              <w:rPr>
                <w:sz w:val="20"/>
                <w:szCs w:val="20"/>
                <w:color w:val="auto"/>
              </w:rPr>
            </w:pPr>
            <w:r>
              <w:rPr>
                <w:rFonts w:ascii="Calibri" w:cs="Calibri" w:eastAsia="Calibri" w:hAnsi="Calibri"/>
                <w:sz w:val="13"/>
                <w:szCs w:val="13"/>
                <w:b w:val="1"/>
                <w:bCs w:val="1"/>
                <w:color w:val="auto"/>
              </w:rPr>
              <w:t>RSUs</w:t>
            </w:r>
            <w:r>
              <w:rPr>
                <w:rFonts w:ascii="Calibri" w:cs="Calibri" w:eastAsia="Calibri" w:hAnsi="Calibri"/>
                <w:sz w:val="20"/>
                <w:szCs w:val="20"/>
                <w:b w:val="1"/>
                <w:bCs w:val="1"/>
                <w:color w:val="auto"/>
                <w:vertAlign w:val="superscript"/>
              </w:rPr>
              <w:t>(2)</w:t>
            </w:r>
          </w:p>
        </w:tc>
        <w:tc>
          <w:tcPr>
            <w:tcW w:w="1360" w:type="dxa"/>
            <w:vAlign w:val="bottom"/>
            <w:gridSpan w:val="2"/>
          </w:tcPr>
          <w:p>
            <w:pPr>
              <w:jc w:val="center"/>
              <w:ind w:right="120"/>
              <w:spacing w:after="0" w:line="186" w:lineRule="exact"/>
              <w:rPr>
                <w:sz w:val="20"/>
                <w:szCs w:val="20"/>
                <w:color w:val="auto"/>
              </w:rPr>
            </w:pPr>
            <w:r>
              <w:rPr>
                <w:rFonts w:ascii="Calibri" w:cs="Calibri" w:eastAsia="Calibri" w:hAnsi="Calibri"/>
                <w:sz w:val="13"/>
                <w:szCs w:val="13"/>
                <w:b w:val="1"/>
                <w:bCs w:val="1"/>
                <w:color w:val="auto"/>
              </w:rPr>
              <w:t>Stock</w:t>
            </w:r>
            <w:r>
              <w:rPr>
                <w:rFonts w:ascii="Calibri" w:cs="Calibri" w:eastAsia="Calibri" w:hAnsi="Calibri"/>
                <w:sz w:val="20"/>
                <w:szCs w:val="20"/>
                <w:b w:val="1"/>
                <w:bCs w:val="1"/>
                <w:color w:val="auto"/>
                <w:vertAlign w:val="superscript"/>
              </w:rPr>
              <w:t>(3)</w:t>
            </w:r>
          </w:p>
        </w:tc>
      </w:tr>
      <w:tr>
        <w:trPr>
          <w:trHeight w:val="34"/>
        </w:trPr>
        <w:tc>
          <w:tcPr>
            <w:tcW w:w="1140" w:type="dxa"/>
            <w:vAlign w:val="bottom"/>
          </w:tcPr>
          <w:p>
            <w:pPr>
              <w:spacing w:after="0"/>
              <w:rPr>
                <w:sz w:val="2"/>
                <w:szCs w:val="2"/>
                <w:color w:val="auto"/>
              </w:rPr>
            </w:pPr>
          </w:p>
        </w:tc>
        <w:tc>
          <w:tcPr>
            <w:tcW w:w="420" w:type="dxa"/>
            <w:vAlign w:val="bottom"/>
            <w:tcBorders>
              <w:top w:val="single" w:sz="8" w:color="auto"/>
              <w:bottom w:val="single" w:sz="8" w:color="CFF0FC"/>
            </w:tcBorders>
          </w:tcPr>
          <w:p>
            <w:pPr>
              <w:spacing w:after="0"/>
              <w:rPr>
                <w:sz w:val="2"/>
                <w:szCs w:val="2"/>
                <w:color w:val="auto"/>
              </w:rPr>
            </w:pPr>
          </w:p>
        </w:tc>
        <w:tc>
          <w:tcPr>
            <w:tcW w:w="1960" w:type="dxa"/>
            <w:vAlign w:val="bottom"/>
            <w:tcBorders>
              <w:bottom w:val="single" w:sz="8" w:color="CFF0FC"/>
            </w:tcBorders>
          </w:tcPr>
          <w:p>
            <w:pPr>
              <w:spacing w:after="0"/>
              <w:rPr>
                <w:sz w:val="2"/>
                <w:szCs w:val="2"/>
                <w:color w:val="auto"/>
              </w:rPr>
            </w:pPr>
          </w:p>
        </w:tc>
        <w:tc>
          <w:tcPr>
            <w:tcW w:w="222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600" w:type="dxa"/>
            <w:vAlign w:val="bottom"/>
            <w:gridSpan w:val="3"/>
            <w:shd w:val="clear" w:color="auto" w:fill="CFF0FC"/>
          </w:tcPr>
          <w:p>
            <w:pPr>
              <w:spacing w:after="0" w:line="199" w:lineRule="exact"/>
              <w:rPr>
                <w:sz w:val="20"/>
                <w:szCs w:val="20"/>
                <w:color w:val="auto"/>
              </w:rPr>
            </w:pPr>
            <w:r>
              <w:rPr>
                <w:rFonts w:ascii="Calibri" w:cs="Calibri" w:eastAsia="Calibri" w:hAnsi="Calibri"/>
                <w:sz w:val="18"/>
                <w:szCs w:val="18"/>
                <w:color w:val="auto"/>
              </w:rPr>
              <w:t>F. William Barnet</w:t>
            </w:r>
          </w:p>
        </w:tc>
        <w:tc>
          <w:tcPr>
            <w:tcW w:w="12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10,405</w:t>
            </w:r>
          </w:p>
        </w:tc>
        <w:tc>
          <w:tcPr>
            <w:tcW w:w="80" w:type="dxa"/>
            <w:vAlign w:val="bottom"/>
            <w:shd w:val="clear" w:color="auto" w:fill="CFF0FC"/>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600" w:type="dxa"/>
            <w:vAlign w:val="bottom"/>
            <w:gridSpan w:val="3"/>
          </w:tcPr>
          <w:p>
            <w:pPr>
              <w:spacing w:after="0" w:line="215" w:lineRule="exact"/>
              <w:rPr>
                <w:sz w:val="20"/>
                <w:szCs w:val="20"/>
                <w:color w:val="auto"/>
              </w:rPr>
            </w:pPr>
            <w:r>
              <w:rPr>
                <w:rFonts w:ascii="Calibri" w:cs="Calibri" w:eastAsia="Calibri" w:hAnsi="Calibri"/>
                <w:sz w:val="18"/>
                <w:szCs w:val="18"/>
                <w:color w:val="auto"/>
              </w:rPr>
              <w:t>Richard Beckwit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2,070</w:t>
            </w:r>
          </w:p>
        </w:tc>
        <w:tc>
          <w:tcPr>
            <w:tcW w:w="220" w:type="dxa"/>
            <w:vAlign w:val="bottom"/>
          </w:tcPr>
          <w:p>
            <w:pPr>
              <w:spacing w:after="0"/>
              <w:rPr>
                <w:sz w:val="18"/>
                <w:szCs w:val="18"/>
                <w:color w:val="auto"/>
              </w:rPr>
            </w:pPr>
          </w:p>
        </w:tc>
        <w:tc>
          <w:tcPr>
            <w:tcW w:w="15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4,405</w:t>
            </w:r>
          </w:p>
        </w:tc>
        <w:tc>
          <w:tcPr>
            <w:tcW w:w="80" w:type="dxa"/>
            <w:vAlign w:val="bottom"/>
          </w:tcPr>
          <w:p>
            <w:pPr>
              <w:spacing w:after="0"/>
              <w:rPr>
                <w:sz w:val="18"/>
                <w:szCs w:val="18"/>
                <w:color w:val="auto"/>
              </w:rPr>
            </w:pPr>
          </w:p>
        </w:tc>
      </w:tr>
      <w:tr>
        <w:trPr>
          <w:trHeight w:val="244"/>
        </w:trPr>
        <w:tc>
          <w:tcPr>
            <w:tcW w:w="1140" w:type="dxa"/>
            <w:vAlign w:val="bottom"/>
          </w:tcPr>
          <w:p>
            <w:pPr>
              <w:spacing w:after="0"/>
              <w:rPr>
                <w:sz w:val="21"/>
                <w:szCs w:val="21"/>
                <w:color w:val="auto"/>
              </w:rPr>
            </w:pPr>
          </w:p>
        </w:tc>
        <w:tc>
          <w:tcPr>
            <w:tcW w:w="460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Ed H. Bowman</w:t>
            </w:r>
          </w:p>
        </w:tc>
        <w:tc>
          <w:tcPr>
            <w:tcW w:w="15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5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2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10,485</w:t>
            </w:r>
          </w:p>
        </w:tc>
        <w:tc>
          <w:tcPr>
            <w:tcW w:w="80" w:type="dxa"/>
            <w:vAlign w:val="bottom"/>
            <w:shd w:val="clear" w:color="auto" w:fill="CFF0FC"/>
          </w:tcPr>
          <w:p>
            <w:pPr>
              <w:spacing w:after="0"/>
              <w:rPr>
                <w:sz w:val="21"/>
                <w:szCs w:val="21"/>
                <w:color w:val="auto"/>
              </w:rPr>
            </w:pPr>
          </w:p>
        </w:tc>
      </w:tr>
      <w:tr>
        <w:trPr>
          <w:trHeight w:val="215"/>
        </w:trPr>
        <w:tc>
          <w:tcPr>
            <w:tcW w:w="1140" w:type="dxa"/>
            <w:vAlign w:val="bottom"/>
          </w:tcPr>
          <w:p>
            <w:pPr>
              <w:spacing w:after="0"/>
              <w:rPr>
                <w:sz w:val="18"/>
                <w:szCs w:val="18"/>
                <w:color w:val="auto"/>
              </w:rPr>
            </w:pPr>
          </w:p>
        </w:tc>
        <w:tc>
          <w:tcPr>
            <w:tcW w:w="4600" w:type="dxa"/>
            <w:vAlign w:val="bottom"/>
            <w:gridSpan w:val="3"/>
          </w:tcPr>
          <w:p>
            <w:pPr>
              <w:spacing w:after="0" w:line="215" w:lineRule="exact"/>
              <w:rPr>
                <w:sz w:val="20"/>
                <w:szCs w:val="20"/>
                <w:color w:val="auto"/>
              </w:rPr>
            </w:pPr>
            <w:r>
              <w:rPr>
                <w:rFonts w:ascii="Calibri" w:cs="Calibri" w:eastAsia="Calibri" w:hAnsi="Calibri"/>
                <w:sz w:val="18"/>
                <w:szCs w:val="18"/>
                <w:color w:val="auto"/>
              </w:rPr>
              <w:t>Margot L. Carter</w:t>
            </w:r>
          </w:p>
        </w:tc>
        <w:tc>
          <w:tcPr>
            <w:tcW w:w="15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5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44"/>
        </w:trPr>
        <w:tc>
          <w:tcPr>
            <w:tcW w:w="1140" w:type="dxa"/>
            <w:vAlign w:val="bottom"/>
          </w:tcPr>
          <w:p>
            <w:pPr>
              <w:spacing w:after="0"/>
              <w:rPr>
                <w:sz w:val="21"/>
                <w:szCs w:val="21"/>
                <w:color w:val="auto"/>
              </w:rPr>
            </w:pPr>
          </w:p>
        </w:tc>
        <w:tc>
          <w:tcPr>
            <w:tcW w:w="460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George J. Damiris</w:t>
            </w:r>
          </w:p>
        </w:tc>
        <w:tc>
          <w:tcPr>
            <w:tcW w:w="15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5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8"/>
                <w:szCs w:val="18"/>
                <w:color w:val="auto"/>
              </w:rPr>
              <w:t>—</w:t>
            </w:r>
          </w:p>
        </w:tc>
      </w:tr>
      <w:tr>
        <w:trPr>
          <w:trHeight w:val="215"/>
        </w:trPr>
        <w:tc>
          <w:tcPr>
            <w:tcW w:w="1140" w:type="dxa"/>
            <w:vAlign w:val="bottom"/>
          </w:tcPr>
          <w:p>
            <w:pPr>
              <w:spacing w:after="0"/>
              <w:rPr>
                <w:sz w:val="18"/>
                <w:szCs w:val="18"/>
                <w:color w:val="auto"/>
              </w:rPr>
            </w:pPr>
          </w:p>
        </w:tc>
        <w:tc>
          <w:tcPr>
            <w:tcW w:w="4600" w:type="dxa"/>
            <w:vAlign w:val="bottom"/>
            <w:gridSpan w:val="3"/>
          </w:tcPr>
          <w:p>
            <w:pPr>
              <w:spacing w:after="0" w:line="215" w:lineRule="exact"/>
              <w:rPr>
                <w:sz w:val="20"/>
                <w:szCs w:val="20"/>
                <w:color w:val="auto"/>
              </w:rPr>
            </w:pPr>
            <w:r>
              <w:rPr>
                <w:rFonts w:ascii="Calibri" w:cs="Calibri" w:eastAsia="Calibri" w:hAnsi="Calibri"/>
                <w:sz w:val="18"/>
                <w:szCs w:val="18"/>
                <w:color w:val="auto"/>
              </w:rPr>
              <w:t>Martn M. Ellen</w:t>
            </w:r>
          </w:p>
        </w:tc>
        <w:tc>
          <w:tcPr>
            <w:tcW w:w="15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5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1,852</w:t>
            </w:r>
          </w:p>
        </w:tc>
        <w:tc>
          <w:tcPr>
            <w:tcW w:w="80" w:type="dxa"/>
            <w:vAlign w:val="bottom"/>
          </w:tcPr>
          <w:p>
            <w:pPr>
              <w:spacing w:after="0"/>
              <w:rPr>
                <w:sz w:val="18"/>
                <w:szCs w:val="18"/>
                <w:color w:val="auto"/>
              </w:rPr>
            </w:pPr>
          </w:p>
        </w:tc>
      </w:tr>
      <w:tr>
        <w:trPr>
          <w:trHeight w:val="244"/>
        </w:trPr>
        <w:tc>
          <w:tcPr>
            <w:tcW w:w="1140" w:type="dxa"/>
            <w:vAlign w:val="bottom"/>
          </w:tcPr>
          <w:p>
            <w:pPr>
              <w:spacing w:after="0"/>
              <w:rPr>
                <w:sz w:val="21"/>
                <w:szCs w:val="21"/>
                <w:color w:val="auto"/>
              </w:rPr>
            </w:pPr>
          </w:p>
        </w:tc>
        <w:tc>
          <w:tcPr>
            <w:tcW w:w="460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Mauro Gregorio</w:t>
            </w:r>
          </w:p>
        </w:tc>
        <w:tc>
          <w:tcPr>
            <w:tcW w:w="15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5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2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1,301</w:t>
            </w:r>
          </w:p>
        </w:tc>
        <w:tc>
          <w:tcPr>
            <w:tcW w:w="80" w:type="dxa"/>
            <w:vAlign w:val="bottom"/>
            <w:shd w:val="clear" w:color="auto" w:fill="CFF0FC"/>
          </w:tcPr>
          <w:p>
            <w:pPr>
              <w:spacing w:after="0"/>
              <w:rPr>
                <w:sz w:val="21"/>
                <w:szCs w:val="21"/>
                <w:color w:val="auto"/>
              </w:rPr>
            </w:pPr>
          </w:p>
        </w:tc>
      </w:tr>
      <w:tr>
        <w:trPr>
          <w:trHeight w:val="215"/>
        </w:trPr>
        <w:tc>
          <w:tcPr>
            <w:tcW w:w="1140" w:type="dxa"/>
            <w:vAlign w:val="bottom"/>
          </w:tcPr>
          <w:p>
            <w:pPr>
              <w:spacing w:after="0"/>
              <w:rPr>
                <w:sz w:val="18"/>
                <w:szCs w:val="18"/>
                <w:color w:val="auto"/>
              </w:rPr>
            </w:pPr>
          </w:p>
        </w:tc>
        <w:tc>
          <w:tcPr>
            <w:tcW w:w="4600" w:type="dxa"/>
            <w:vAlign w:val="bottom"/>
            <w:gridSpan w:val="3"/>
          </w:tcPr>
          <w:p>
            <w:pPr>
              <w:spacing w:after="0" w:line="215" w:lineRule="exact"/>
              <w:rPr>
                <w:sz w:val="20"/>
                <w:szCs w:val="20"/>
                <w:color w:val="auto"/>
              </w:rPr>
            </w:pPr>
            <w:r>
              <w:rPr>
                <w:rFonts w:ascii="Calibri" w:cs="Calibri" w:eastAsia="Calibri" w:hAnsi="Calibri"/>
                <w:sz w:val="18"/>
                <w:szCs w:val="18"/>
                <w:color w:val="auto"/>
              </w:rPr>
              <w:t>Michael R. Nicolais</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19,398</w:t>
            </w:r>
          </w:p>
        </w:tc>
        <w:tc>
          <w:tcPr>
            <w:tcW w:w="22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3,903</w:t>
            </w:r>
          </w:p>
        </w:tc>
        <w:tc>
          <w:tcPr>
            <w:tcW w:w="24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5,368</w:t>
            </w:r>
          </w:p>
        </w:tc>
        <w:tc>
          <w:tcPr>
            <w:tcW w:w="80" w:type="dxa"/>
            <w:vAlign w:val="bottom"/>
          </w:tcPr>
          <w:p>
            <w:pPr>
              <w:spacing w:after="0"/>
              <w:rPr>
                <w:sz w:val="18"/>
                <w:szCs w:val="18"/>
                <w:color w:val="auto"/>
              </w:rPr>
            </w:pPr>
          </w:p>
        </w:tc>
      </w:tr>
      <w:tr>
        <w:trPr>
          <w:trHeight w:val="244"/>
        </w:trPr>
        <w:tc>
          <w:tcPr>
            <w:tcW w:w="1140" w:type="dxa"/>
            <w:vAlign w:val="bottom"/>
          </w:tcPr>
          <w:p>
            <w:pPr>
              <w:spacing w:after="0"/>
              <w:rPr>
                <w:sz w:val="21"/>
                <w:szCs w:val="21"/>
                <w:color w:val="auto"/>
              </w:rPr>
            </w:pPr>
          </w:p>
        </w:tc>
        <w:tc>
          <w:tcPr>
            <w:tcW w:w="460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David B. Powers</w:t>
            </w:r>
          </w:p>
        </w:tc>
        <w:tc>
          <w:tcPr>
            <w:tcW w:w="15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5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8"/>
                <w:szCs w:val="18"/>
                <w:color w:val="auto"/>
              </w:rPr>
              <w:t>—</w:t>
            </w:r>
          </w:p>
        </w:tc>
      </w:tr>
      <w:tr>
        <w:trPr>
          <w:trHeight w:val="215"/>
        </w:trPr>
        <w:tc>
          <w:tcPr>
            <w:tcW w:w="1140" w:type="dxa"/>
            <w:vAlign w:val="bottom"/>
          </w:tcPr>
          <w:p>
            <w:pPr>
              <w:spacing w:after="0"/>
              <w:rPr>
                <w:sz w:val="18"/>
                <w:szCs w:val="18"/>
                <w:color w:val="auto"/>
              </w:rPr>
            </w:pPr>
          </w:p>
        </w:tc>
        <w:tc>
          <w:tcPr>
            <w:tcW w:w="4600" w:type="dxa"/>
            <w:vAlign w:val="bottom"/>
            <w:gridSpan w:val="3"/>
          </w:tcPr>
          <w:p>
            <w:pPr>
              <w:spacing w:after="0" w:line="215" w:lineRule="exact"/>
              <w:rPr>
                <w:sz w:val="20"/>
                <w:szCs w:val="20"/>
                <w:color w:val="auto"/>
              </w:rPr>
            </w:pPr>
            <w:r>
              <w:rPr>
                <w:rFonts w:ascii="Calibri" w:cs="Calibri" w:eastAsia="Calibri" w:hAnsi="Calibri"/>
                <w:sz w:val="18"/>
                <w:szCs w:val="18"/>
                <w:color w:val="auto"/>
              </w:rPr>
              <w:t>Mary P. Ricciardello</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3,408</w:t>
            </w:r>
          </w:p>
        </w:tc>
        <w:tc>
          <w:tcPr>
            <w:tcW w:w="220" w:type="dxa"/>
            <w:vAlign w:val="bottom"/>
          </w:tcPr>
          <w:p>
            <w:pPr>
              <w:spacing w:after="0"/>
              <w:rPr>
                <w:sz w:val="18"/>
                <w:szCs w:val="18"/>
                <w:color w:val="auto"/>
              </w:rPr>
            </w:pPr>
          </w:p>
        </w:tc>
        <w:tc>
          <w:tcPr>
            <w:tcW w:w="15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44"/>
        </w:trPr>
        <w:tc>
          <w:tcPr>
            <w:tcW w:w="1140" w:type="dxa"/>
            <w:vAlign w:val="bottom"/>
          </w:tcPr>
          <w:p>
            <w:pPr>
              <w:spacing w:after="0"/>
              <w:rPr>
                <w:sz w:val="21"/>
                <w:szCs w:val="21"/>
                <w:color w:val="auto"/>
              </w:rPr>
            </w:pPr>
          </w:p>
        </w:tc>
        <w:tc>
          <w:tcPr>
            <w:tcW w:w="460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Richard R. Stewart</w:t>
            </w:r>
          </w:p>
        </w:tc>
        <w:tc>
          <w:tcPr>
            <w:tcW w:w="15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5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12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3,550</w:t>
            </w:r>
          </w:p>
        </w:tc>
        <w:tc>
          <w:tcPr>
            <w:tcW w:w="80" w:type="dxa"/>
            <w:vAlign w:val="bottom"/>
            <w:shd w:val="clear" w:color="auto" w:fill="CFF0FC"/>
          </w:tcPr>
          <w:p>
            <w:pPr>
              <w:spacing w:after="0"/>
              <w:rPr>
                <w:sz w:val="21"/>
                <w:szCs w:val="21"/>
                <w:color w:val="auto"/>
              </w:rPr>
            </w:pPr>
          </w:p>
        </w:tc>
      </w:tr>
      <w:tr>
        <w:trPr>
          <w:trHeight w:val="121"/>
        </w:trPr>
        <w:tc>
          <w:tcPr>
            <w:tcW w:w="1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2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1160"/>
          </w:cols>
          <w:pgMar w:left="320" w:top="563" w:right="419" w:bottom="1440" w:gutter="0" w:footer="0" w:header="0"/>
        </w:sectPr>
      </w:pPr>
    </w:p>
    <w:p>
      <w:pPr>
        <w:spacing w:after="0" w:line="16" w:lineRule="exact"/>
        <w:rPr>
          <w:sz w:val="20"/>
          <w:szCs w:val="20"/>
          <w:color w:val="auto"/>
        </w:rPr>
      </w:pPr>
    </w:p>
    <w:p>
      <w:pPr>
        <w:spacing w:after="0"/>
        <w:rPr>
          <w:sz w:val="20"/>
          <w:szCs w:val="20"/>
          <w:color w:val="auto"/>
        </w:rPr>
      </w:pPr>
      <w:r>
        <w:rPr>
          <w:rFonts w:ascii="Calibri" w:cs="Calibri" w:eastAsia="Calibri" w:hAnsi="Calibri"/>
          <w:sz w:val="18"/>
          <w:szCs w:val="18"/>
          <w:color w:val="auto"/>
        </w:rPr>
        <w:t>(1)All of these stock optons were fully exercisable as of March 31, 2022.</w:t>
      </w:r>
    </w:p>
    <w:p>
      <w:pPr>
        <w:spacing w:after="0" w:line="42" w:lineRule="exact"/>
        <w:rPr>
          <w:sz w:val="20"/>
          <w:szCs w:val="20"/>
          <w:color w:val="auto"/>
        </w:rPr>
      </w:pPr>
    </w:p>
    <w:p>
      <w:pPr>
        <w:ind w:left="220" w:hanging="201"/>
        <w:spacing w:after="0" w:line="235" w:lineRule="auto"/>
        <w:rPr>
          <w:sz w:val="20"/>
          <w:szCs w:val="20"/>
          <w:color w:val="auto"/>
        </w:rPr>
      </w:pPr>
      <w:r>
        <w:rPr>
          <w:rFonts w:ascii="Calibri" w:cs="Calibri" w:eastAsia="Calibri" w:hAnsi="Calibri"/>
          <w:sz w:val="18"/>
          <w:szCs w:val="18"/>
          <w:color w:val="auto"/>
        </w:rPr>
        <w:t>(2)The RSUs granted to non-employee directors (and any accrued dividend equivalent RSUs) are not payable untl the non-employee director’s service on the board terminates because of the director’s death or the director’s retrement in accordance with the Company’s director retrement policy, or under such circumstances as are approved by the Compensaton Commitee. The number of RSUs refected in this column includes the following aggregate dividend equivalent units, which are accrued by holders of our RSUs at any tme we pay a cash dividend on our Common Stock: Mr. Nicolais – 603 RSUs.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hanging="202"/>
        <w:spacing w:after="0" w:line="235" w:lineRule="auto"/>
        <w:rPr>
          <w:sz w:val="20"/>
          <w:szCs w:val="20"/>
          <w:color w:val="auto"/>
        </w:rPr>
      </w:pPr>
      <w:r>
        <w:rPr>
          <w:rFonts w:ascii="Calibri" w:cs="Calibri" w:eastAsia="Calibri" w:hAnsi="Calibri"/>
          <w:sz w:val="18"/>
          <w:szCs w:val="18"/>
          <w:color w:val="auto"/>
        </w:rPr>
        <w:t>(3)The restrictons on these restricted stock awards will not lapse untl the non-employee director’s service on the board terminates because of the director’s death or the director’s retrement in accordance with the Company’s director retrement policy, or under such circumstances as are approved by the Compensaton Commitee. Any cash dividends declared and paid by the Company during the restricted period are paid in cash with respect to such restricted stock.</w:t>
      </w:r>
    </w:p>
    <w:p>
      <w:pPr>
        <w:spacing w:after="0" w:line="846" w:lineRule="exact"/>
        <w:rPr>
          <w:sz w:val="20"/>
          <w:szCs w:val="20"/>
          <w:color w:val="auto"/>
        </w:rPr>
      </w:pPr>
    </w:p>
    <w:p>
      <w:pPr>
        <w:sectPr>
          <w:pgSz w:w="11900" w:h="16838" w:orient="portrait"/>
          <w:cols w:equalWidth="0" w:num="2">
            <w:col w:w="5460" w:space="480"/>
            <w:col w:w="5220"/>
          </w:cols>
          <w:pgMar w:left="320" w:top="563"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7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63" w:right="419" w:bottom="1440" w:gutter="0" w:footer="0" w:header="0"/>
          <w:type w:val="continuous"/>
        </w:sectPr>
      </w:pPr>
    </w:p>
    <w:bookmarkStart w:id="20" w:name="page21"/>
    <w:bookmarkEnd w:id="20"/>
    <w:p>
      <w:pPr>
        <w:spacing w:after="0" w:line="229" w:lineRule="exact"/>
        <w:rPr>
          <w:sz w:val="20"/>
          <w:szCs w:val="20"/>
          <w:color w:val="auto"/>
        </w:rPr>
      </w:pPr>
    </w:p>
    <w:p>
      <w:pPr>
        <w:ind w:right="1600"/>
        <w:spacing w:after="0" w:line="348" w:lineRule="auto"/>
        <w:rPr>
          <w:sz w:val="20"/>
          <w:szCs w:val="20"/>
          <w:color w:val="auto"/>
        </w:rPr>
      </w:pPr>
      <w:r>
        <w:rPr>
          <w:rFonts w:ascii="Calibri" w:cs="Calibri" w:eastAsia="Calibri" w:hAnsi="Calibri"/>
          <w:sz w:val="18"/>
          <w:szCs w:val="18"/>
          <w:b w:val="1"/>
          <w:bCs w:val="1"/>
          <w:color w:val="auto"/>
        </w:rPr>
        <w:t xml:space="preserve">Board Leadership Structure and Role in Risk Oversight </w:t>
      </w:r>
      <w:r>
        <w:rPr>
          <w:rFonts w:ascii="Calibri" w:cs="Calibri" w:eastAsia="Calibri" w:hAnsi="Calibri"/>
          <w:sz w:val="18"/>
          <w:szCs w:val="18"/>
          <w:i w:val="1"/>
          <w:iCs w:val="1"/>
          <w:u w:val="single" w:color="auto"/>
          <w:color w:val="auto"/>
        </w:rPr>
        <w:t>Risk Assessment in Compensaton Programs</w:t>
      </w:r>
    </w:p>
    <w:p>
      <w:pPr>
        <w:spacing w:after="0" w:line="11"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Consistent with SEC disclosure requirements, management, the Compensaton Commitee and the Board have assessed the Company’s compensaton programs. Based upon all of the facts and circumstances available to the Company at the tme of the fling of this Proxy Statement, the Board has concluded that risks arising from the Company’s compensaton policies and practces are not reasonably likely to have a material adverse efect on the Company or encourage unnecessary and excessive risk-taking.</w:t>
      </w:r>
    </w:p>
    <w:p>
      <w:pPr>
        <w:spacing w:after="0" w:line="209" w:lineRule="exact"/>
        <w:rPr>
          <w:sz w:val="20"/>
          <w:szCs w:val="20"/>
          <w:color w:val="auto"/>
        </w:rPr>
      </w:pPr>
    </w:p>
    <w:p>
      <w:pPr>
        <w:ind w:right="20"/>
        <w:spacing w:after="0" w:line="250" w:lineRule="auto"/>
        <w:rPr>
          <w:sz w:val="20"/>
          <w:szCs w:val="20"/>
          <w:color w:val="auto"/>
        </w:rPr>
      </w:pPr>
      <w:r>
        <w:rPr>
          <w:rFonts w:ascii="Calibri" w:cs="Calibri" w:eastAsia="Calibri" w:hAnsi="Calibri"/>
          <w:sz w:val="17"/>
          <w:szCs w:val="17"/>
          <w:color w:val="auto"/>
        </w:rPr>
        <w:t>This assessment was overseen by the Compensaton Commitee, in consultaton with management. The Board reviewed the compensaton policies and practces in efect for our executve ofcers, senior management and other employees and assessed the features the Company has built into the compensaton programs to discourage excessive risk-taking. These features include, among other things, a balance between diferent elements of compensaton, use of diferent performance metrics for diferent elements of compensaton, restrictons on pricing authority, review and approval of material contracts, and stock ownership guidelines for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1238885</wp:posOffset>
            </wp:positionV>
            <wp:extent cx="21774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35" w:lineRule="auto"/>
        <w:rPr>
          <w:sz w:val="20"/>
          <w:szCs w:val="20"/>
          <w:color w:val="auto"/>
        </w:rPr>
      </w:pPr>
      <w:r>
        <w:rPr>
          <w:rFonts w:ascii="Calibri" w:cs="Calibri" w:eastAsia="Calibri" w:hAnsi="Calibri"/>
          <w:sz w:val="18"/>
          <w:szCs w:val="18"/>
          <w:color w:val="auto"/>
        </w:rPr>
        <w:t>The positons of Chairman of the Board and Chief Executve Ofcer (“CEO”) are performed by two diferent individuals. Mr. Haack, our CEO, focuses on the day-to-day operaton of the Company’s businesses and partcipates in both operatonal and long-term strategy and development. Mr. Nicolais, our Chairman, oversees the Company’s general strategic directon and leads and manages the Board.</w:t>
      </w:r>
    </w:p>
    <w:p>
      <w:pPr>
        <w:spacing w:after="0" w:line="22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As part of its primary risk management functon, the Audit Commitee oversees the preparaton by management of a risk report on a quarterly basis. However, our entre Board of Directors is also involved in the oversight of management’s eforts to identfy, evaluate and manage risks on behalf of the Company, and the Board undertakes to hold discussions on these topics with management and the Audit Commitee throughout the year. For example, at quarterly Audit Commitee meetngs (at which the rest of the Board is also present), management provides updates on cybersecurity, including third-party engagement regarding the cybersecurity landscape and emerging threats, the results of annual cybersecurity training for all personnel with network access, and the results of periodic employee phishing exercises.</w:t>
      </w:r>
    </w:p>
    <w:p>
      <w:pPr>
        <w:spacing w:after="0" w:line="22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Further, the independent directors address risk management in executve sessions without management present. As appropriate in the context of their chartered roles, the Board’s other commitees also perform risk management and oversight actvites during the year. For example, the Governance Commitee is responsible for overseeing governance issues that may create governance risks, such as board compositon, director selecton and other governance policies and practces that are critcal to the success of the Company.</w:t>
      </w:r>
    </w:p>
    <w:p>
      <w:pPr>
        <w:spacing w:after="0" w:line="200" w:lineRule="exact"/>
        <w:rPr>
          <w:sz w:val="20"/>
          <w:szCs w:val="20"/>
          <w:color w:val="auto"/>
        </w:rPr>
      </w:pPr>
    </w:p>
    <w:p>
      <w:pPr>
        <w:sectPr>
          <w:pgSz w:w="11900" w:h="16838" w:orient="portrait"/>
          <w:cols w:equalWidth="0" w:num="2">
            <w:col w:w="5520" w:space="220"/>
            <w:col w:w="550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8"/>
          <w:szCs w:val="18"/>
          <w:b w:val="1"/>
          <w:bCs w:val="1"/>
          <w:color w:val="auto"/>
        </w:rPr>
        <w:t>Board Commitees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standing commitees of our Board of Directors include the Audit</w:t>
      </w:r>
    </w:p>
    <w:p>
      <w:pPr>
        <w:spacing w:after="0" w:line="235" w:lineRule="auto"/>
        <w:rPr>
          <w:sz w:val="20"/>
          <w:szCs w:val="20"/>
          <w:color w:val="auto"/>
        </w:rPr>
      </w:pPr>
      <w:r>
        <w:rPr>
          <w:rFonts w:ascii="Calibri" w:cs="Calibri" w:eastAsia="Calibri" w:hAnsi="Calibri"/>
          <w:sz w:val="18"/>
          <w:szCs w:val="18"/>
          <w:color w:val="auto"/>
        </w:rPr>
        <w:t>Commitee, the Compensaton Commitee, the Governance Commitee and</w:t>
      </w:r>
    </w:p>
    <w:p>
      <w:pPr>
        <w:spacing w:after="0" w:line="236" w:lineRule="auto"/>
        <w:rPr>
          <w:sz w:val="20"/>
          <w:szCs w:val="20"/>
          <w:color w:val="auto"/>
        </w:rPr>
      </w:pPr>
      <w:r>
        <w:rPr>
          <w:rFonts w:ascii="Calibri" w:cs="Calibri" w:eastAsia="Calibri" w:hAnsi="Calibri"/>
          <w:sz w:val="18"/>
          <w:szCs w:val="18"/>
          <w:color w:val="auto"/>
        </w:rPr>
        <w:t>the Executve Commitee. The following table lists the chairperson and</w:t>
      </w:r>
    </w:p>
    <w:p>
      <w:pPr>
        <w:spacing w:after="0" w:line="236" w:lineRule="auto"/>
        <w:rPr>
          <w:sz w:val="20"/>
          <w:szCs w:val="20"/>
          <w:color w:val="auto"/>
        </w:rPr>
      </w:pPr>
      <w:r>
        <w:rPr>
          <w:rFonts w:ascii="Calibri" w:cs="Calibri" w:eastAsia="Calibri" w:hAnsi="Calibri"/>
          <w:sz w:val="18"/>
          <w:szCs w:val="18"/>
          <w:color w:val="auto"/>
        </w:rPr>
        <w:t>members of each commitee as of March 31, 2022, and the number of</w:t>
      </w:r>
    </w:p>
    <w:p>
      <w:pPr>
        <w:spacing w:after="0" w:line="236" w:lineRule="auto"/>
        <w:rPr>
          <w:sz w:val="20"/>
          <w:szCs w:val="20"/>
          <w:color w:val="auto"/>
        </w:rPr>
      </w:pPr>
      <w:r>
        <w:rPr>
          <w:rFonts w:ascii="Calibri" w:cs="Calibri" w:eastAsia="Calibri" w:hAnsi="Calibri"/>
          <w:sz w:val="18"/>
          <w:szCs w:val="18"/>
          <w:color w:val="auto"/>
        </w:rPr>
        <w:t>meetngs held by each commitee during the fscal year ended March 31,</w:t>
      </w:r>
    </w:p>
    <w:p>
      <w:pPr>
        <w:spacing w:after="0" w:line="236" w:lineRule="auto"/>
        <w:rPr>
          <w:sz w:val="20"/>
          <w:szCs w:val="20"/>
          <w:color w:val="auto"/>
        </w:rPr>
      </w:pPr>
      <w:r>
        <w:rPr>
          <w:rFonts w:ascii="Calibri" w:cs="Calibri" w:eastAsia="Calibri" w:hAnsi="Calibri"/>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Calibri" w:cs="Calibri" w:eastAsia="Calibri" w:hAnsi="Calibri"/>
                <w:sz w:val="14"/>
                <w:szCs w:val="14"/>
                <w:b w:val="1"/>
                <w:bCs w:val="1"/>
                <w:color w:val="auto"/>
              </w:rPr>
              <w:t>Director</w:t>
            </w:r>
          </w:p>
        </w:tc>
        <w:tc>
          <w:tcPr>
            <w:tcW w:w="14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Audit</w:t>
            </w:r>
          </w:p>
        </w:tc>
        <w:tc>
          <w:tcPr>
            <w:tcW w:w="14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Compensaton</w:t>
            </w:r>
          </w:p>
        </w:tc>
        <w:tc>
          <w:tcPr>
            <w:tcW w:w="14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Governance</w:t>
            </w:r>
          </w:p>
        </w:tc>
        <w:tc>
          <w:tcPr>
            <w:tcW w:w="134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Executve</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CFF0FC"/>
            </w:tcBorders>
          </w:tcPr>
          <w:p>
            <w:pPr>
              <w:spacing w:after="0" w:line="20" w:lineRule="exact"/>
              <w:rPr>
                <w:sz w:val="1"/>
                <w:szCs w:val="1"/>
                <w:color w:val="auto"/>
              </w:rPr>
            </w:pPr>
          </w:p>
        </w:tc>
        <w:tc>
          <w:tcPr>
            <w:tcW w:w="246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gridSpan w:val="3"/>
            <w:shd w:val="clear" w:color="auto" w:fill="CFF0FC"/>
          </w:tcPr>
          <w:p>
            <w:pPr>
              <w:spacing w:after="0" w:line="199" w:lineRule="exact"/>
              <w:rPr>
                <w:sz w:val="20"/>
                <w:szCs w:val="20"/>
                <w:color w:val="auto"/>
              </w:rPr>
            </w:pPr>
            <w:r>
              <w:rPr>
                <w:rFonts w:ascii="Calibri" w:cs="Calibri" w:eastAsia="Calibri" w:hAnsi="Calibri"/>
                <w:sz w:val="18"/>
                <w:szCs w:val="18"/>
                <w:color w:val="auto"/>
              </w:rPr>
              <w:t>F. William Barnet</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7"/>
              </w:rPr>
              <w:t>Member</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420" w:type="dxa"/>
            <w:vAlign w:val="bottom"/>
            <w:gridSpan w:val="3"/>
          </w:tcPr>
          <w:p>
            <w:pPr>
              <w:spacing w:after="0" w:line="215" w:lineRule="exact"/>
              <w:rPr>
                <w:sz w:val="20"/>
                <w:szCs w:val="20"/>
                <w:color w:val="auto"/>
              </w:rPr>
            </w:pPr>
            <w:r>
              <w:rPr>
                <w:rFonts w:ascii="Calibri" w:cs="Calibri" w:eastAsia="Calibri" w:hAnsi="Calibri"/>
                <w:sz w:val="18"/>
                <w:szCs w:val="18"/>
                <w:color w:val="auto"/>
              </w:rPr>
              <w:t>Richard Beckwit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260"/>
              <w:spacing w:after="0" w:line="215" w:lineRule="exact"/>
              <w:rPr>
                <w:sz w:val="20"/>
                <w:szCs w:val="20"/>
                <w:color w:val="auto"/>
              </w:rPr>
            </w:pPr>
            <w:r>
              <w:rPr>
                <w:rFonts w:ascii="Calibri" w:cs="Calibri" w:eastAsia="Calibri" w:hAnsi="Calibri"/>
                <w:sz w:val="18"/>
                <w:szCs w:val="18"/>
                <w:color w:val="auto"/>
                <w:w w:val="99"/>
              </w:rPr>
              <w:t>Chair</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442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Ed H. Bowman</w:t>
            </w: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center"/>
              <w:ind w:right="240"/>
              <w:spacing w:after="0"/>
              <w:rPr>
                <w:sz w:val="20"/>
                <w:szCs w:val="20"/>
                <w:color w:val="auto"/>
              </w:rPr>
            </w:pPr>
            <w:r>
              <w:rPr>
                <w:rFonts w:ascii="Calibri" w:cs="Calibri" w:eastAsia="Calibri" w:hAnsi="Calibri"/>
                <w:sz w:val="18"/>
                <w:szCs w:val="18"/>
                <w:color w:val="auto"/>
                <w:w w:val="97"/>
              </w:rPr>
              <w:t>Member</w:t>
            </w: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420" w:type="dxa"/>
            <w:vAlign w:val="bottom"/>
            <w:gridSpan w:val="3"/>
          </w:tcPr>
          <w:p>
            <w:pPr>
              <w:spacing w:after="0" w:line="215" w:lineRule="exact"/>
              <w:rPr>
                <w:sz w:val="20"/>
                <w:szCs w:val="20"/>
                <w:color w:val="auto"/>
              </w:rPr>
            </w:pPr>
            <w:r>
              <w:rPr>
                <w:rFonts w:ascii="Calibri" w:cs="Calibri" w:eastAsia="Calibri" w:hAnsi="Calibri"/>
                <w:sz w:val="18"/>
                <w:szCs w:val="18"/>
                <w:color w:val="auto"/>
              </w:rPr>
              <w:t>Margot L. Carter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40"/>
              <w:spacing w:after="0" w:line="215" w:lineRule="exact"/>
              <w:rPr>
                <w:sz w:val="20"/>
                <w:szCs w:val="20"/>
                <w:color w:val="auto"/>
              </w:rPr>
            </w:pPr>
            <w:r>
              <w:rPr>
                <w:rFonts w:ascii="Calibri" w:cs="Calibri" w:eastAsia="Calibri" w:hAnsi="Calibri"/>
                <w:sz w:val="18"/>
                <w:szCs w:val="18"/>
                <w:color w:val="auto"/>
                <w:w w:val="97"/>
              </w:rPr>
              <w:t>Member</w:t>
            </w:r>
          </w:p>
        </w:tc>
        <w:tc>
          <w:tcPr>
            <w:tcW w:w="1440" w:type="dxa"/>
            <w:vAlign w:val="bottom"/>
            <w:gridSpan w:val="2"/>
          </w:tcPr>
          <w:p>
            <w:pPr>
              <w:jc w:val="center"/>
              <w:ind w:right="260"/>
              <w:spacing w:after="0" w:line="215" w:lineRule="exact"/>
              <w:rPr>
                <w:sz w:val="20"/>
                <w:szCs w:val="20"/>
                <w:color w:val="auto"/>
              </w:rPr>
            </w:pPr>
            <w:r>
              <w:rPr>
                <w:rFonts w:ascii="Calibri" w:cs="Calibri" w:eastAsia="Calibri" w:hAnsi="Calibri"/>
                <w:sz w:val="18"/>
                <w:szCs w:val="18"/>
                <w:color w:val="auto"/>
                <w:w w:val="97"/>
              </w:rPr>
              <w:t>Member</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442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George J. Damiris</w:t>
            </w: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center"/>
              <w:ind w:right="240"/>
              <w:spacing w:after="0"/>
              <w:rPr>
                <w:sz w:val="20"/>
                <w:szCs w:val="20"/>
                <w:color w:val="auto"/>
              </w:rPr>
            </w:pPr>
            <w:r>
              <w:rPr>
                <w:rFonts w:ascii="Calibri" w:cs="Calibri" w:eastAsia="Calibri" w:hAnsi="Calibri"/>
                <w:sz w:val="18"/>
                <w:szCs w:val="18"/>
                <w:color w:val="auto"/>
                <w:w w:val="99"/>
              </w:rPr>
              <w:t>Chair</w:t>
            </w: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420" w:type="dxa"/>
            <w:vAlign w:val="bottom"/>
            <w:gridSpan w:val="3"/>
          </w:tcPr>
          <w:p>
            <w:pPr>
              <w:spacing w:after="0" w:line="215" w:lineRule="exact"/>
              <w:rPr>
                <w:sz w:val="20"/>
                <w:szCs w:val="20"/>
                <w:color w:val="auto"/>
              </w:rPr>
            </w:pPr>
            <w:r>
              <w:rPr>
                <w:rFonts w:ascii="Calibri" w:cs="Calibri" w:eastAsia="Calibri" w:hAnsi="Calibri"/>
                <w:sz w:val="18"/>
                <w:szCs w:val="18"/>
                <w:color w:val="auto"/>
              </w:rPr>
              <w:t>Martn M. Ellen</w:t>
            </w:r>
          </w:p>
        </w:tc>
        <w:tc>
          <w:tcPr>
            <w:tcW w:w="1440" w:type="dxa"/>
            <w:vAlign w:val="bottom"/>
            <w:gridSpan w:val="2"/>
          </w:tcPr>
          <w:p>
            <w:pPr>
              <w:jc w:val="center"/>
              <w:ind w:right="220"/>
              <w:spacing w:after="0" w:line="215" w:lineRule="exact"/>
              <w:rPr>
                <w:sz w:val="20"/>
                <w:szCs w:val="20"/>
                <w:color w:val="auto"/>
              </w:rPr>
            </w:pPr>
            <w:r>
              <w:rPr>
                <w:rFonts w:ascii="Calibri" w:cs="Calibri" w:eastAsia="Calibri" w:hAnsi="Calibri"/>
                <w:sz w:val="18"/>
                <w:szCs w:val="18"/>
                <w:color w:val="auto"/>
                <w:w w:val="99"/>
              </w:rPr>
              <w:t>Chair</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442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Mauro Gregorio</w:t>
            </w:r>
          </w:p>
        </w:tc>
        <w:tc>
          <w:tcPr>
            <w:tcW w:w="1440" w:type="dxa"/>
            <w:vAlign w:val="bottom"/>
            <w:gridSpan w:val="2"/>
            <w:shd w:val="clear" w:color="auto" w:fill="CFF0FC"/>
          </w:tcPr>
          <w:p>
            <w:pPr>
              <w:jc w:val="center"/>
              <w:ind w:right="220"/>
              <w:spacing w:after="0"/>
              <w:rPr>
                <w:sz w:val="20"/>
                <w:szCs w:val="20"/>
                <w:color w:val="auto"/>
              </w:rPr>
            </w:pPr>
            <w:r>
              <w:rPr>
                <w:rFonts w:ascii="Calibri" w:cs="Calibri" w:eastAsia="Calibri" w:hAnsi="Calibri"/>
                <w:sz w:val="18"/>
                <w:szCs w:val="18"/>
                <w:color w:val="auto"/>
                <w:w w:val="97"/>
              </w:rPr>
              <w:t>Member</w:t>
            </w: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420" w:type="dxa"/>
            <w:vAlign w:val="bottom"/>
            <w:gridSpan w:val="3"/>
          </w:tcPr>
          <w:p>
            <w:pPr>
              <w:spacing w:after="0" w:line="215" w:lineRule="exact"/>
              <w:rPr>
                <w:sz w:val="20"/>
                <w:szCs w:val="20"/>
                <w:color w:val="auto"/>
              </w:rPr>
            </w:pPr>
            <w:r>
              <w:rPr>
                <w:rFonts w:ascii="Calibri" w:cs="Calibri" w:eastAsia="Calibri" w:hAnsi="Calibri"/>
                <w:sz w:val="18"/>
                <w:szCs w:val="18"/>
                <w:color w:val="auto"/>
              </w:rPr>
              <w:t>Michael R. Haack</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120"/>
              <w:spacing w:after="0" w:line="215" w:lineRule="exact"/>
              <w:rPr>
                <w:sz w:val="20"/>
                <w:szCs w:val="20"/>
                <w:color w:val="auto"/>
              </w:rPr>
            </w:pPr>
            <w:r>
              <w:rPr>
                <w:rFonts w:ascii="Calibri" w:cs="Calibri" w:eastAsia="Calibri" w:hAnsi="Calibri"/>
                <w:sz w:val="18"/>
                <w:szCs w:val="18"/>
                <w:color w:val="auto"/>
                <w:w w:val="97"/>
              </w:rPr>
              <w:t>Member</w:t>
            </w:r>
          </w:p>
        </w:tc>
      </w:tr>
      <w:tr>
        <w:trPr>
          <w:trHeight w:val="237"/>
        </w:trPr>
        <w:tc>
          <w:tcPr>
            <w:tcW w:w="580" w:type="dxa"/>
            <w:vAlign w:val="bottom"/>
          </w:tcPr>
          <w:p>
            <w:pPr>
              <w:spacing w:after="0"/>
              <w:rPr>
                <w:sz w:val="20"/>
                <w:szCs w:val="20"/>
                <w:color w:val="auto"/>
              </w:rPr>
            </w:pPr>
          </w:p>
        </w:tc>
        <w:tc>
          <w:tcPr>
            <w:tcW w:w="442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Michael R. Nicolais</w:t>
            </w: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center"/>
              <w:ind w:right="240"/>
              <w:spacing w:after="0"/>
              <w:rPr>
                <w:sz w:val="20"/>
                <w:szCs w:val="20"/>
                <w:color w:val="auto"/>
              </w:rPr>
            </w:pPr>
            <w:r>
              <w:rPr>
                <w:rFonts w:ascii="Calibri" w:cs="Calibri" w:eastAsia="Calibri" w:hAnsi="Calibri"/>
                <w:sz w:val="18"/>
                <w:szCs w:val="18"/>
                <w:color w:val="auto"/>
                <w:w w:val="97"/>
              </w:rPr>
              <w:t>Member</w:t>
            </w: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center"/>
              <w:ind w:right="120"/>
              <w:spacing w:after="0"/>
              <w:rPr>
                <w:sz w:val="20"/>
                <w:szCs w:val="20"/>
                <w:color w:val="auto"/>
              </w:rPr>
            </w:pPr>
            <w:r>
              <w:rPr>
                <w:rFonts w:ascii="Calibri" w:cs="Calibri" w:eastAsia="Calibri" w:hAnsi="Calibri"/>
                <w:sz w:val="18"/>
                <w:szCs w:val="18"/>
                <w:color w:val="auto"/>
                <w:w w:val="99"/>
              </w:rPr>
              <w:t>Chair</w:t>
            </w:r>
          </w:p>
        </w:tc>
      </w:tr>
      <w:tr>
        <w:trPr>
          <w:trHeight w:val="222"/>
        </w:trPr>
        <w:tc>
          <w:tcPr>
            <w:tcW w:w="580" w:type="dxa"/>
            <w:vAlign w:val="bottom"/>
          </w:tcPr>
          <w:p>
            <w:pPr>
              <w:spacing w:after="0"/>
              <w:rPr>
                <w:sz w:val="19"/>
                <w:szCs w:val="19"/>
                <w:color w:val="auto"/>
              </w:rPr>
            </w:pPr>
          </w:p>
        </w:tc>
        <w:tc>
          <w:tcPr>
            <w:tcW w:w="4420" w:type="dxa"/>
            <w:vAlign w:val="bottom"/>
            <w:gridSpan w:val="3"/>
          </w:tcPr>
          <w:p>
            <w:pPr>
              <w:spacing w:after="0" w:line="215" w:lineRule="exact"/>
              <w:rPr>
                <w:sz w:val="20"/>
                <w:szCs w:val="20"/>
                <w:color w:val="auto"/>
              </w:rPr>
            </w:pPr>
            <w:r>
              <w:rPr>
                <w:rFonts w:ascii="Calibri" w:cs="Calibri" w:eastAsia="Calibri" w:hAnsi="Calibri"/>
                <w:sz w:val="18"/>
                <w:szCs w:val="18"/>
                <w:color w:val="auto"/>
              </w:rPr>
              <w:t>David B. Powers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442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Mary P. Ricciardello</w:t>
            </w:r>
          </w:p>
        </w:tc>
        <w:tc>
          <w:tcPr>
            <w:tcW w:w="1440" w:type="dxa"/>
            <w:vAlign w:val="bottom"/>
            <w:gridSpan w:val="2"/>
            <w:shd w:val="clear" w:color="auto" w:fill="CFF0FC"/>
          </w:tcPr>
          <w:p>
            <w:pPr>
              <w:jc w:val="center"/>
              <w:ind w:right="220"/>
              <w:spacing w:after="0"/>
              <w:rPr>
                <w:sz w:val="20"/>
                <w:szCs w:val="20"/>
                <w:color w:val="auto"/>
              </w:rPr>
            </w:pPr>
            <w:r>
              <w:rPr>
                <w:rFonts w:ascii="Calibri" w:cs="Calibri" w:eastAsia="Calibri" w:hAnsi="Calibri"/>
                <w:sz w:val="18"/>
                <w:szCs w:val="18"/>
                <w:color w:val="auto"/>
                <w:w w:val="97"/>
              </w:rPr>
              <w:t>Member</w:t>
            </w: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center"/>
              <w:ind w:right="260"/>
              <w:spacing w:after="0"/>
              <w:rPr>
                <w:sz w:val="20"/>
                <w:szCs w:val="20"/>
                <w:color w:val="auto"/>
              </w:rPr>
            </w:pPr>
            <w:r>
              <w:rPr>
                <w:rFonts w:ascii="Calibri" w:cs="Calibri" w:eastAsia="Calibri" w:hAnsi="Calibri"/>
                <w:sz w:val="18"/>
                <w:szCs w:val="18"/>
                <w:color w:val="auto"/>
                <w:w w:val="97"/>
              </w:rPr>
              <w:t>Member</w:t>
            </w: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420" w:type="dxa"/>
            <w:vAlign w:val="bottom"/>
            <w:gridSpan w:val="3"/>
          </w:tcPr>
          <w:p>
            <w:pPr>
              <w:spacing w:after="0" w:line="215" w:lineRule="exact"/>
              <w:rPr>
                <w:sz w:val="20"/>
                <w:szCs w:val="20"/>
                <w:color w:val="auto"/>
              </w:rPr>
            </w:pPr>
            <w:r>
              <w:rPr>
                <w:rFonts w:ascii="Calibri" w:cs="Calibri" w:eastAsia="Calibri" w:hAnsi="Calibri"/>
                <w:sz w:val="18"/>
                <w:szCs w:val="18"/>
                <w:color w:val="auto"/>
              </w:rPr>
              <w:t>Richard R. Stewart</w:t>
            </w:r>
          </w:p>
        </w:tc>
        <w:tc>
          <w:tcPr>
            <w:tcW w:w="1440" w:type="dxa"/>
            <w:vAlign w:val="bottom"/>
            <w:gridSpan w:val="2"/>
          </w:tcPr>
          <w:p>
            <w:pPr>
              <w:jc w:val="center"/>
              <w:ind w:right="220"/>
              <w:spacing w:after="0" w:line="215" w:lineRule="exact"/>
              <w:rPr>
                <w:sz w:val="20"/>
                <w:szCs w:val="20"/>
                <w:color w:val="auto"/>
              </w:rPr>
            </w:pPr>
            <w:r>
              <w:rPr>
                <w:rFonts w:ascii="Calibri" w:cs="Calibri" w:eastAsia="Calibri" w:hAnsi="Calibri"/>
                <w:sz w:val="18"/>
                <w:szCs w:val="18"/>
                <w:color w:val="auto"/>
                <w:w w:val="97"/>
              </w:rPr>
              <w:t>Member</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4420" w:type="dxa"/>
            <w:vAlign w:val="bottom"/>
            <w:gridSpan w:val="3"/>
            <w:shd w:val="clear" w:color="auto" w:fill="CFF0FC"/>
          </w:tcPr>
          <w:p>
            <w:pPr>
              <w:spacing w:after="0"/>
              <w:rPr>
                <w:sz w:val="20"/>
                <w:szCs w:val="20"/>
                <w:color w:val="auto"/>
              </w:rPr>
            </w:pPr>
            <w:r>
              <w:rPr>
                <w:rFonts w:ascii="Calibri" w:cs="Calibri" w:eastAsia="Calibri" w:hAnsi="Calibri"/>
                <w:sz w:val="18"/>
                <w:szCs w:val="18"/>
                <w:color w:val="auto"/>
              </w:rPr>
              <w:t>Number of Meetngs in Fiscal 2022</w:t>
            </w:r>
          </w:p>
        </w:tc>
        <w:tc>
          <w:tcPr>
            <w:tcW w:w="1220" w:type="dxa"/>
            <w:vAlign w:val="bottom"/>
            <w:shd w:val="clear" w:color="auto" w:fill="CFF0FC"/>
          </w:tcPr>
          <w:p>
            <w:pPr>
              <w:jc w:val="right"/>
              <w:ind w:right="433"/>
              <w:spacing w:after="0"/>
              <w:rPr>
                <w:sz w:val="20"/>
                <w:szCs w:val="20"/>
                <w:color w:val="auto"/>
              </w:rPr>
            </w:pPr>
            <w:r>
              <w:rPr>
                <w:rFonts w:ascii="Calibri" w:cs="Calibri" w:eastAsia="Calibri" w:hAnsi="Calibri"/>
                <w:sz w:val="18"/>
                <w:szCs w:val="18"/>
                <w:color w:val="auto"/>
              </w:rPr>
              <w:t>7</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433"/>
              <w:spacing w:after="0"/>
              <w:rPr>
                <w:sz w:val="20"/>
                <w:szCs w:val="20"/>
                <w:color w:val="auto"/>
              </w:rPr>
            </w:pPr>
            <w:r>
              <w:rPr>
                <w:rFonts w:ascii="Calibri" w:cs="Calibri" w:eastAsia="Calibri" w:hAnsi="Calibri"/>
                <w:sz w:val="18"/>
                <w:szCs w:val="18"/>
                <w:color w:val="auto"/>
              </w:rPr>
              <w:t>6</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433"/>
              <w:spacing w:after="0"/>
              <w:rPr>
                <w:sz w:val="20"/>
                <w:szCs w:val="20"/>
                <w:color w:val="auto"/>
              </w:rPr>
            </w:pPr>
            <w:r>
              <w:rPr>
                <w:rFonts w:ascii="Calibri" w:cs="Calibri" w:eastAsia="Calibri" w:hAnsi="Calibri"/>
                <w:sz w:val="18"/>
                <w:szCs w:val="18"/>
                <w:color w:val="auto"/>
              </w:rPr>
              <w:t>7</w:t>
            </w:r>
          </w:p>
        </w:tc>
        <w:tc>
          <w:tcPr>
            <w:tcW w:w="2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ind w:left="580"/>
              <w:spacing w:after="0"/>
              <w:rPr>
                <w:sz w:val="20"/>
                <w:szCs w:val="20"/>
                <w:color w:val="auto"/>
              </w:rPr>
            </w:pPr>
            <w:r>
              <w:rPr>
                <w:rFonts w:ascii="Calibri" w:cs="Calibri" w:eastAsia="Calibri" w:hAnsi="Calibri"/>
                <w:sz w:val="18"/>
                <w:szCs w:val="18"/>
                <w:color w:val="auto"/>
              </w:rPr>
              <w:t>—</w:t>
            </w:r>
          </w:p>
        </w:tc>
      </w:tr>
      <w:tr>
        <w:trPr>
          <w:trHeight w:val="122"/>
        </w:trPr>
        <w:tc>
          <w:tcPr>
            <w:tcW w:w="5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1200"/>
          </w:cols>
          <w:pgMar w:left="320" w:top="342" w:right="379" w:bottom="871" w:gutter="0" w:footer="0" w:header="0"/>
        </w:sectPr>
      </w:pPr>
    </w:p>
    <w:p>
      <w:pPr>
        <w:spacing w:after="0" w:line="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Audit Commitee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Our Board has a standing Audit Commitee, composed of at least three independent directors. Our Audit Commitee assists the Board in fulflling its responsibility to oversee the integrity of our fnancial statements, our compliance with legal and regulatory requirements, the qualifcatons and independence and appointment of our independent auditors, the performance of our internal audit functon and independent auditors and the assessment of risks, including cybersecurity risks. Our Audit Commitee is governed by an amended and restated Audit Commitee charter, a copy of which may be viewed on our website at </w:t>
      </w:r>
      <w:r>
        <w:rPr>
          <w:rFonts w:ascii="Calibri" w:cs="Calibri" w:eastAsia="Calibri" w:hAnsi="Calibri"/>
          <w:sz w:val="18"/>
          <w:szCs w:val="18"/>
          <w:i w:val="1"/>
          <w:iCs w:val="1"/>
          <w:color w:val="auto"/>
        </w:rPr>
        <w:t>www.eaglematerials.com</w:t>
      </w:r>
      <w:r>
        <w:rPr>
          <w:rFonts w:ascii="Calibri" w:cs="Calibri" w:eastAsia="Calibri" w:hAnsi="Calibri"/>
          <w:sz w:val="18"/>
          <w:szCs w:val="18"/>
          <w:color w:val="auto"/>
        </w:rPr>
        <w:t xml:space="preserve"> and will be provided free of charge upon writen request to our Secretary at our principal executve ofce.</w:t>
      </w:r>
    </w:p>
    <w:p>
      <w:pPr>
        <w:spacing w:after="0" w:line="22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Board has determined that each member of our Audit Commitee is independent within the meaning of applicable (1) corporate governance rules of the NYSE and (2) requirements set forth in the Exchange Act and the applicable SEC rules. In additon, our Board has determined that each member of our Audit Commitee satsfes applicable NYSE standards for fnancial literacy and that, based on his auditng and fnancial experience, including over 25 years of experience as a chief fnancial ofcer with public and private companies and prior experience with a major public accountng frm, Mr. Ellen is an “audit commitee fnancial expert” within the meaning of the rules of the SEC.</w:t>
      </w:r>
    </w:p>
    <w:p>
      <w:pPr>
        <w:spacing w:after="0" w:line="22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Unless otherwise determined by the Board, no member of our Audit Commitee may serve as a member of an audit commitee of more than two other public companies.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auto"/>
        </w:rPr>
        <w:t>Certain key functons and responsibilites of our Audit Commitee are to:</w:t>
      </w:r>
    </w:p>
    <w:p>
      <w:pPr>
        <w:spacing w:after="0" w:line="109" w:lineRule="exact"/>
        <w:rPr>
          <w:sz w:val="20"/>
          <w:szCs w:val="20"/>
          <w:color w:val="auto"/>
        </w:rPr>
      </w:pPr>
    </w:p>
    <w:p>
      <w:pPr>
        <w:ind w:left="180" w:right="360" w:hanging="172"/>
        <w:spacing w:after="0" w:line="235" w:lineRule="auto"/>
        <w:tabs>
          <w:tab w:leader="none" w:pos="18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select, appoint, compensate, evaluate, retain and oversee the independent auditors engaged for purposes of preparing or issuing an audit report or related work or performing other audit, review, or atestaton services for us;</w:t>
      </w:r>
    </w:p>
    <w:p>
      <w:pPr>
        <w:spacing w:after="0" w:line="111" w:lineRule="exact"/>
        <w:rPr>
          <w:rFonts w:ascii="Times New Roman" w:cs="Times New Roman" w:eastAsia="Times New Roman" w:hAnsi="Times New Roman"/>
          <w:sz w:val="18"/>
          <w:szCs w:val="18"/>
          <w:color w:val="auto"/>
        </w:rPr>
      </w:pPr>
    </w:p>
    <w:p>
      <w:pPr>
        <w:ind w:left="180" w:right="80" w:hanging="172"/>
        <w:spacing w:after="0" w:line="235" w:lineRule="auto"/>
        <w:tabs>
          <w:tab w:leader="none" w:pos="18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 and review, at least annually, a formal writen statement from our independent auditors describing all relatonships between our auditors and the Company and engage in a dialogue with our auditors with respect to any disclosed relatonships or services that may impact the objectvity and independence of the auditors and to recommend appropriate acton in response to the reports to our Board;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64" w:right="60" w:hanging="164"/>
        <w:spacing w:after="0" w:line="235" w:lineRule="auto"/>
        <w:tabs>
          <w:tab w:leader="none" w:pos="164"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pre-approve all audit engagement fees and terms and all permissible non-audit services provided to us by our independent auditors, in accordance with the commitee’s policies and procedures for pre-approving audit and non-audit services;</w:t>
      </w:r>
    </w:p>
    <w:p>
      <w:pPr>
        <w:spacing w:after="0" w:line="111" w:lineRule="exact"/>
        <w:rPr>
          <w:rFonts w:ascii="Times New Roman" w:cs="Times New Roman" w:eastAsia="Times New Roman" w:hAnsi="Times New Roman"/>
          <w:sz w:val="18"/>
          <w:szCs w:val="18"/>
          <w:color w:val="auto"/>
        </w:rPr>
      </w:pPr>
    </w:p>
    <w:p>
      <w:pPr>
        <w:ind w:left="164" w:right="500" w:hanging="164"/>
        <w:spacing w:after="0" w:line="251" w:lineRule="auto"/>
        <w:tabs>
          <w:tab w:leader="none" w:pos="164" w:val="left"/>
        </w:tabs>
        <w:numPr>
          <w:ilvl w:val="0"/>
          <w:numId w:val="9"/>
        </w:numPr>
        <w:rPr>
          <w:rFonts w:ascii="Times New Roman" w:cs="Times New Roman" w:eastAsia="Times New Roman" w:hAnsi="Times New Roman"/>
          <w:sz w:val="17"/>
          <w:szCs w:val="17"/>
          <w:color w:val="auto"/>
        </w:rPr>
      </w:pPr>
      <w:r>
        <w:rPr>
          <w:rFonts w:ascii="Calibri" w:cs="Calibri" w:eastAsia="Calibri" w:hAnsi="Calibri"/>
          <w:sz w:val="17"/>
          <w:szCs w:val="17"/>
          <w:color w:val="auto"/>
        </w:rPr>
        <w:t>establish procedures for (i) the receipt, retenton and treatment of complaints received by the Company regarding accountng, internal accountng controls or auditng maters and (ii) the confdental, anonymous submission by employees of the Company of concerns regarding questonable accountng or auditng maters;</w:t>
      </w:r>
    </w:p>
    <w:p>
      <w:pPr>
        <w:spacing w:after="0" w:line="102" w:lineRule="exact"/>
        <w:rPr>
          <w:rFonts w:ascii="Times New Roman" w:cs="Times New Roman" w:eastAsia="Times New Roman" w:hAnsi="Times New Roman"/>
          <w:sz w:val="17"/>
          <w:szCs w:val="17"/>
          <w:color w:val="auto"/>
        </w:rPr>
      </w:pPr>
    </w:p>
    <w:p>
      <w:pPr>
        <w:ind w:left="164" w:right="200" w:hanging="164"/>
        <w:spacing w:after="0" w:line="235" w:lineRule="auto"/>
        <w:tabs>
          <w:tab w:leader="none" w:pos="164"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discuss our annual audited fnancial statements, quarterly fnancial statements and other signifcant fnancial disclosures with management and our independent auditors;</w:t>
      </w:r>
    </w:p>
    <w:p>
      <w:pPr>
        <w:spacing w:after="0" w:line="110" w:lineRule="exact"/>
        <w:rPr>
          <w:rFonts w:ascii="Times New Roman" w:cs="Times New Roman" w:eastAsia="Times New Roman" w:hAnsi="Times New Roman"/>
          <w:sz w:val="18"/>
          <w:szCs w:val="18"/>
          <w:color w:val="auto"/>
        </w:rPr>
      </w:pPr>
    </w:p>
    <w:p>
      <w:pPr>
        <w:ind w:left="164" w:hanging="164"/>
        <w:spacing w:after="0" w:line="235" w:lineRule="auto"/>
        <w:tabs>
          <w:tab w:leader="none" w:pos="164"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discuss with management the types of informaton to be disclosed and the types of presentatons to be made in our earnings press releases, as well as the fnancial informaton and earnings guidance we provide to analysts and ratng agencies;</w:t>
      </w:r>
    </w:p>
    <w:p>
      <w:pPr>
        <w:spacing w:after="0" w:line="111" w:lineRule="exact"/>
        <w:rPr>
          <w:rFonts w:ascii="Times New Roman" w:cs="Times New Roman" w:eastAsia="Times New Roman" w:hAnsi="Times New Roman"/>
          <w:sz w:val="18"/>
          <w:szCs w:val="18"/>
          <w:color w:val="auto"/>
        </w:rPr>
      </w:pPr>
    </w:p>
    <w:p>
      <w:pPr>
        <w:ind w:left="164" w:right="120" w:hanging="164"/>
        <w:spacing w:after="0" w:line="235" w:lineRule="auto"/>
        <w:tabs>
          <w:tab w:leader="none" w:pos="164"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annually review and assess the performance of the Audit Commitee and the adequacy of its charter;</w:t>
      </w:r>
    </w:p>
    <w:p>
      <w:pPr>
        <w:spacing w:after="0" w:line="104"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discuss policies with respect to risk assessment and risk management;</w:t>
      </w:r>
    </w:p>
    <w:p>
      <w:pPr>
        <w:spacing w:after="0" w:line="109" w:lineRule="exact"/>
        <w:rPr>
          <w:rFonts w:ascii="Times New Roman" w:cs="Times New Roman" w:eastAsia="Times New Roman" w:hAnsi="Times New Roman"/>
          <w:sz w:val="18"/>
          <w:szCs w:val="18"/>
          <w:color w:val="auto"/>
        </w:rPr>
      </w:pPr>
    </w:p>
    <w:p>
      <w:pPr>
        <w:ind w:left="164" w:right="500" w:hanging="164"/>
        <w:spacing w:after="0" w:line="235" w:lineRule="auto"/>
        <w:tabs>
          <w:tab w:leader="none" w:pos="164"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consider the efectveness of our internal control systems, including informaton technology security and control; and</w:t>
      </w:r>
    </w:p>
    <w:p>
      <w:pPr>
        <w:spacing w:after="0" w:line="3453" w:lineRule="exact"/>
        <w:rPr>
          <w:sz w:val="20"/>
          <w:szCs w:val="20"/>
          <w:color w:val="auto"/>
        </w:rPr>
      </w:pPr>
    </w:p>
    <w:p>
      <w:pPr>
        <w:sectPr>
          <w:pgSz w:w="11900" w:h="16838" w:orient="portrait"/>
          <w:cols w:equalWidth="0" w:num="2">
            <w:col w:w="5500" w:space="236"/>
            <w:col w:w="5464"/>
          </w:cols>
          <w:pgMar w:left="320" w:top="342" w:right="379" w:bottom="871" w:gutter="0" w:footer="0" w:header="0"/>
          <w:type w:val="continuous"/>
        </w:sectPr>
      </w:pPr>
    </w:p>
    <w:p>
      <w:pPr>
        <w:ind w:left="4060"/>
        <w:spacing w:after="0" w:line="233" w:lineRule="auto"/>
        <w:rPr>
          <w:sz w:val="20"/>
          <w:szCs w:val="20"/>
          <w:color w:val="auto"/>
        </w:rPr>
      </w:pPr>
      <w:r>
        <w:rPr>
          <w:rFonts w:ascii="Calibri" w:cs="Calibri" w:eastAsia="Calibri" w:hAnsi="Calibri"/>
          <w:sz w:val="20"/>
          <w:szCs w:val="20"/>
          <w:color w:val="auto"/>
        </w:rPr>
        <w:t>_______________________________</w:t>
      </w:r>
    </w:p>
    <w:p>
      <w:pPr>
        <w:jc w:val="center"/>
        <w:ind w:right="-39"/>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2" w:right="379" w:bottom="871" w:gutter="0" w:footer="0" w:header="0"/>
          <w:type w:val="continuous"/>
        </w:sectPr>
      </w:pPr>
    </w:p>
    <w:bookmarkStart w:id="22" w:name="page23"/>
    <w:bookmarkEnd w:id="22"/>
    <w:p>
      <w:pPr>
        <w:ind w:left="180" w:right="380" w:hanging="172"/>
        <w:spacing w:after="0" w:line="235" w:lineRule="auto"/>
        <w:tabs>
          <w:tab w:leader="none" w:pos="18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prepare the report that is required to be included in our annual proxy statement regarding review of fnancial statements and auditor independence.</w:t>
      </w:r>
    </w:p>
    <w:p>
      <w:pPr>
        <w:spacing w:after="0" w:line="21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Our Audit Commitee’s report on our fnancial statements for the fscal year ended March 31, 2022 is presented below under the heading “Audit Commitee Report.”</w:t>
      </w:r>
    </w:p>
    <w:p>
      <w:pPr>
        <w:spacing w:after="0" w:line="21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Our Audit Commitee meets separately with our independent auditors and with members of our internal audit staf outside the presence of the Company’s management or other employees to discuss maters of concern, to receive recommendatons or suggestons for change and to exchange relevant views and informaton.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Compensaton Commitee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Board’s Compensaton Commitee is composed of independent directors who meet the corporate governance standards of the NYSE including the enhanced NYSE independence requirements for directors serving on compensaton commitees, qualify as “non-employee directors” within the meaning of Rule 16b-3(b)(3) of the Exchange Act and as “outside directors” within the meaning of the Internal Revenue Code.</w:t>
      </w:r>
    </w:p>
    <w:p>
      <w:pPr>
        <w:spacing w:after="0" w:line="221"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 xml:space="preserve">Under its amended and restated charter, which you may review on our web site at </w:t>
      </w:r>
      <w:r>
        <w:rPr>
          <w:rFonts w:ascii="Calibri" w:cs="Calibri" w:eastAsia="Calibri" w:hAnsi="Calibri"/>
          <w:sz w:val="17"/>
          <w:szCs w:val="17"/>
          <w:i w:val="1"/>
          <w:iCs w:val="1"/>
          <w:color w:val="auto"/>
        </w:rPr>
        <w:t>www.eaglematerials.com</w:t>
      </w:r>
      <w:r>
        <w:rPr>
          <w:rFonts w:ascii="Calibri" w:cs="Calibri" w:eastAsia="Calibri" w:hAnsi="Calibri"/>
          <w:sz w:val="17"/>
          <w:szCs w:val="17"/>
          <w:color w:val="auto"/>
        </w:rPr>
        <w:t xml:space="preserve"> (and a copy of which will be provided to you free of charge upon writen request to our Secretary at our principal executve ofce), the primary purposes of our Compensaton Commitee are to assist the Board in discharging its responsibilites relatng to compensaton of our Chief Executve Ofcer and other senior executves and to direct the preparaton of the reports regarding executve compensaton that the rules of the SEC require to be included in our annual proxy statement.</w:t>
      </w:r>
    </w:p>
    <w:p>
      <w:pPr>
        <w:spacing w:after="0" w:line="20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Compensaton Commitee is authorized to hire outside advisers afer considering all factors relevant to the adviser’s independence from management. For additonal informaton regarding outside advisers engaged by the Compensaton Commitee, please see “Compensaton Discussion and Analysis” beginning on page 22 of this proxy statement.</w:t>
      </w:r>
    </w:p>
    <w:p>
      <w:pPr>
        <w:spacing w:after="0" w:line="220"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Certain key functons and responsibilites of our Compensaton Commitee are to:</w:t>
      </w:r>
    </w:p>
    <w:p>
      <w:pPr>
        <w:spacing w:after="0" w:line="110" w:lineRule="exact"/>
        <w:rPr>
          <w:sz w:val="20"/>
          <w:szCs w:val="20"/>
          <w:color w:val="auto"/>
        </w:rPr>
      </w:pPr>
    </w:p>
    <w:p>
      <w:pPr>
        <w:ind w:left="180" w:right="120" w:hanging="172"/>
        <w:spacing w:after="0" w:line="235" w:lineRule="auto"/>
        <w:tabs>
          <w:tab w:leader="none" w:pos="18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periodically review and make recommendatons to our Board as to our general compensaton philosophy and structure, including reviewing the compensaton programs for senior executves and all of our beneft plans to determine whether they are properly coordinated and achieve their intended purposes;</w:t>
      </w:r>
    </w:p>
    <w:p>
      <w:pPr>
        <w:spacing w:after="0" w:line="112" w:lineRule="exact"/>
        <w:rPr>
          <w:rFonts w:ascii="Times New Roman" w:cs="Times New Roman" w:eastAsia="Times New Roman" w:hAnsi="Times New Roman"/>
          <w:sz w:val="18"/>
          <w:szCs w:val="18"/>
          <w:color w:val="auto"/>
        </w:rPr>
      </w:pPr>
    </w:p>
    <w:p>
      <w:pPr>
        <w:ind w:left="180" w:right="20" w:hanging="172"/>
        <w:spacing w:after="0" w:line="235" w:lineRule="auto"/>
        <w:tabs>
          <w:tab w:leader="none" w:pos="18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annually review and approve corporate goals and objectves relevant to the compensaton of our Chief Executve Ofcer, evaluate his or her performance as measured against such goals and objectves and to set the salary and other cash and equity compensaton for our Chief Executve Ofcer based on such evaluaton;</w:t>
      </w:r>
    </w:p>
    <w:p>
      <w:pPr>
        <w:spacing w:after="0" w:line="112" w:lineRule="exact"/>
        <w:rPr>
          <w:rFonts w:ascii="Times New Roman" w:cs="Times New Roman" w:eastAsia="Times New Roman" w:hAnsi="Times New Roman"/>
          <w:sz w:val="18"/>
          <w:szCs w:val="18"/>
          <w:color w:val="auto"/>
        </w:rPr>
      </w:pPr>
    </w:p>
    <w:p>
      <w:pPr>
        <w:ind w:left="180" w:right="60" w:hanging="172"/>
        <w:spacing w:after="0" w:line="235" w:lineRule="auto"/>
        <w:tabs>
          <w:tab w:leader="none" w:pos="18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afer the end of the fscal year and in consultaton with our Chief Executve Ofcer, approve the compensaton of our senior executve ofcers who are required to make disclosures under Secton 16 of the Exchange Act, who we refer to as our “senior executve ofcers”;</w:t>
      </w:r>
    </w:p>
    <w:p>
      <w:pPr>
        <w:spacing w:after="0" w:line="20" w:lineRule="exact"/>
        <w:rPr>
          <w:sz w:val="20"/>
          <w:szCs w:val="20"/>
          <w:color w:val="auto"/>
        </w:rPr>
      </w:pPr>
      <w:r>
        <w:rPr>
          <w:sz w:val="20"/>
          <w:szCs w:val="20"/>
          <w:color w:val="auto"/>
        </w:rPr>
        <w:br w:type="column"/>
      </w:r>
    </w:p>
    <w:p>
      <w:pPr>
        <w:ind w:left="164" w:right="280" w:hanging="164"/>
        <w:spacing w:after="0" w:line="235" w:lineRule="auto"/>
        <w:tabs>
          <w:tab w:leader="none" w:pos="164"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administer the Company’s compensaton plans for which it is named as plan administrator, including our Incentve Plan;</w:t>
      </w:r>
    </w:p>
    <w:p>
      <w:pPr>
        <w:spacing w:after="0" w:line="109" w:lineRule="exact"/>
        <w:rPr>
          <w:rFonts w:ascii="Times New Roman" w:cs="Times New Roman" w:eastAsia="Times New Roman" w:hAnsi="Times New Roman"/>
          <w:sz w:val="18"/>
          <w:szCs w:val="18"/>
          <w:color w:val="auto"/>
        </w:rPr>
      </w:pPr>
    </w:p>
    <w:p>
      <w:pPr>
        <w:ind w:left="164" w:right="640" w:hanging="164"/>
        <w:spacing w:after="0" w:line="235" w:lineRule="auto"/>
        <w:tabs>
          <w:tab w:leader="none" w:pos="164"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report on compensaton policies and practces with respect to our executve ofcers as required by SEC rules;</w:t>
      </w:r>
    </w:p>
    <w:p>
      <w:pPr>
        <w:spacing w:after="0" w:line="109" w:lineRule="exact"/>
        <w:rPr>
          <w:rFonts w:ascii="Times New Roman" w:cs="Times New Roman" w:eastAsia="Times New Roman" w:hAnsi="Times New Roman"/>
          <w:sz w:val="18"/>
          <w:szCs w:val="18"/>
          <w:color w:val="auto"/>
        </w:rPr>
      </w:pPr>
    </w:p>
    <w:p>
      <w:pPr>
        <w:ind w:left="164" w:right="120" w:hanging="164"/>
        <w:spacing w:after="0" w:line="235" w:lineRule="auto"/>
        <w:tabs>
          <w:tab w:leader="none" w:pos="164"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recommend to the Board the compensaton of non-employee directors;</w:t>
      </w:r>
    </w:p>
    <w:p>
      <w:pPr>
        <w:spacing w:after="0" w:line="109" w:lineRule="exact"/>
        <w:rPr>
          <w:rFonts w:ascii="Times New Roman" w:cs="Times New Roman" w:eastAsia="Times New Roman" w:hAnsi="Times New Roman"/>
          <w:sz w:val="18"/>
          <w:szCs w:val="18"/>
          <w:color w:val="auto"/>
        </w:rPr>
      </w:pPr>
    </w:p>
    <w:p>
      <w:pPr>
        <w:ind w:left="164" w:right="720" w:hanging="164"/>
        <w:spacing w:after="0" w:line="235" w:lineRule="auto"/>
        <w:tabs>
          <w:tab w:leader="none" w:pos="164"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recommend stock ownership guidelines and monitor compliance therewith; and</w:t>
      </w:r>
    </w:p>
    <w:p>
      <w:pPr>
        <w:spacing w:after="0" w:line="109" w:lineRule="exact"/>
        <w:rPr>
          <w:rFonts w:ascii="Times New Roman" w:cs="Times New Roman" w:eastAsia="Times New Roman" w:hAnsi="Times New Roman"/>
          <w:sz w:val="18"/>
          <w:szCs w:val="18"/>
          <w:color w:val="auto"/>
        </w:rPr>
      </w:pPr>
    </w:p>
    <w:p>
      <w:pPr>
        <w:ind w:left="164" w:right="140" w:hanging="164"/>
        <w:spacing w:after="0" w:line="235" w:lineRule="auto"/>
        <w:tabs>
          <w:tab w:leader="none" w:pos="164"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assess the performance of the Compensaton Commitee and the adequacy of its charter annually and recommend any proposed changes to the Board.</w:t>
      </w:r>
    </w:p>
    <w:p>
      <w:pPr>
        <w:spacing w:after="0" w:line="219" w:lineRule="exact"/>
        <w:rPr>
          <w:sz w:val="20"/>
          <w:szCs w:val="20"/>
          <w:color w:val="auto"/>
        </w:rPr>
      </w:pPr>
    </w:p>
    <w:p>
      <w:pPr>
        <w:ind w:left="4"/>
        <w:spacing w:after="0" w:line="235" w:lineRule="auto"/>
        <w:rPr>
          <w:sz w:val="20"/>
          <w:szCs w:val="20"/>
          <w:color w:val="auto"/>
        </w:rPr>
      </w:pPr>
      <w:r>
        <w:rPr>
          <w:rFonts w:ascii="Calibri" w:cs="Calibri" w:eastAsia="Calibri" w:hAnsi="Calibri"/>
          <w:sz w:val="18"/>
          <w:szCs w:val="18"/>
          <w:color w:val="auto"/>
        </w:rPr>
        <w:t>In accordance with the terms of our Incentve Plan, the Compensaton Commitee has delegated to the Special Situaton Stock Opton Commitee (whose sole member is our CEO) the authority to grant tme-vestng stock optons in special circumstances. Under this authorizaton, the Special Situaton Stock Opton Commitee may grant stock optons to newly-hired employees and newly-promoted employees, under terms set by the Compensaton Commitee. This authority for fscal 2023, which expires on May 31, 2023, is limited to an aggregate of 60,000 opton shares, no one individual may receive more than 15,000 opton shares, and senior executve ofcers may not receive awards pursuant to this authority. Stock optons granted under this delegaton of authority vest 20% per year commencing on the frst anniversary of the grant date. During fscal 2022, no stock optons were granted to employees under this authority out of a maximum of 60,000.</w:t>
      </w:r>
    </w:p>
    <w:p>
      <w:pPr>
        <w:spacing w:after="0" w:line="228" w:lineRule="exact"/>
        <w:rPr>
          <w:sz w:val="20"/>
          <w:szCs w:val="20"/>
          <w:color w:val="auto"/>
        </w:rPr>
      </w:pPr>
    </w:p>
    <w:p>
      <w:pPr>
        <w:ind w:left="4" w:right="200"/>
        <w:spacing w:after="0" w:line="235" w:lineRule="auto"/>
        <w:rPr>
          <w:sz w:val="20"/>
          <w:szCs w:val="20"/>
          <w:color w:val="auto"/>
        </w:rPr>
      </w:pPr>
      <w:r>
        <w:rPr>
          <w:rFonts w:ascii="Calibri" w:cs="Calibri" w:eastAsia="Calibri" w:hAnsi="Calibri"/>
          <w:sz w:val="18"/>
          <w:szCs w:val="18"/>
          <w:color w:val="auto"/>
        </w:rPr>
        <w:t>Our Compensaton Commitee’s report for the fscal year ended March 31, 2022 is presented below under the heading “Compensaton Commitee Report” beginning on page 21 of this proxy statement.</w:t>
      </w:r>
    </w:p>
    <w:p>
      <w:pPr>
        <w:spacing w:after="0" w:line="219" w:lineRule="exact"/>
        <w:rPr>
          <w:sz w:val="20"/>
          <w:szCs w:val="20"/>
          <w:color w:val="auto"/>
        </w:rPr>
      </w:pPr>
    </w:p>
    <w:p>
      <w:pPr>
        <w:ind w:left="4" w:right="160"/>
        <w:spacing w:after="0" w:line="235" w:lineRule="auto"/>
        <w:rPr>
          <w:sz w:val="20"/>
          <w:szCs w:val="20"/>
          <w:color w:val="auto"/>
        </w:rPr>
      </w:pPr>
      <w:r>
        <w:rPr>
          <w:rFonts w:ascii="Calibri" w:cs="Calibri" w:eastAsia="Calibri" w:hAnsi="Calibri"/>
          <w:sz w:val="18"/>
          <w:szCs w:val="18"/>
          <w:color w:val="auto"/>
        </w:rPr>
        <w:t>Our Compensaton Commitee meets as ofen as it deems appropriate, but no less than twice per year.</w:t>
      </w:r>
    </w:p>
    <w:p>
      <w:pPr>
        <w:spacing w:after="0" w:line="213" w:lineRule="exact"/>
        <w:rPr>
          <w:sz w:val="20"/>
          <w:szCs w:val="20"/>
          <w:color w:val="auto"/>
        </w:rPr>
      </w:pPr>
    </w:p>
    <w:p>
      <w:pPr>
        <w:ind w:left="4"/>
        <w:spacing w:after="0"/>
        <w:rPr>
          <w:sz w:val="20"/>
          <w:szCs w:val="20"/>
          <w:color w:val="auto"/>
        </w:rPr>
      </w:pPr>
      <w:r>
        <w:rPr>
          <w:rFonts w:ascii="Calibri" w:cs="Calibri" w:eastAsia="Calibri" w:hAnsi="Calibri"/>
          <w:sz w:val="18"/>
          <w:szCs w:val="18"/>
          <w:b w:val="1"/>
          <w:bCs w:val="1"/>
          <w:i w:val="1"/>
          <w:iCs w:val="1"/>
          <w:u w:val="single" w:color="auto"/>
          <w:color w:val="auto"/>
        </w:rPr>
        <w:t>Governance Commitee</w:t>
      </w:r>
    </w:p>
    <w:p>
      <w:pPr>
        <w:spacing w:after="0" w:line="109" w:lineRule="exact"/>
        <w:rPr>
          <w:sz w:val="20"/>
          <w:szCs w:val="20"/>
          <w:color w:val="auto"/>
        </w:rPr>
      </w:pPr>
    </w:p>
    <w:p>
      <w:pPr>
        <w:ind w:left="4" w:right="100"/>
        <w:spacing w:after="0" w:line="251" w:lineRule="auto"/>
        <w:rPr>
          <w:sz w:val="20"/>
          <w:szCs w:val="20"/>
          <w:color w:val="auto"/>
        </w:rPr>
      </w:pPr>
      <w:r>
        <w:rPr>
          <w:rFonts w:ascii="Calibri" w:cs="Calibri" w:eastAsia="Calibri" w:hAnsi="Calibri"/>
          <w:sz w:val="17"/>
          <w:szCs w:val="17"/>
          <w:color w:val="auto"/>
        </w:rPr>
        <w:t>Our Board’s Governance Commitee is composed of independent directors who meet the corporate governance standards of the NYSE. The primary purposes of this commitee are: (1) to advise and counsel our Board and management regarding, and oversee, our governance, including our Board’s selecton of directors; (2) to develop and recommend to the Board a set of corporate governance principles for the Company; and (3) to oversee the evaluaton of our Board and management.</w:t>
      </w:r>
    </w:p>
    <w:p>
      <w:pPr>
        <w:spacing w:after="0" w:line="209" w:lineRule="exact"/>
        <w:rPr>
          <w:sz w:val="20"/>
          <w:szCs w:val="20"/>
          <w:color w:val="auto"/>
        </w:rPr>
      </w:pPr>
    </w:p>
    <w:p>
      <w:pPr>
        <w:jc w:val="both"/>
        <w:ind w:left="4" w:right="240"/>
        <w:spacing w:after="0" w:line="235" w:lineRule="auto"/>
        <w:rPr>
          <w:sz w:val="20"/>
          <w:szCs w:val="20"/>
          <w:color w:val="auto"/>
        </w:rPr>
      </w:pPr>
      <w:r>
        <w:rPr>
          <w:rFonts w:ascii="Calibri" w:cs="Calibri" w:eastAsia="Calibri" w:hAnsi="Calibri"/>
          <w:sz w:val="18"/>
          <w:szCs w:val="18"/>
          <w:color w:val="auto"/>
        </w:rPr>
        <w:t>Our Governance Commitee has adopted a writen charter, and our Board has also adopted Corporate Governance Guidelines. Both the Governance Commitee charter and the Corporate Governance</w:t>
      </w:r>
    </w:p>
    <w:p>
      <w:pPr>
        <w:spacing w:after="0" w:line="1404" w:lineRule="exact"/>
        <w:rPr>
          <w:sz w:val="20"/>
          <w:szCs w:val="20"/>
          <w:color w:val="auto"/>
        </w:rPr>
      </w:pPr>
    </w:p>
    <w:p>
      <w:pPr>
        <w:sectPr>
          <w:pgSz w:w="11900" w:h="16838" w:orient="portrait"/>
          <w:cols w:equalWidth="0" w:num="2">
            <w:col w:w="5480" w:space="256"/>
            <w:col w:w="5484"/>
          </w:cols>
          <w:pgMar w:left="320" w:top="117" w:right="359" w:bottom="1440" w:gutter="0" w:footer="0" w:header="0"/>
        </w:sectPr>
      </w:pPr>
    </w:p>
    <w:p>
      <w:pPr>
        <w:ind w:left="4060"/>
        <w:spacing w:after="0" w:line="231" w:lineRule="auto"/>
        <w:rPr>
          <w:sz w:val="20"/>
          <w:szCs w:val="20"/>
          <w:color w:val="auto"/>
        </w:rPr>
      </w:pPr>
      <w:r>
        <w:rPr>
          <w:rFonts w:ascii="Calibri" w:cs="Calibri" w:eastAsia="Calibri" w:hAnsi="Calibri"/>
          <w:sz w:val="20"/>
          <w:szCs w:val="20"/>
          <w:color w:val="auto"/>
        </w:rPr>
        <w:t>_______________________________</w:t>
      </w:r>
    </w:p>
    <w:p>
      <w:pPr>
        <w:jc w:val="center"/>
        <w:ind w:right="-19"/>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3" w:name="page24"/>
    <w:bookmarkEnd w:id="23"/>
    <w:p>
      <w:pPr>
        <w:ind w:right="480"/>
        <w:spacing w:after="0" w:line="235" w:lineRule="auto"/>
        <w:rPr>
          <w:sz w:val="20"/>
          <w:szCs w:val="20"/>
          <w:color w:val="auto"/>
        </w:rPr>
      </w:pPr>
      <w:r>
        <w:rPr>
          <w:rFonts w:ascii="Calibri" w:cs="Calibri" w:eastAsia="Calibri" w:hAnsi="Calibri"/>
          <w:sz w:val="18"/>
          <w:szCs w:val="18"/>
          <w:color w:val="auto"/>
        </w:rPr>
        <w:t xml:space="preserve">Guidelines may be viewed on our web site at </w:t>
      </w:r>
      <w:r>
        <w:rPr>
          <w:rFonts w:ascii="Calibri" w:cs="Calibri" w:eastAsia="Calibri" w:hAnsi="Calibri"/>
          <w:sz w:val="18"/>
          <w:szCs w:val="18"/>
          <w:i w:val="1"/>
          <w:iCs w:val="1"/>
          <w:color w:val="auto"/>
        </w:rPr>
        <w:t>www.eaglematerials.com</w:t>
      </w:r>
      <w:r>
        <w:rPr>
          <w:rFonts w:ascii="Calibri" w:cs="Calibri" w:eastAsia="Calibri" w:hAnsi="Calibri"/>
          <w:sz w:val="18"/>
          <w:szCs w:val="18"/>
          <w:color w:val="auto"/>
        </w:rPr>
        <w:t xml:space="preserve"> and will be provided free of charge upon writen request to our Secretary at our principal executve ofce.</w:t>
      </w:r>
    </w:p>
    <w:p>
      <w:pPr>
        <w:sectPr>
          <w:pgSz w:w="11900" w:h="16838" w:orient="portrait"/>
          <w:cols w:equalWidth="0" w:num="1">
            <w:col w:w="11240"/>
          </w:cols>
          <w:pgMar w:left="320" w:top="333" w:right="339" w:bottom="1440" w:gutter="0" w:footer="0" w:header="0"/>
        </w:sectPr>
      </w:pPr>
    </w:p>
    <w:p>
      <w:pPr>
        <w:spacing w:after="0" w:line="218"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Certain key functons and responsibilites of our Governance Commitee are to:</w:t>
      </w:r>
    </w:p>
    <w:p>
      <w:pPr>
        <w:spacing w:after="0" w:line="110" w:lineRule="exact"/>
        <w:rPr>
          <w:sz w:val="20"/>
          <w:szCs w:val="20"/>
          <w:color w:val="auto"/>
        </w:rPr>
      </w:pPr>
    </w:p>
    <w:p>
      <w:pPr>
        <w:ind w:left="180" w:right="820" w:hanging="172"/>
        <w:spacing w:after="0" w:line="258" w:lineRule="auto"/>
        <w:tabs>
          <w:tab w:leader="none" w:pos="180" w:val="left"/>
        </w:tabs>
        <w:numPr>
          <w:ilvl w:val="0"/>
          <w:numId w:val="13"/>
        </w:numPr>
        <w:rPr>
          <w:rFonts w:ascii="Times New Roman" w:cs="Times New Roman" w:eastAsia="Times New Roman" w:hAnsi="Times New Roman"/>
          <w:sz w:val="17"/>
          <w:szCs w:val="17"/>
          <w:color w:val="auto"/>
        </w:rPr>
      </w:pPr>
      <w:r>
        <w:rPr>
          <w:rFonts w:ascii="Calibri" w:cs="Calibri" w:eastAsia="Calibri" w:hAnsi="Calibri"/>
          <w:sz w:val="17"/>
          <w:szCs w:val="17"/>
          <w:color w:val="auto"/>
        </w:rPr>
        <w:t>develop, periodically review and recommend a set of corporate governance guidelines for the Company to the Board;</w:t>
      </w:r>
    </w:p>
    <w:p>
      <w:pPr>
        <w:spacing w:after="0" w:line="93" w:lineRule="exact"/>
        <w:rPr>
          <w:rFonts w:ascii="Times New Roman" w:cs="Times New Roman" w:eastAsia="Times New Roman" w:hAnsi="Times New Roman"/>
          <w:sz w:val="17"/>
          <w:szCs w:val="17"/>
          <w:color w:val="auto"/>
        </w:rPr>
      </w:pPr>
    </w:p>
    <w:p>
      <w:pPr>
        <w:ind w:left="180" w:right="800" w:hanging="172"/>
        <w:spacing w:after="0" w:line="235" w:lineRule="auto"/>
        <w:tabs>
          <w:tab w:leader="none" w:pos="1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periodically review corporate governance maters generally and recommend acton to the Board where appropriate;</w:t>
      </w:r>
    </w:p>
    <w:p>
      <w:pPr>
        <w:spacing w:after="0" w:line="109" w:lineRule="exact"/>
        <w:rPr>
          <w:rFonts w:ascii="Times New Roman" w:cs="Times New Roman" w:eastAsia="Times New Roman" w:hAnsi="Times New Roman"/>
          <w:sz w:val="18"/>
          <w:szCs w:val="18"/>
          <w:color w:val="auto"/>
        </w:rPr>
      </w:pPr>
    </w:p>
    <w:p>
      <w:pPr>
        <w:ind w:left="180" w:right="240" w:hanging="172"/>
        <w:spacing w:after="0" w:line="235" w:lineRule="auto"/>
        <w:tabs>
          <w:tab w:leader="none" w:pos="1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assess the adequacy of its charter annually and recommend any proposed changes to our Board for approval;</w:t>
      </w:r>
    </w:p>
    <w:p>
      <w:pPr>
        <w:spacing w:after="0" w:line="109" w:lineRule="exact"/>
        <w:rPr>
          <w:rFonts w:ascii="Times New Roman" w:cs="Times New Roman" w:eastAsia="Times New Roman" w:hAnsi="Times New Roman"/>
          <w:sz w:val="18"/>
          <w:szCs w:val="18"/>
          <w:color w:val="auto"/>
        </w:rPr>
      </w:pPr>
    </w:p>
    <w:p>
      <w:pPr>
        <w:ind w:left="180" w:right="860" w:hanging="172"/>
        <w:spacing w:after="0" w:line="235" w:lineRule="auto"/>
        <w:tabs>
          <w:tab w:leader="none" w:pos="1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monitor the quality and sufciency of informaton furnished by management to our Board;</w:t>
      </w:r>
    </w:p>
    <w:p>
      <w:pPr>
        <w:spacing w:after="0" w:line="109" w:lineRule="exact"/>
        <w:rPr>
          <w:rFonts w:ascii="Times New Roman" w:cs="Times New Roman" w:eastAsia="Times New Roman" w:hAnsi="Times New Roman"/>
          <w:sz w:val="18"/>
          <w:szCs w:val="18"/>
          <w:color w:val="auto"/>
        </w:rPr>
      </w:pPr>
    </w:p>
    <w:p>
      <w:pPr>
        <w:ind w:left="180" w:right="600" w:hanging="172"/>
        <w:spacing w:after="0" w:line="235" w:lineRule="auto"/>
        <w:tabs>
          <w:tab w:leader="none" w:pos="1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actvely seek, recruit, screen, and interview individuals qualifed to become members of the Board, and consider management’s recommendatons for director candidates;</w:t>
      </w:r>
    </w:p>
    <w:p>
      <w:pPr>
        <w:spacing w:after="0" w:line="110" w:lineRule="exact"/>
        <w:rPr>
          <w:rFonts w:ascii="Times New Roman" w:cs="Times New Roman" w:eastAsia="Times New Roman" w:hAnsi="Times New Roman"/>
          <w:sz w:val="18"/>
          <w:szCs w:val="18"/>
          <w:color w:val="auto"/>
        </w:rPr>
      </w:pPr>
    </w:p>
    <w:p>
      <w:pPr>
        <w:ind w:left="180" w:right="220" w:hanging="172"/>
        <w:spacing w:after="0" w:line="258" w:lineRule="auto"/>
        <w:tabs>
          <w:tab w:leader="none" w:pos="180" w:val="left"/>
        </w:tabs>
        <w:numPr>
          <w:ilvl w:val="0"/>
          <w:numId w:val="13"/>
        </w:numPr>
        <w:rPr>
          <w:rFonts w:ascii="Times New Roman" w:cs="Times New Roman" w:eastAsia="Times New Roman" w:hAnsi="Times New Roman"/>
          <w:sz w:val="17"/>
          <w:szCs w:val="17"/>
          <w:color w:val="auto"/>
        </w:rPr>
      </w:pPr>
      <w:r>
        <w:rPr>
          <w:rFonts w:ascii="Calibri" w:cs="Calibri" w:eastAsia="Calibri" w:hAnsi="Calibri"/>
          <w:sz w:val="17"/>
          <w:szCs w:val="17"/>
          <w:color w:val="auto"/>
        </w:rPr>
        <w:t>evaluate the qualifcatons and performance of incumbent directors and determine whether to recommend them for re-electon to the Board;</w:t>
      </w:r>
    </w:p>
    <w:p>
      <w:pPr>
        <w:spacing w:after="0" w:line="89" w:lineRule="exact"/>
        <w:rPr>
          <w:rFonts w:ascii="Times New Roman" w:cs="Times New Roman" w:eastAsia="Times New Roman" w:hAnsi="Times New Roman"/>
          <w:sz w:val="17"/>
          <w:szCs w:val="17"/>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 and periodically re-evaluate criteria for Board membership;</w:t>
      </w:r>
    </w:p>
    <w:p>
      <w:pPr>
        <w:spacing w:after="0" w:line="109" w:lineRule="exact"/>
        <w:rPr>
          <w:rFonts w:ascii="Times New Roman" w:cs="Times New Roman" w:eastAsia="Times New Roman" w:hAnsi="Times New Roman"/>
          <w:sz w:val="18"/>
          <w:szCs w:val="18"/>
          <w:color w:val="auto"/>
        </w:rPr>
      </w:pPr>
    </w:p>
    <w:p>
      <w:pPr>
        <w:ind w:left="180" w:right="760" w:hanging="172"/>
        <w:spacing w:after="0" w:line="235" w:lineRule="auto"/>
        <w:tabs>
          <w:tab w:leader="none" w:pos="1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recommend to the Board the director nominees for each annual stockholders’ meetng; and</w:t>
      </w:r>
    </w:p>
    <w:p>
      <w:pPr>
        <w:spacing w:after="0" w:line="10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recommend to the Board nominees for each commitee of the Board.</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Governance Commitee initates and oversees an annual evaluaton of the efectveness of the Board and each commitee, as well as the compositon, organizaton (including commitee structure, membership and leadership) and practces of the Board. The format of this evaluaton varies year-to-year, as determined by the Governance Commitee each year. In some years, directors react to a series of questons with a score/ranking. In other years, discussion questons are circulated prior to a meetng for discussion at the meetng. In the most-recent year, the chair of the Governance Commitee conducted one-on-one interviews with each director and synthesized the take-aways from those conversatons at a meetng. Any director feedback gathered prior to a meetng that is delivered or discussed at the meetng is communicated in a way that does not atribute the feedback to a partcular director. Part of the Governance Commitee’s self-evaluaton process involves an assessment of the efectveness of the Company’s corporate governance policies, which includes the Company’s policies surrounding diversity.</w:t>
      </w:r>
    </w:p>
    <w:p>
      <w:pPr>
        <w:spacing w:after="0" w:line="230" w:lineRule="exact"/>
        <w:rPr>
          <w:sz w:val="20"/>
          <w:szCs w:val="20"/>
          <w:color w:val="auto"/>
        </w:rPr>
      </w:pPr>
    </w:p>
    <w:p>
      <w:pPr>
        <w:spacing w:after="0" w:line="249" w:lineRule="auto"/>
        <w:rPr>
          <w:sz w:val="20"/>
          <w:szCs w:val="20"/>
          <w:color w:val="auto"/>
        </w:rPr>
      </w:pPr>
      <w:r>
        <w:rPr>
          <w:rFonts w:ascii="Calibri" w:cs="Calibri" w:eastAsia="Calibri" w:hAnsi="Calibri"/>
          <w:sz w:val="17"/>
          <w:szCs w:val="17"/>
          <w:color w:val="auto"/>
        </w:rPr>
        <w:t>Among the criteria the Governance Commitee uses in evaluatng the suitability of individual nominees for director (whether such nominatons are made by management, a stockholder or otherwise) are their integrity, experience, achievements, judgment, intelligence, personal character, ability to make independent analytcal inquiries, willingness to devote adequate tme to Board dutes and the likelihood that he or she will be able to serve on the Board for a sufcient period of tme to make a meaningful contributon. The Governance Commitee also gives consideraton to whether the nominees and Board members refect a diversity in perspectves, backgrounds, business experiences, professional expertse, gender and ethnic background. Subject to its fduciary dutes and applicable laws and regulatons, when searching for new directors, the Governance Commitee is charged with endeavoring to identfy highly qualifed diverse candidates, including women and individuals from minority groups, to include in the pool of candidates from which director nominees are chosen. The Governance Commitee is proud of the Company’s progress with regard to diversity on the Board, having added three diverse directors in the past fve years.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Members of the Governance Commitee, other members of the Board or executve ofcers may, from tme to tme, identfy potental candidates for nominaton to our Board. All proposed nominees, including candidates recommended for nominaton by stockholders in accordance with the procedures described below, will be evaluated in light of the criteria described above and the projected needs of the Board at the tme. As set forth in its charter, the Governance Commitee may retain a search frm to assist in identfying potental candidates for nominaton to the Board of Directors.</w:t>
      </w:r>
    </w:p>
    <w:p>
      <w:pPr>
        <w:spacing w:after="0" w:line="22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Governance Commitee will consider candidates recommended by stockholders for electon to our Board. A stockholder who wishes to recommend a candidate for evaluaton by our Governance Commitee should forward the candidate’s name, business or residence address, principal occupaton or employment and a descripton of the candidate’s qualifcatons to the Chairman of the Governance Commitee at the following address: Eagle Materials Inc., Atenton: Secretary, 5960 Berkshire Ln., Suite 900, Dallas, Texas 75225.</w:t>
      </w:r>
    </w:p>
    <w:p>
      <w:pPr>
        <w:spacing w:after="0" w:line="223" w:lineRule="exact"/>
        <w:rPr>
          <w:sz w:val="20"/>
          <w:szCs w:val="20"/>
          <w:color w:val="auto"/>
        </w:rPr>
      </w:pPr>
    </w:p>
    <w:p>
      <w:pPr>
        <w:ind w:right="40"/>
        <w:spacing w:after="0" w:line="250" w:lineRule="auto"/>
        <w:rPr>
          <w:sz w:val="20"/>
          <w:szCs w:val="20"/>
          <w:color w:val="auto"/>
        </w:rPr>
      </w:pPr>
      <w:r>
        <w:rPr>
          <w:rFonts w:ascii="Calibri" w:cs="Calibri" w:eastAsia="Calibri" w:hAnsi="Calibri"/>
          <w:sz w:val="17"/>
          <w:szCs w:val="17"/>
          <w:color w:val="auto"/>
        </w:rPr>
        <w:t>Our Bylaws provide that, to be considered at the 2023 annual meetng, stockholder nominatons for the Board of Directors must be submited in writng and received by our Secretary at the executve ofces of the Company during the period beginning on February 4, 2023 and ending May 5, 2023, and must contain the informaton specifed by and otherwise comply with the terms of our Bylaws. Any stockholder wishing to receive a copy of our Bylaws should direct a writen request to our Secretary at the Company’s principal executve ofces. No nominees for electon to the Board at our 2022 annual meetng of stockholders were submited by stockholders.</w:t>
      </w:r>
    </w:p>
    <w:p>
      <w:pPr>
        <w:spacing w:after="0" w:line="2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Executve Commitee</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principal functon of our Board’s Executve Commitee is to exercise all of the powers of the Board to direct our business and afairs between meetngs of the Board, except that the Executve Commitee may not amend our Certfcate of Incorporaton or Bylaws, adopt an agreement of merger or consolidaton under Delaware law, recommend the sale of all or substantally all of our assets or recommend the dissoluton of the Company or the revocaton of a dissoluton. In additon, unless authorized by resoluton of our Board of Directors, the Executve Commitee may not declare a dividend, authorize the issuance of stock or adopt a certfcate of ownership and merger under Delaware law.</w:t>
      </w:r>
    </w:p>
    <w:p>
      <w:pPr>
        <w:spacing w:after="0" w:line="3885" w:lineRule="exact"/>
        <w:rPr>
          <w:sz w:val="20"/>
          <w:szCs w:val="20"/>
          <w:color w:val="auto"/>
        </w:rPr>
      </w:pPr>
    </w:p>
    <w:p>
      <w:pPr>
        <w:sectPr>
          <w:pgSz w:w="11900" w:h="16838" w:orient="portrait"/>
          <w:cols w:equalWidth="0" w:num="2">
            <w:col w:w="5500" w:space="240"/>
            <w:col w:w="5500"/>
          </w:cols>
          <w:pgMar w:left="320" w:top="333" w:right="339" w:bottom="1440" w:gutter="0" w:footer="0" w:header="0"/>
          <w:type w:val="continuous"/>
        </w:sect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4" w:name="page25"/>
    <w:bookmarkEnd w:id="24"/>
    <w:p>
      <w:pPr>
        <w:spacing w:after="0" w:line="10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Compensaton Commitee Interlocks and Insider Partcipaton</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No member of our Compensaton Commitee had a relatonship during the fscal year ended March 31, 2022 that requires disclosure as a Compensaton Commitee interlock.</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How to Contact Our Board</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alibri" w:cs="Calibri" w:eastAsia="Calibri" w:hAnsi="Calibri"/>
          <w:sz w:val="18"/>
          <w:szCs w:val="18"/>
          <w:color w:val="auto"/>
        </w:rPr>
        <w:t>Shareholders and other interested partes can communicate directly with our Board, a commitee of our Board, our independent directors as a group, our Chairman of the Board or any other individual member of our Board by sending the communicaton to Eagle Materials Inc., 5960 Berkshire Ln., Suite 900, Dallas, Texas 75225, to the atenton of the director or directors of your choice (e.g., “Atenton: Chairman of the Board of Directors” or “Atenton: All Independent Directors,” etc.). We will relay communicatons addressed in this manner as appropriate. Communicatons addressed to the atenton of the entre Board are forwarded to the Chairman of the Board for review and further handling.</w:t>
      </w:r>
    </w:p>
    <w:p>
      <w:pPr>
        <w:spacing w:after="0" w:line="200" w:lineRule="exact"/>
        <w:rPr>
          <w:sz w:val="20"/>
          <w:szCs w:val="20"/>
          <w:color w:val="auto"/>
        </w:rPr>
      </w:pPr>
    </w:p>
    <w:p>
      <w:pPr>
        <w:sectPr>
          <w:pgSz w:w="11900" w:h="16838" w:orient="portrait"/>
          <w:cols w:equalWidth="0" w:num="2">
            <w:col w:w="5460" w:space="280"/>
            <w:col w:w="550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bookmarkStart w:id="25" w:name="page26"/>
    <w:bookmarkEnd w:id="25"/>
    <w:p>
      <w:pPr>
        <w:jc w:val="center"/>
        <w:ind w:right="-19"/>
        <w:spacing w:after="0"/>
        <w:rPr>
          <w:sz w:val="20"/>
          <w:szCs w:val="20"/>
          <w:color w:val="auto"/>
        </w:rPr>
      </w:pPr>
      <w:r>
        <w:rPr>
          <w:rFonts w:ascii="Calibri" w:cs="Calibri" w:eastAsia="Calibri" w:hAnsi="Calibri"/>
          <w:sz w:val="25"/>
          <w:szCs w:val="25"/>
          <w:b w:val="1"/>
          <w:bCs w:val="1"/>
          <w:color w:val="4472C4"/>
        </w:rPr>
        <w:t>EXECUTIVE OFFICERS WHO ARE NOT DIRECTORS</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list sets forth the names, ages as of the date of this proxy statement and principal occupatons of each person who was an executve ofcer of the Company during the fscal year ended March 31, 2022 and who is not also a member of our Board. All of these persons were elected to serve untl the next annual meetng of our Board or untl their earlier resignaton or removal. James H. Graass retred from his positon as Executve Vice President, General Counsel and Secretary of the Company efectve as of June 3, 2022. The Board has appointed Mat Newby as Executve Vice President, General Counsel and Secretary, efectve at the tme of Mr. Graass’s retrement.</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D. Craig Kesler</w:t>
      </w: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46</w:t>
      </w:r>
    </w:p>
    <w:p>
      <w:pPr>
        <w:spacing w:after="0" w:line="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Executve Vice President – Finance and Administraton and Chief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Financial Ofcer (has held current ofce since August 2009; Vice President – Investor Relatons and Corporate Development from March 2005 through August 2009; Audit Manager with Ernst &amp; Young LLP from April 2002 through September 2004).</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Robert S. Stewart</w:t>
      </w: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68</w:t>
      </w:r>
    </w:p>
    <w:p>
      <w:pPr>
        <w:spacing w:after="0" w:line="1"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Executve Vice President – Strategy, Corporate Development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Communicatons (has held current ofce since August 2009; Senior Vice President of Centex from 2000 through August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James H. Graass</w:t>
      </w:r>
    </w:p>
    <w:p>
      <w:pPr>
        <w:spacing w:after="0" w:line="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64</w:t>
      </w:r>
    </w:p>
    <w:p>
      <w:pPr>
        <w:spacing w:after="0" w:line="1"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Retred Executve Vice President, General Counsel and Secretary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(Executve Vice President and General Counsel since November 2000; Mr. Graass was named Secretary of the Company in July 2001). Mr. Graass retred from the Company on June 3, 2022.</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Steven L. Wentzel</w:t>
      </w:r>
    </w:p>
    <w:p>
      <w:pPr>
        <w:spacing w:after="0" w:line="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61</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President – American Gypsum Company LLC (has held current ofce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since June 2020; Vice President Manufacturing of American Gypsum from July 2012 through May 2020).</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William R. Devlin</w:t>
      </w: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56</w:t>
      </w:r>
    </w:p>
    <w:p>
      <w:pPr>
        <w:spacing w:after="0" w:line="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Senior Vice President, Controller and Chief Accountng Ofcer (has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held current ofce since August 2009; Vice President and Controller from October 2005 through August 2009; Director of Internal Audit from September 2004 through September 2005; Senior Manager with PricewaterhouseCoopers LLP from July 1999 through August 2004).</w:t>
      </w:r>
    </w:p>
    <w:p>
      <w:pPr>
        <w:spacing w:after="0" w:line="768" w:lineRule="exact"/>
        <w:rPr>
          <w:sz w:val="20"/>
          <w:szCs w:val="20"/>
          <w:color w:val="auto"/>
        </w:rPr>
      </w:pPr>
    </w:p>
    <w:p>
      <w:pPr>
        <w:sectPr>
          <w:pgSz w:w="11900" w:h="16838" w:orient="portrait"/>
          <w:cols w:equalWidth="0" w:num="2">
            <w:col w:w="5500" w:space="240"/>
            <w:col w:w="5500"/>
          </w:cols>
          <w:pgMar w:left="320" w:top="342"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740"/>
        <w:spacing w:after="0"/>
        <w:rPr>
          <w:sz w:val="20"/>
          <w:szCs w:val="20"/>
          <w:color w:val="auto"/>
        </w:rPr>
      </w:pPr>
      <w:r>
        <w:rPr>
          <w:rFonts w:ascii="Calibri" w:cs="Calibri" w:eastAsia="Calibri" w:hAnsi="Calibri"/>
          <w:sz w:val="25"/>
          <w:szCs w:val="25"/>
          <w:b w:val="1"/>
          <w:bCs w:val="1"/>
          <w:color w:val="4472C4"/>
        </w:rPr>
        <w:t>COMPENSATION COMMITTEE REPORT</w:t>
      </w:r>
    </w:p>
    <w:p>
      <w:pPr>
        <w:spacing w:after="0" w:line="22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Compensaton Commitee has reviewed and discussed the Compensaton Discussion and Analysis contained in this Proxy Statement with management, which has the responsibility for preparing the Compensaton Discussion and Analysis. Based on such review and discussion, the Compensaton Commitee recommended to the Board of Directors that the Compensaton Discussion and Analysis be included in this Proxy Statement.</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Compensaton Commitee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51" w:lineRule="auto"/>
        <w:rPr>
          <w:sz w:val="20"/>
          <w:szCs w:val="20"/>
          <w:color w:val="auto"/>
        </w:rPr>
      </w:pPr>
      <w:r>
        <w:rPr>
          <w:rFonts w:ascii="Calibri" w:cs="Calibri" w:eastAsia="Calibri" w:hAnsi="Calibri"/>
          <w:sz w:val="17"/>
          <w:szCs w:val="17"/>
          <w:b w:val="1"/>
          <w:bCs w:val="1"/>
          <w:color w:val="auto"/>
        </w:rPr>
        <w:t>This report of the Compensaton Commitee does not consttute “solicitng material” and should not be considered to be “fled” or incorporated by reference into any of the other Company flings under the Securites Act of 1933 or the Securites Exchange Act of 1934, except to the extent the Company specifcally requests that the informaton be treated as solicitng material or specifcally incorporates this report by reference therein.</w:t>
      </w:r>
    </w:p>
    <w:p>
      <w:pPr>
        <w:spacing w:after="0" w:line="1163" w:lineRule="exact"/>
        <w:rPr>
          <w:sz w:val="20"/>
          <w:szCs w:val="20"/>
          <w:color w:val="auto"/>
        </w:rPr>
      </w:pPr>
    </w:p>
    <w:p>
      <w:pPr>
        <w:sectPr>
          <w:pgSz w:w="11900" w:h="16838" w:orient="portrait"/>
          <w:cols w:equalWidth="0" w:num="2">
            <w:col w:w="5480" w:space="260"/>
            <w:col w:w="5500"/>
          </w:cols>
          <w:pgMar w:left="320" w:top="342" w:right="339" w:bottom="1440" w:gutter="0" w:footer="0" w:header="0"/>
          <w:type w:val="continuous"/>
        </w:sectPr>
      </w:pPr>
    </w:p>
    <w:p>
      <w:pPr>
        <w:spacing w:after="0"/>
        <w:rPr>
          <w:sz w:val="20"/>
          <w:szCs w:val="20"/>
          <w:color w:val="auto"/>
        </w:rPr>
      </w:pPr>
      <w:r>
        <w:rPr>
          <w:rFonts w:ascii="Calibri" w:cs="Calibri" w:eastAsia="Calibri" w:hAnsi="Calibri"/>
          <w:sz w:val="18"/>
          <w:szCs w:val="18"/>
          <w:color w:val="auto"/>
        </w:rPr>
        <w:t xml:space="preserve">George J. Damiris, </w:t>
      </w:r>
      <w:r>
        <w:rPr>
          <w:rFonts w:ascii="Calibri" w:cs="Calibri" w:eastAsia="Calibri" w:hAnsi="Calibri"/>
          <w:sz w:val="18"/>
          <w:szCs w:val="18"/>
          <w:i w:val="1"/>
          <w:iCs w:val="1"/>
          <w:color w:val="auto"/>
        </w:rPr>
        <w:t>Chairman</w:t>
      </w:r>
    </w:p>
    <w:p>
      <w:pPr>
        <w:spacing w:after="0" w:line="235" w:lineRule="auto"/>
        <w:rPr>
          <w:sz w:val="20"/>
          <w:szCs w:val="20"/>
          <w:color w:val="auto"/>
        </w:rPr>
      </w:pPr>
      <w:r>
        <w:rPr>
          <w:rFonts w:ascii="Calibri" w:cs="Calibri" w:eastAsia="Calibri" w:hAnsi="Calibri"/>
          <w:sz w:val="18"/>
          <w:szCs w:val="18"/>
          <w:color w:val="auto"/>
        </w:rPr>
        <w:t>Ed H. Bowman</w:t>
      </w:r>
    </w:p>
    <w:p>
      <w:pPr>
        <w:spacing w:after="0" w:line="236" w:lineRule="auto"/>
        <w:rPr>
          <w:sz w:val="20"/>
          <w:szCs w:val="20"/>
          <w:color w:val="auto"/>
        </w:rPr>
      </w:pPr>
      <w:r>
        <w:rPr>
          <w:rFonts w:ascii="Calibri" w:cs="Calibri" w:eastAsia="Calibri" w:hAnsi="Calibri"/>
          <w:sz w:val="18"/>
          <w:szCs w:val="18"/>
          <w:color w:val="auto"/>
        </w:rPr>
        <w:t>Margot L. Carter</w:t>
      </w:r>
    </w:p>
    <w:p>
      <w:pPr>
        <w:spacing w:after="0" w:line="236" w:lineRule="auto"/>
        <w:rPr>
          <w:sz w:val="20"/>
          <w:szCs w:val="20"/>
          <w:color w:val="auto"/>
        </w:rPr>
      </w:pPr>
      <w:r>
        <w:rPr>
          <w:rFonts w:ascii="Calibri" w:cs="Calibri" w:eastAsia="Calibri" w:hAnsi="Calibri"/>
          <w:sz w:val="18"/>
          <w:szCs w:val="18"/>
          <w:color w:val="auto"/>
        </w:rPr>
        <w:t>Michael R. Nicolais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26" w:name="page27"/>
    <w:bookmarkEnd w:id="26"/>
    <w:p>
      <w:pPr>
        <w:jc w:val="center"/>
        <w:ind w:right="-19"/>
        <w:spacing w:after="0"/>
        <w:rPr>
          <w:sz w:val="20"/>
          <w:szCs w:val="20"/>
          <w:color w:val="auto"/>
        </w:rPr>
      </w:pPr>
      <w:r>
        <w:rPr>
          <w:rFonts w:ascii="Calibri" w:cs="Calibri" w:eastAsia="Calibri" w:hAnsi="Calibri"/>
          <w:sz w:val="25"/>
          <w:szCs w:val="25"/>
          <w:b w:val="1"/>
          <w:bCs w:val="1"/>
          <w:color w:val="4472C4"/>
        </w:rPr>
        <w:t>COMPENSATION DISCUSSION AND ANALYSIS</w:t>
      </w:r>
    </w:p>
    <w:p>
      <w:pPr>
        <w:sectPr>
          <w:pgSz w:w="11900" w:h="16838" w:orient="portrait"/>
          <w:cols w:equalWidth="0" w:num="1">
            <w:col w:w="11220"/>
          </w:cols>
          <w:pgMar w:left="320" w:top="450" w:right="3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Our Year in Review</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Strong Performance</w:t>
      </w:r>
    </w:p>
    <w:p>
      <w:pPr>
        <w:spacing w:after="0" w:line="109"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In fscal 2022, Eagle faced several external challenges—the contnued COVID-19 pandemic, supply chain constraints and transportaton disruptons. We managed through these challenges to generate another year of strong fnancial performance, achieving record revenue of $1.9 billion, record net earnings of $374.2 million and record diluted earnings per share of $9.14. Early in the fscal year, we also completed a refnancing of our capital structure at atractve rates, giving us additonal fnancial fexibility going forward. Eagle’s accomplishments this year are a testament to the operatng strength of our businesses and the focus of our talented people.</w:t>
      </w:r>
    </w:p>
    <w:p>
      <w:pPr>
        <w:spacing w:after="0" w:line="10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Compensaton Commitee’s long-standing principles contnued to guide its decision-making through this challenging year. As noted elsewhere in this proxy statement, these guiding principles include aligning pay with performance; driving business results and long-term shareholder value; and paying compettvely, while mitgatng compensaton-related risk and supportng efectve succession planning.</w:t>
      </w:r>
    </w:p>
    <w:p>
      <w:pPr>
        <w:spacing w:after="0" w:line="11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As ESG maters have become increasingly important, the Compensaton Commitee has included items in the goals and objectves of the executve team to beter engage and align their eforts in these areas. Over half of our Chief Executve Ofcer’s annual bonus related to factors advancing the Company’s ESG priorites.</w:t>
      </w:r>
    </w:p>
    <w:p>
      <w:pPr>
        <w:spacing w:after="0" w:line="11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Employee health and safety remain a top priority for management, and Eagle’s safety performance has consistently outpaced the industry averages. This year, we also made signifcant strides to reduce our carbon footprint with the introducton of our new Portland Limestone Cement product, which has lower carbon intensity than standard cement with similar performance atributes.</w:t>
      </w:r>
    </w:p>
    <w:p>
      <w:pPr>
        <w:spacing w:after="0" w:line="113"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As we face the new challenges of fscal 2023, we are confdent the Compensaton Commitee’s principles will contnue to demonstrate their durability and adaptability going forward.</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Named Executve Ofcers</w:t>
      </w:r>
    </w:p>
    <w:p>
      <w:pPr>
        <w:spacing w:after="0" w:line="11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This Compensaton Discussion and Analysis is intended to provide investors with a more complete understanding of our compensaton policies and decisions during fscal 2022 for the following persons who were “Named Executve Ofcers” during such fscal year:</w:t>
      </w:r>
    </w:p>
    <w:p>
      <w:pPr>
        <w:spacing w:after="0" w:line="215" w:lineRule="exact"/>
        <w:rPr>
          <w:sz w:val="20"/>
          <w:szCs w:val="20"/>
          <w:color w:val="auto"/>
        </w:rPr>
      </w:pPr>
    </w:p>
    <w:p>
      <w:pPr>
        <w:ind w:left="20"/>
        <w:spacing w:after="0"/>
        <w:tabs>
          <w:tab w:leader="none" w:pos="1900" w:val="left"/>
        </w:tabs>
        <w:rPr>
          <w:sz w:val="20"/>
          <w:szCs w:val="20"/>
          <w:color w:val="auto"/>
        </w:rPr>
      </w:pPr>
      <w:r>
        <w:rPr>
          <w:rFonts w:ascii="Calibri" w:cs="Calibri" w:eastAsia="Calibri" w:hAnsi="Calibri"/>
          <w:sz w:val="18"/>
          <w:szCs w:val="18"/>
          <w:color w:val="auto"/>
        </w:rPr>
        <w:t>Michael R. Haack</w:t>
      </w:r>
      <w:r>
        <w:rPr>
          <w:sz w:val="20"/>
          <w:szCs w:val="20"/>
          <w:color w:val="auto"/>
        </w:rPr>
        <w:tab/>
      </w:r>
      <w:r>
        <w:rPr>
          <w:rFonts w:ascii="Calibri" w:cs="Calibri" w:eastAsia="Calibri" w:hAnsi="Calibri"/>
          <w:sz w:val="18"/>
          <w:szCs w:val="18"/>
          <w:color w:val="auto"/>
        </w:rPr>
        <w:t>President and Chief Executve Ofcer</w:t>
      </w:r>
    </w:p>
    <w:p>
      <w:pPr>
        <w:spacing w:after="0" w:line="212" w:lineRule="exact"/>
        <w:rPr>
          <w:sz w:val="20"/>
          <w:szCs w:val="20"/>
          <w:color w:val="auto"/>
        </w:rPr>
      </w:pPr>
    </w:p>
    <w:p>
      <w:pPr>
        <w:ind w:left="20"/>
        <w:spacing w:after="0"/>
        <w:tabs>
          <w:tab w:leader="none" w:pos="1900" w:val="left"/>
        </w:tabs>
        <w:rPr>
          <w:sz w:val="20"/>
          <w:szCs w:val="20"/>
          <w:color w:val="auto"/>
        </w:rPr>
      </w:pPr>
      <w:r>
        <w:rPr>
          <w:rFonts w:ascii="Calibri" w:cs="Calibri" w:eastAsia="Calibri" w:hAnsi="Calibri"/>
          <w:sz w:val="18"/>
          <w:szCs w:val="18"/>
          <w:color w:val="auto"/>
        </w:rPr>
        <w:t>D. Craig Kesler</w:t>
      </w:r>
      <w:r>
        <w:rPr>
          <w:sz w:val="20"/>
          <w:szCs w:val="20"/>
          <w:color w:val="auto"/>
        </w:rPr>
        <w:tab/>
      </w:r>
      <w:r>
        <w:rPr>
          <w:rFonts w:ascii="Calibri" w:cs="Calibri" w:eastAsia="Calibri" w:hAnsi="Calibri"/>
          <w:sz w:val="17"/>
          <w:szCs w:val="17"/>
          <w:color w:val="auto"/>
        </w:rPr>
        <w:t>Executve Vice President – Finance and</w:t>
      </w:r>
    </w:p>
    <w:p>
      <w:pPr>
        <w:ind w:left="1920"/>
        <w:spacing w:after="0" w:line="235" w:lineRule="auto"/>
        <w:rPr>
          <w:sz w:val="20"/>
          <w:szCs w:val="20"/>
          <w:color w:val="auto"/>
        </w:rPr>
      </w:pPr>
      <w:r>
        <w:rPr>
          <w:rFonts w:ascii="Calibri" w:cs="Calibri" w:eastAsia="Calibri" w:hAnsi="Calibri"/>
          <w:sz w:val="18"/>
          <w:szCs w:val="18"/>
          <w:color w:val="auto"/>
        </w:rPr>
        <w:t>Administraton and Chief Financial Ofcer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4"/>
        <w:spacing w:after="0"/>
        <w:tabs>
          <w:tab w:leader="none" w:pos="1923" w:val="left"/>
        </w:tabs>
        <w:rPr>
          <w:sz w:val="20"/>
          <w:szCs w:val="20"/>
          <w:color w:val="auto"/>
        </w:rPr>
      </w:pPr>
      <w:r>
        <w:rPr>
          <w:rFonts w:ascii="Calibri" w:cs="Calibri" w:eastAsia="Calibri" w:hAnsi="Calibri"/>
          <w:sz w:val="18"/>
          <w:szCs w:val="18"/>
          <w:color w:val="auto"/>
        </w:rPr>
        <w:t>Robert S. Stewart</w:t>
      </w:r>
      <w:r>
        <w:rPr>
          <w:sz w:val="20"/>
          <w:szCs w:val="20"/>
          <w:color w:val="auto"/>
        </w:rPr>
        <w:tab/>
      </w:r>
      <w:r>
        <w:rPr>
          <w:rFonts w:ascii="Calibri" w:cs="Calibri" w:eastAsia="Calibri" w:hAnsi="Calibri"/>
          <w:sz w:val="17"/>
          <w:szCs w:val="17"/>
          <w:color w:val="auto"/>
        </w:rPr>
        <w:t>Executve Vice President – Strategy, Corporate</w:t>
      </w:r>
    </w:p>
    <w:p>
      <w:pPr>
        <w:ind w:left="1944"/>
        <w:spacing w:after="0" w:line="235" w:lineRule="auto"/>
        <w:rPr>
          <w:sz w:val="20"/>
          <w:szCs w:val="20"/>
          <w:color w:val="auto"/>
        </w:rPr>
      </w:pPr>
      <w:r>
        <w:rPr>
          <w:rFonts w:ascii="Calibri" w:cs="Calibri" w:eastAsia="Calibri" w:hAnsi="Calibri"/>
          <w:sz w:val="18"/>
          <w:szCs w:val="18"/>
          <w:color w:val="auto"/>
        </w:rPr>
        <w:t>Development and Communicatons</w:t>
      </w:r>
    </w:p>
    <w:p>
      <w:pPr>
        <w:spacing w:after="0" w:line="213" w:lineRule="exact"/>
        <w:rPr>
          <w:sz w:val="20"/>
          <w:szCs w:val="20"/>
          <w:color w:val="auto"/>
        </w:rPr>
      </w:pPr>
    </w:p>
    <w:p>
      <w:pPr>
        <w:ind w:left="4"/>
        <w:spacing w:after="0"/>
        <w:tabs>
          <w:tab w:leader="none" w:pos="1923" w:val="left"/>
        </w:tabs>
        <w:rPr>
          <w:sz w:val="20"/>
          <w:szCs w:val="20"/>
          <w:color w:val="auto"/>
        </w:rPr>
      </w:pPr>
      <w:r>
        <w:rPr>
          <w:rFonts w:ascii="Calibri" w:cs="Calibri" w:eastAsia="Calibri" w:hAnsi="Calibri"/>
          <w:sz w:val="18"/>
          <w:szCs w:val="18"/>
          <w:color w:val="auto"/>
        </w:rPr>
        <w:t>James H. Graass</w:t>
      </w:r>
      <w:r>
        <w:rPr>
          <w:sz w:val="20"/>
          <w:szCs w:val="20"/>
          <w:color w:val="auto"/>
        </w:rPr>
        <w:tab/>
      </w:r>
      <w:r>
        <w:rPr>
          <w:rFonts w:ascii="Calibri" w:cs="Calibri" w:eastAsia="Calibri" w:hAnsi="Calibri"/>
          <w:sz w:val="17"/>
          <w:szCs w:val="17"/>
          <w:color w:val="auto"/>
        </w:rPr>
        <w:t>Executve Vice President, General Counsel and</w:t>
      </w:r>
    </w:p>
    <w:p>
      <w:pPr>
        <w:ind w:left="1944"/>
        <w:spacing w:after="0" w:line="235" w:lineRule="auto"/>
        <w:rPr>
          <w:sz w:val="20"/>
          <w:szCs w:val="20"/>
          <w:color w:val="auto"/>
        </w:rPr>
      </w:pPr>
      <w:r>
        <w:rPr>
          <w:rFonts w:ascii="Calibri" w:cs="Calibri" w:eastAsia="Calibri" w:hAnsi="Calibri"/>
          <w:sz w:val="18"/>
          <w:szCs w:val="18"/>
          <w:color w:val="auto"/>
        </w:rPr>
        <w:t>Secretary</w:t>
      </w:r>
    </w:p>
    <w:p>
      <w:pPr>
        <w:spacing w:after="0" w:line="213" w:lineRule="exact"/>
        <w:rPr>
          <w:sz w:val="20"/>
          <w:szCs w:val="20"/>
          <w:color w:val="auto"/>
        </w:rPr>
      </w:pPr>
    </w:p>
    <w:p>
      <w:pPr>
        <w:ind w:left="4"/>
        <w:spacing w:after="0"/>
        <w:tabs>
          <w:tab w:leader="none" w:pos="1923" w:val="left"/>
        </w:tabs>
        <w:rPr>
          <w:sz w:val="20"/>
          <w:szCs w:val="20"/>
          <w:color w:val="auto"/>
        </w:rPr>
      </w:pPr>
      <w:r>
        <w:rPr>
          <w:rFonts w:ascii="Calibri" w:cs="Calibri" w:eastAsia="Calibri" w:hAnsi="Calibri"/>
          <w:sz w:val="18"/>
          <w:szCs w:val="18"/>
          <w:color w:val="auto"/>
        </w:rPr>
        <w:t>Steven L. Wentzel</w:t>
      </w:r>
      <w:r>
        <w:rPr>
          <w:sz w:val="20"/>
          <w:szCs w:val="20"/>
          <w:color w:val="auto"/>
        </w:rPr>
        <w:tab/>
      </w:r>
      <w:r>
        <w:rPr>
          <w:rFonts w:ascii="Calibri" w:cs="Calibri" w:eastAsia="Calibri" w:hAnsi="Calibri"/>
          <w:sz w:val="17"/>
          <w:szCs w:val="17"/>
          <w:color w:val="auto"/>
        </w:rPr>
        <w:t>President, American Gypsum Company</w:t>
      </w:r>
    </w:p>
    <w:p>
      <w:pPr>
        <w:spacing w:after="0" w:line="212" w:lineRule="exact"/>
        <w:rPr>
          <w:sz w:val="20"/>
          <w:szCs w:val="20"/>
          <w:color w:val="auto"/>
        </w:rPr>
      </w:pPr>
    </w:p>
    <w:p>
      <w:pPr>
        <w:ind w:left="4"/>
        <w:spacing w:after="0"/>
        <w:rPr>
          <w:sz w:val="20"/>
          <w:szCs w:val="20"/>
          <w:color w:val="auto"/>
        </w:rPr>
      </w:pPr>
      <w:r>
        <w:rPr>
          <w:rFonts w:ascii="Calibri" w:cs="Calibri" w:eastAsia="Calibri" w:hAnsi="Calibri"/>
          <w:sz w:val="22"/>
          <w:szCs w:val="22"/>
          <w:b w:val="1"/>
          <w:bCs w:val="1"/>
          <w:i w:val="1"/>
          <w:iCs w:val="1"/>
          <w:color w:val="auto"/>
        </w:rPr>
        <w:t>Compensaton Philosophy</w:t>
      </w:r>
    </w:p>
    <w:p>
      <w:pPr>
        <w:spacing w:after="0" w:line="110" w:lineRule="exact"/>
        <w:rPr>
          <w:sz w:val="20"/>
          <w:szCs w:val="20"/>
          <w:color w:val="auto"/>
        </w:rPr>
      </w:pPr>
    </w:p>
    <w:p>
      <w:pPr>
        <w:ind w:left="4"/>
        <w:spacing w:after="0"/>
        <w:rPr>
          <w:sz w:val="20"/>
          <w:szCs w:val="20"/>
          <w:color w:val="auto"/>
        </w:rPr>
      </w:pPr>
      <w:r>
        <w:rPr>
          <w:rFonts w:ascii="Calibri" w:cs="Calibri" w:eastAsia="Calibri" w:hAnsi="Calibri"/>
          <w:sz w:val="18"/>
          <w:szCs w:val="18"/>
          <w:b w:val="1"/>
          <w:bCs w:val="1"/>
          <w:color w:val="auto"/>
        </w:rPr>
        <w:t>Our Core Tenet: Pay for Performance</w:t>
      </w:r>
    </w:p>
    <w:p>
      <w:pPr>
        <w:spacing w:after="0" w:line="109" w:lineRule="exact"/>
        <w:rPr>
          <w:sz w:val="20"/>
          <w:szCs w:val="20"/>
          <w:color w:val="auto"/>
        </w:rPr>
      </w:pPr>
    </w:p>
    <w:p>
      <w:pPr>
        <w:ind w:left="4" w:right="460"/>
        <w:spacing w:after="0" w:line="235" w:lineRule="auto"/>
        <w:rPr>
          <w:sz w:val="20"/>
          <w:szCs w:val="20"/>
          <w:color w:val="auto"/>
        </w:rPr>
      </w:pPr>
      <w:r>
        <w:rPr>
          <w:rFonts w:ascii="Calibri" w:cs="Calibri" w:eastAsia="Calibri" w:hAnsi="Calibri"/>
          <w:sz w:val="18"/>
          <w:szCs w:val="18"/>
          <w:color w:val="auto"/>
        </w:rPr>
        <w:t>Our compensaton philosophy is based on the principles that executve compensaton should:</w:t>
      </w:r>
    </w:p>
    <w:p>
      <w:pPr>
        <w:spacing w:after="0" w:line="105" w:lineRule="exact"/>
        <w:rPr>
          <w:sz w:val="20"/>
          <w:szCs w:val="20"/>
          <w:color w:val="auto"/>
        </w:rPr>
      </w:pPr>
    </w:p>
    <w:p>
      <w:pPr>
        <w:ind w:left="164" w:hanging="164"/>
        <w:spacing w:after="0"/>
        <w:tabs>
          <w:tab w:leader="none" w:pos="164"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Align the interests of our executves with those of our stockholders,</w:t>
      </w:r>
    </w:p>
    <w:p>
      <w:pPr>
        <w:spacing w:after="0" w:line="109" w:lineRule="exact"/>
        <w:rPr>
          <w:rFonts w:ascii="Times New Roman" w:cs="Times New Roman" w:eastAsia="Times New Roman" w:hAnsi="Times New Roman"/>
          <w:sz w:val="18"/>
          <w:szCs w:val="18"/>
          <w:color w:val="auto"/>
        </w:rPr>
      </w:pPr>
    </w:p>
    <w:p>
      <w:pPr>
        <w:ind w:left="164" w:right="240" w:hanging="164"/>
        <w:spacing w:after="0" w:line="235" w:lineRule="auto"/>
        <w:tabs>
          <w:tab w:leader="none" w:pos="164"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Refect the Company’s performance as well as the executve’s individual performance,</w:t>
      </w:r>
    </w:p>
    <w:p>
      <w:pPr>
        <w:spacing w:after="0" w:line="109" w:lineRule="exact"/>
        <w:rPr>
          <w:rFonts w:ascii="Times New Roman" w:cs="Times New Roman" w:eastAsia="Times New Roman" w:hAnsi="Times New Roman"/>
          <w:sz w:val="18"/>
          <w:szCs w:val="18"/>
          <w:color w:val="auto"/>
        </w:rPr>
      </w:pPr>
    </w:p>
    <w:p>
      <w:pPr>
        <w:ind w:left="164" w:right="20" w:hanging="164"/>
        <w:spacing w:after="0" w:line="235" w:lineRule="auto"/>
        <w:tabs>
          <w:tab w:leader="none" w:pos="164"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Motvate management to achieve the Company’s operatonal and strategic goals,</w:t>
      </w:r>
    </w:p>
    <w:p>
      <w:pPr>
        <w:spacing w:after="0" w:line="109" w:lineRule="exact"/>
        <w:rPr>
          <w:rFonts w:ascii="Times New Roman" w:cs="Times New Roman" w:eastAsia="Times New Roman" w:hAnsi="Times New Roman"/>
          <w:sz w:val="18"/>
          <w:szCs w:val="18"/>
          <w:color w:val="auto"/>
        </w:rPr>
      </w:pPr>
    </w:p>
    <w:p>
      <w:pPr>
        <w:ind w:left="164" w:right="120" w:hanging="164"/>
        <w:spacing w:after="0" w:line="235" w:lineRule="auto"/>
        <w:tabs>
          <w:tab w:leader="none" w:pos="164"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Reward performance by both our executves and the Company relatve to our peers’ performance in light of business conditons, and</w:t>
      </w:r>
    </w:p>
    <w:p>
      <w:pPr>
        <w:spacing w:after="0" w:line="109" w:lineRule="exact"/>
        <w:rPr>
          <w:rFonts w:ascii="Times New Roman" w:cs="Times New Roman" w:eastAsia="Times New Roman" w:hAnsi="Times New Roman"/>
          <w:sz w:val="18"/>
          <w:szCs w:val="18"/>
          <w:color w:val="auto"/>
        </w:rPr>
      </w:pPr>
    </w:p>
    <w:p>
      <w:pPr>
        <w:ind w:left="164" w:right="200" w:hanging="164"/>
        <w:spacing w:after="0" w:line="235" w:lineRule="auto"/>
        <w:tabs>
          <w:tab w:leader="none" w:pos="164"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Be designed to atract, retain and motvate highly qualifed and talented executves over tme.</w:t>
      </w:r>
    </w:p>
    <w:p>
      <w:pPr>
        <w:spacing w:after="0" w:line="218" w:lineRule="exact"/>
        <w:rPr>
          <w:sz w:val="20"/>
          <w:szCs w:val="20"/>
          <w:color w:val="auto"/>
        </w:rPr>
      </w:pPr>
    </w:p>
    <w:p>
      <w:pPr>
        <w:ind w:left="4"/>
        <w:spacing w:after="0" w:line="235" w:lineRule="auto"/>
        <w:rPr>
          <w:sz w:val="20"/>
          <w:szCs w:val="20"/>
          <w:color w:val="auto"/>
        </w:rPr>
      </w:pPr>
      <w:r>
        <w:rPr>
          <w:rFonts w:ascii="Calibri" w:cs="Calibri" w:eastAsia="Calibri" w:hAnsi="Calibri"/>
          <w:sz w:val="18"/>
          <w:szCs w:val="18"/>
          <w:color w:val="auto"/>
        </w:rPr>
        <w:t>Our performance-based compensaton philosophy is evidenced by the charts below showing that 55% of our Chief Executve Ofcer’s target compensaton opportunity for fscal 2022 and 61% of our other Named Executve Ofcers’ target compensaton opportunity for fscal 2022 was performance-based or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154305</wp:posOffset>
            </wp:positionV>
            <wp:extent cx="2305685" cy="2734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05685" cy="2734310"/>
                    </a:xfrm>
                    <a:prstGeom prst="rect">
                      <a:avLst/>
                    </a:prstGeom>
                    <a:noFill/>
                  </pic:spPr>
                </pic:pic>
              </a:graphicData>
            </a:graphic>
          </wp:anchor>
        </w:drawing>
      </w:r>
    </w:p>
    <w:p>
      <w:pPr>
        <w:spacing w:after="0" w:line="3388" w:lineRule="exact"/>
        <w:rPr>
          <w:sz w:val="20"/>
          <w:szCs w:val="20"/>
          <w:color w:val="auto"/>
        </w:rPr>
      </w:pPr>
    </w:p>
    <w:p>
      <w:pPr>
        <w:sectPr>
          <w:pgSz w:w="11900" w:h="16838" w:orient="portrait"/>
          <w:cols w:equalWidth="0" w:num="2">
            <w:col w:w="5480" w:space="256"/>
            <w:col w:w="5484"/>
          </w:cols>
          <w:pgMar w:left="320" w:top="45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610870</wp:posOffset>
            </wp:positionH>
            <wp:positionV relativeFrom="page">
              <wp:posOffset>371475</wp:posOffset>
            </wp:positionV>
            <wp:extent cx="2682875" cy="2991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68287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believe that a signifcant porton of an executve’s compensaton should be “at risk” – that is, dependent upon our operatonal and fnancial performance and the individual’s performance. The key features of our executve compensaton program include the following:</w:t>
      </w:r>
    </w:p>
    <w:p>
      <w:pPr>
        <w:spacing w:after="0" w:line="219" w:lineRule="exact"/>
        <w:rPr>
          <w:sz w:val="20"/>
          <w:szCs w:val="20"/>
          <w:color w:val="auto"/>
        </w:rPr>
      </w:pPr>
    </w:p>
    <w:p>
      <w:pPr>
        <w:ind w:left="340" w:right="880" w:hanging="328"/>
        <w:spacing w:after="0" w:line="235" w:lineRule="auto"/>
        <w:tabs>
          <w:tab w:leader="none" w:pos="291"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We seek to align the interests of executves with those of our stockholders by:</w:t>
      </w:r>
    </w:p>
    <w:p>
      <w:pPr>
        <w:spacing w:after="0" w:line="123" w:lineRule="exact"/>
        <w:rPr>
          <w:rFonts w:ascii="Calibri" w:cs="Calibri" w:eastAsia="Calibri" w:hAnsi="Calibri"/>
          <w:sz w:val="18"/>
          <w:szCs w:val="18"/>
          <w:color w:val="auto"/>
        </w:rPr>
      </w:pPr>
    </w:p>
    <w:p>
      <w:pPr>
        <w:ind w:left="660" w:right="40" w:hanging="324"/>
        <w:spacing w:after="0" w:line="235" w:lineRule="auto"/>
        <w:tabs>
          <w:tab w:leader="none" w:pos="597" w:val="left"/>
        </w:tabs>
        <w:numPr>
          <w:ilvl w:val="1"/>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Creatng a direct and substantal link between the executve’s annual cash incentve bonus and our annual operatng earnings,</w:t>
      </w:r>
    </w:p>
    <w:p>
      <w:pPr>
        <w:spacing w:after="0" w:line="123" w:lineRule="exact"/>
        <w:rPr>
          <w:rFonts w:ascii="Times New Roman" w:cs="Times New Roman" w:eastAsia="Times New Roman" w:hAnsi="Times New Roman"/>
          <w:sz w:val="18"/>
          <w:szCs w:val="18"/>
          <w:color w:val="auto"/>
        </w:rPr>
      </w:pPr>
    </w:p>
    <w:p>
      <w:pPr>
        <w:ind w:left="660" w:right="500" w:hanging="324"/>
        <w:spacing w:after="0" w:line="235" w:lineRule="auto"/>
        <w:tabs>
          <w:tab w:leader="none" w:pos="597" w:val="left"/>
        </w:tabs>
        <w:numPr>
          <w:ilvl w:val="1"/>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Structuring long-term compensaton as equity awards, so that executves have an appropriate incentve to contribute to the creaton of long-term stockholder value, and</w:t>
      </w:r>
    </w:p>
    <w:p>
      <w:pPr>
        <w:spacing w:after="0" w:line="124" w:lineRule="exact"/>
        <w:rPr>
          <w:rFonts w:ascii="Times New Roman" w:cs="Times New Roman" w:eastAsia="Times New Roman" w:hAnsi="Times New Roman"/>
          <w:sz w:val="18"/>
          <w:szCs w:val="18"/>
          <w:color w:val="auto"/>
        </w:rPr>
      </w:pPr>
    </w:p>
    <w:p>
      <w:pPr>
        <w:ind w:left="660" w:right="260" w:hanging="324"/>
        <w:spacing w:after="0" w:line="235" w:lineRule="auto"/>
        <w:tabs>
          <w:tab w:leader="none" w:pos="597" w:val="left"/>
        </w:tabs>
        <w:numPr>
          <w:ilvl w:val="1"/>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Requiring executves to meet stock ownership guidelines that will result in each executve holding a meaningful equity stake in the Company.</w:t>
      </w:r>
    </w:p>
    <w:p>
      <w:pPr>
        <w:spacing w:after="0" w:line="213" w:lineRule="exact"/>
        <w:rPr>
          <w:rFonts w:ascii="Times New Roman" w:cs="Times New Roman" w:eastAsia="Times New Roman" w:hAnsi="Times New Roman"/>
          <w:sz w:val="18"/>
          <w:szCs w:val="18"/>
          <w:color w:val="auto"/>
        </w:rPr>
      </w:pPr>
    </w:p>
    <w:p>
      <w:pPr>
        <w:ind w:left="280" w:hanging="268"/>
        <w:spacing w:after="0"/>
        <w:tabs>
          <w:tab w:leader="none" w:pos="28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We seek to encourage improved performance by:</w:t>
      </w:r>
    </w:p>
    <w:p>
      <w:pPr>
        <w:spacing w:after="0" w:line="122" w:lineRule="exact"/>
        <w:rPr>
          <w:rFonts w:ascii="Calibri" w:cs="Calibri" w:eastAsia="Calibri" w:hAnsi="Calibri"/>
          <w:sz w:val="18"/>
          <w:szCs w:val="18"/>
          <w:color w:val="auto"/>
        </w:rPr>
      </w:pPr>
    </w:p>
    <w:p>
      <w:pPr>
        <w:ind w:left="660" w:hanging="324"/>
        <w:spacing w:after="0" w:line="235" w:lineRule="auto"/>
        <w:tabs>
          <w:tab w:leader="none" w:pos="597" w:val="left"/>
        </w:tabs>
        <w:numPr>
          <w:ilvl w:val="1"/>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Establishing our annual incentve bonus maximums based on our operatng earnings, with the ability for the Commitee to reduce the bonus based on individual performance goals, and</w:t>
      </w:r>
    </w:p>
    <w:p>
      <w:pPr>
        <w:spacing w:after="0" w:line="124" w:lineRule="exact"/>
        <w:rPr>
          <w:rFonts w:ascii="Times New Roman" w:cs="Times New Roman" w:eastAsia="Times New Roman" w:hAnsi="Times New Roman"/>
          <w:sz w:val="18"/>
          <w:szCs w:val="18"/>
          <w:color w:val="auto"/>
        </w:rPr>
      </w:pPr>
    </w:p>
    <w:p>
      <w:pPr>
        <w:ind w:left="660" w:right="280" w:hanging="324"/>
        <w:spacing w:after="0" w:line="235" w:lineRule="auto"/>
        <w:tabs>
          <w:tab w:leader="none" w:pos="597" w:val="left"/>
        </w:tabs>
        <w:numPr>
          <w:ilvl w:val="1"/>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Tying the ability to earn a substantal porton of our equity-based awards to the achievement of fnancial goals.</w:t>
      </w:r>
    </w:p>
    <w:p>
      <w:pPr>
        <w:spacing w:after="0" w:line="21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To achieve our compensaton objectves for fscal 2022, our executve compensaton program used a combinaton of short-term and long-term elements: (1) annual salary, (2) annual incentve bonus, and (3) long-term incentve compensaton in the form of stock optons and restricted stock, both with tme and performance vestng conditons. Each element of long-term and short-term compensaton is discussed more fully below under the heading “Primary Elements of Executve Compensaton” on page 26 of this proxy statement.</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Calibri" w:cs="Calibri" w:eastAsia="Calibri" w:hAnsi="Calibri"/>
          <w:sz w:val="18"/>
          <w:szCs w:val="18"/>
          <w:b w:val="1"/>
          <w:bCs w:val="1"/>
          <w:color w:val="auto"/>
        </w:rPr>
        <w:t>Our Compensaton Practces</w:t>
      </w:r>
    </w:p>
    <w:p>
      <w:pPr>
        <w:spacing w:after="0" w:line="109" w:lineRule="exact"/>
        <w:rPr>
          <w:sz w:val="20"/>
          <w:szCs w:val="20"/>
          <w:color w:val="auto"/>
        </w:rPr>
      </w:pPr>
    </w:p>
    <w:p>
      <w:pPr>
        <w:ind w:left="4" w:right="120"/>
        <w:spacing w:after="0" w:line="252" w:lineRule="auto"/>
        <w:rPr>
          <w:sz w:val="20"/>
          <w:szCs w:val="20"/>
          <w:color w:val="auto"/>
        </w:rPr>
      </w:pPr>
      <w:r>
        <w:rPr>
          <w:rFonts w:ascii="Calibri" w:cs="Calibri" w:eastAsia="Calibri" w:hAnsi="Calibri"/>
          <w:sz w:val="17"/>
          <w:szCs w:val="17"/>
          <w:color w:val="auto"/>
        </w:rPr>
        <w:t>Pay-for-performance is a longstanding core tenet of our compensaton philosophy and one of the keys to Eagle’s long-term success. For years, our executve compensaton programs have incorporated pay-for-performance and many other compensaton best practces, including the following:</w:t>
      </w:r>
    </w:p>
    <w:p>
      <w:pPr>
        <w:spacing w:after="0" w:line="204" w:lineRule="exact"/>
        <w:rPr>
          <w:sz w:val="20"/>
          <w:szCs w:val="20"/>
          <w:color w:val="auto"/>
        </w:rPr>
      </w:pPr>
    </w:p>
    <w:p>
      <w:pPr>
        <w:ind w:left="4"/>
        <w:spacing w:after="0"/>
        <w:rPr>
          <w:sz w:val="20"/>
          <w:szCs w:val="20"/>
          <w:color w:val="auto"/>
        </w:rPr>
      </w:pPr>
      <w:r>
        <w:rPr>
          <w:rFonts w:ascii="Calibri" w:cs="Calibri" w:eastAsia="Calibri" w:hAnsi="Calibri"/>
          <w:sz w:val="18"/>
          <w:szCs w:val="18"/>
          <w:u w:val="single" w:color="auto"/>
          <w:color w:val="auto"/>
        </w:rPr>
        <w:t>Things We Don’t Do</w:t>
      </w:r>
    </w:p>
    <w:p>
      <w:pPr>
        <w:spacing w:after="0" w:line="104" w:lineRule="exact"/>
        <w:rPr>
          <w:sz w:val="20"/>
          <w:szCs w:val="20"/>
          <w:color w:val="auto"/>
        </w:rPr>
      </w:pPr>
    </w:p>
    <w:p>
      <w:pPr>
        <w:ind w:left="164" w:hanging="164"/>
        <w:spacing w:after="0"/>
        <w:tabs>
          <w:tab w:leader="none" w:pos="164"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 employment agreements currently in efect with our executves.</w:t>
      </w:r>
    </w:p>
    <w:p>
      <w:pPr>
        <w:spacing w:after="0" w:line="104"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 tax gross-up agreements with our executves.</w:t>
      </w:r>
    </w:p>
    <w:p>
      <w:pPr>
        <w:spacing w:after="0" w:line="104"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 defned beneft plans are provided to our executves.</w:t>
      </w:r>
    </w:p>
    <w:p>
      <w:pPr>
        <w:spacing w:after="0" w:line="104"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Incentve Plan prohibits the re-pricing of optons.</w:t>
      </w:r>
    </w:p>
    <w:p>
      <w:pPr>
        <w:spacing w:after="0" w:line="109" w:lineRule="exact"/>
        <w:rPr>
          <w:rFonts w:ascii="Times New Roman" w:cs="Times New Roman" w:eastAsia="Times New Roman" w:hAnsi="Times New Roman"/>
          <w:sz w:val="18"/>
          <w:szCs w:val="18"/>
          <w:color w:val="auto"/>
        </w:rPr>
      </w:pPr>
    </w:p>
    <w:p>
      <w:pPr>
        <w:jc w:val="both"/>
        <w:ind w:left="164" w:right="20" w:hanging="164"/>
        <w:spacing w:after="0" w:line="235" w:lineRule="auto"/>
        <w:tabs>
          <w:tab w:leader="none" w:pos="164"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Under our insider trading policy, employees and executves are prohibited from speculatng in our securites or engaging in transactons designed to hedge their ownership interests.</w:t>
      </w:r>
    </w:p>
    <w:p>
      <w:pPr>
        <w:spacing w:after="0" w:line="322" w:lineRule="exact"/>
        <w:rPr>
          <w:sz w:val="20"/>
          <w:szCs w:val="20"/>
          <w:color w:val="auto"/>
        </w:rPr>
      </w:pPr>
    </w:p>
    <w:p>
      <w:pPr>
        <w:ind w:left="4"/>
        <w:spacing w:after="0"/>
        <w:rPr>
          <w:sz w:val="20"/>
          <w:szCs w:val="20"/>
          <w:color w:val="auto"/>
        </w:rPr>
      </w:pPr>
      <w:r>
        <w:rPr>
          <w:rFonts w:ascii="Calibri" w:cs="Calibri" w:eastAsia="Calibri" w:hAnsi="Calibri"/>
          <w:sz w:val="18"/>
          <w:szCs w:val="18"/>
          <w:u w:val="single" w:color="auto"/>
          <w:color w:val="auto"/>
        </w:rPr>
        <w:t>Things We Do</w:t>
      </w:r>
    </w:p>
    <w:p>
      <w:pPr>
        <w:spacing w:after="0" w:line="109" w:lineRule="exact"/>
        <w:rPr>
          <w:sz w:val="20"/>
          <w:szCs w:val="20"/>
          <w:color w:val="auto"/>
        </w:rPr>
      </w:pPr>
    </w:p>
    <w:p>
      <w:pPr>
        <w:ind w:left="164" w:right="160" w:hanging="164"/>
        <w:spacing w:after="0" w:line="235" w:lineRule="auto"/>
        <w:tabs>
          <w:tab w:leader="none" w:pos="164"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substantal porton of our annual long-term compensaton awards are performance-based.</w:t>
      </w:r>
    </w:p>
    <w:p>
      <w:pPr>
        <w:spacing w:after="0" w:line="104"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executves are provided limited perquisites.</w:t>
      </w:r>
    </w:p>
    <w:p>
      <w:pPr>
        <w:spacing w:after="0" w:line="109" w:lineRule="exact"/>
        <w:rPr>
          <w:rFonts w:ascii="Times New Roman" w:cs="Times New Roman" w:eastAsia="Times New Roman" w:hAnsi="Times New Roman"/>
          <w:sz w:val="18"/>
          <w:szCs w:val="18"/>
          <w:color w:val="auto"/>
        </w:rPr>
      </w:pPr>
    </w:p>
    <w:p>
      <w:pPr>
        <w:ind w:left="164" w:right="200" w:hanging="164"/>
        <w:spacing w:after="0" w:line="235" w:lineRule="auto"/>
        <w:tabs>
          <w:tab w:leader="none" w:pos="164"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benefts provided to our executves under the defned contributon Retrement Plan are determined on the same basis as the benefts provided to all salaried employees.</w:t>
      </w:r>
    </w:p>
    <w:p>
      <w:pPr>
        <w:spacing w:after="0" w:line="110" w:lineRule="exact"/>
        <w:rPr>
          <w:rFonts w:ascii="Times New Roman" w:cs="Times New Roman" w:eastAsia="Times New Roman" w:hAnsi="Times New Roman"/>
          <w:sz w:val="18"/>
          <w:szCs w:val="18"/>
          <w:color w:val="auto"/>
        </w:rPr>
      </w:pPr>
    </w:p>
    <w:p>
      <w:pPr>
        <w:ind w:left="164" w:right="140" w:hanging="164"/>
        <w:spacing w:after="0" w:line="235" w:lineRule="auto"/>
        <w:tabs>
          <w:tab w:leader="none" w:pos="164"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stock ownership guidelines require management to align their long-term interests with those of our stockholders.</w:t>
      </w:r>
    </w:p>
    <w:p>
      <w:pPr>
        <w:spacing w:after="0" w:line="109" w:lineRule="exact"/>
        <w:rPr>
          <w:rFonts w:ascii="Times New Roman" w:cs="Times New Roman" w:eastAsia="Times New Roman" w:hAnsi="Times New Roman"/>
          <w:sz w:val="18"/>
          <w:szCs w:val="18"/>
          <w:color w:val="auto"/>
        </w:rPr>
      </w:pPr>
    </w:p>
    <w:p>
      <w:pPr>
        <w:ind w:left="164" w:hanging="164"/>
        <w:spacing w:after="0" w:line="235" w:lineRule="auto"/>
        <w:tabs>
          <w:tab w:leader="none" w:pos="164"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recoupment (clawback) policy allows the Company to pursue reimbursement or forfeiture of incentve-based compensaton if there is an accountng restatement of our fnancial statements due to the material noncompliance of the Company with any fnancial reportng requirement under the securites laws.</w:t>
      </w:r>
    </w:p>
    <w:p>
      <w:pPr>
        <w:spacing w:after="0" w:line="4561" w:lineRule="exact"/>
        <w:rPr>
          <w:sz w:val="20"/>
          <w:szCs w:val="20"/>
          <w:color w:val="auto"/>
        </w:rPr>
      </w:pPr>
    </w:p>
    <w:p>
      <w:pPr>
        <w:sectPr>
          <w:pgSz w:w="11900" w:h="16838" w:orient="portrait"/>
          <w:cols w:equalWidth="0" w:num="2">
            <w:col w:w="5500" w:space="236"/>
            <w:col w:w="5424"/>
          </w:cols>
          <w:pgMar w:left="320" w:top="666" w:right="419" w:bottom="1440" w:gutter="0" w:footer="0" w:header="0"/>
        </w:sectPr>
      </w:pPr>
    </w:p>
    <w:p>
      <w:pPr>
        <w:ind w:left="4060"/>
        <w:spacing w:after="0" w:line="235" w:lineRule="auto"/>
        <w:rPr>
          <w:sz w:val="20"/>
          <w:szCs w:val="20"/>
          <w:color w:val="auto"/>
        </w:rPr>
      </w:pPr>
      <w:r>
        <w:rPr>
          <w:rFonts w:ascii="Calibri" w:cs="Calibri" w:eastAsia="Calibri" w:hAnsi="Calibri"/>
          <w:sz w:val="20"/>
          <w:szCs w:val="20"/>
          <w:color w:val="auto"/>
        </w:rPr>
        <w:t>_______________________________</w:t>
      </w:r>
    </w:p>
    <w:p>
      <w:pPr>
        <w:jc w:val="center"/>
        <w:ind w:right="-79"/>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666" w:right="41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22"/>
          <w:szCs w:val="22"/>
          <w:b w:val="1"/>
          <w:bCs w:val="1"/>
          <w:i w:val="1"/>
          <w:iCs w:val="1"/>
          <w:color w:val="auto"/>
        </w:rPr>
        <w:t>Determining Executve Compensaton</w:t>
      </w:r>
    </w:p>
    <w:p>
      <w:pPr>
        <w:spacing w:after="0" w:line="113"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b w:val="1"/>
          <w:bCs w:val="1"/>
          <w:color w:val="auto"/>
        </w:rPr>
        <w:t>Advisory Vote on Executve Compensaton; Central Role of Stockholder Engagement</w:t>
      </w:r>
    </w:p>
    <w:p>
      <w:pPr>
        <w:spacing w:after="0" w:line="11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value feedback from our stockholders and regularly engage in a dialogue with a signifcant porton of our stockholders throughout the fscal year to beter understand their opinions on our business strategy and objectves and to obtain feedback regarding other maters of investor interest, such as executve compensaton.</w:t>
      </w:r>
    </w:p>
    <w:p>
      <w:pPr>
        <w:spacing w:after="0" w:line="22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At the 2021 Annual Meetng of Stockholders, the Company’s stockholders voted to approve a non-binding advisory resoluton approving the compensaton paid to our Named Executve Ofcers as disclosed in the proxy statement for the 2021 Annual Meetng of Stockholders. This “say-on-pay” proposal received the approval of 92% of the votes cast.</w:t>
      </w:r>
    </w:p>
    <w:p>
      <w:pPr>
        <w:spacing w:after="0" w:line="22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In light of the stockholder support of the executve compensaton program (refected through the 2021 say-on-pay vote results), no substantve changes were made to the executve compensaton program for fscal 2022.</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Compensaton Commitee is frmly commited to providing our executves with compensaton opportunites that are ted to Company performance and stockholder value creaton. We encourage our stockholders to review the complete descripton of the Company’s executve compensaton program prior to castng a vote on this year’s say-on-pay advisory vote proposal (Proposal No. 2).</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Authority of the Compensaton Commitee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Compensaton Commitee meets regularly (six tmes in fscal 2022) to oversee and administer the compensaton program of the CEO and the other senior executve ofcers. See “Board Commitees — Compensaton Commitee” on page 17 of this proxy statement. The senior executve ofcers include all of the Named Executve Ofcers. In partcular, the Compensaton Commitee is charged with the responsibility to:</w:t>
      </w:r>
    </w:p>
    <w:p>
      <w:pPr>
        <w:spacing w:after="0" w:line="113" w:lineRule="exact"/>
        <w:rPr>
          <w:sz w:val="20"/>
          <w:szCs w:val="20"/>
          <w:color w:val="auto"/>
        </w:rPr>
      </w:pPr>
    </w:p>
    <w:p>
      <w:pPr>
        <w:ind w:left="180" w:right="120" w:hanging="172"/>
        <w:spacing w:after="0" w:line="235" w:lineRule="auto"/>
        <w:tabs>
          <w:tab w:leader="none" w:pos="18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make recommendatons regarding our general compensaton philosophy and structure;</w:t>
      </w:r>
    </w:p>
    <w:p>
      <w:pPr>
        <w:spacing w:after="0" w:line="109" w:lineRule="exact"/>
        <w:rPr>
          <w:rFonts w:ascii="Times New Roman" w:cs="Times New Roman" w:eastAsia="Times New Roman" w:hAnsi="Times New Roman"/>
          <w:sz w:val="18"/>
          <w:szCs w:val="18"/>
          <w:color w:val="auto"/>
        </w:rPr>
      </w:pPr>
    </w:p>
    <w:p>
      <w:pPr>
        <w:ind w:left="180" w:right="240" w:hanging="172"/>
        <w:spacing w:after="0" w:line="235" w:lineRule="auto"/>
        <w:tabs>
          <w:tab w:leader="none" w:pos="18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Annually review and approve corporate goals and objectves relevant to the compensaton of our CEO;</w:t>
      </w:r>
    </w:p>
    <w:p>
      <w:pPr>
        <w:spacing w:after="0" w:line="10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Evaluate our CEO’s performance in light of such goals and objectves;</w:t>
      </w:r>
    </w:p>
    <w:p>
      <w:pPr>
        <w:spacing w:after="0" w:line="109" w:lineRule="exact"/>
        <w:rPr>
          <w:rFonts w:ascii="Times New Roman" w:cs="Times New Roman" w:eastAsia="Times New Roman" w:hAnsi="Times New Roman"/>
          <w:sz w:val="18"/>
          <w:szCs w:val="18"/>
          <w:color w:val="auto"/>
        </w:rPr>
      </w:pPr>
    </w:p>
    <w:p>
      <w:pPr>
        <w:ind w:left="180" w:right="100" w:hanging="172"/>
        <w:spacing w:after="0" w:line="235" w:lineRule="auto"/>
        <w:tabs>
          <w:tab w:leader="none" w:pos="18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Set the salary and other cash and equity compensaton for our CEO based on such evaluaton;</w:t>
      </w:r>
    </w:p>
    <w:p>
      <w:pPr>
        <w:spacing w:after="0" w:line="109" w:lineRule="exact"/>
        <w:rPr>
          <w:rFonts w:ascii="Times New Roman" w:cs="Times New Roman" w:eastAsia="Times New Roman" w:hAnsi="Times New Roman"/>
          <w:sz w:val="18"/>
          <w:szCs w:val="18"/>
          <w:color w:val="auto"/>
        </w:rPr>
      </w:pPr>
    </w:p>
    <w:p>
      <w:pPr>
        <w:ind w:left="180" w:right="460" w:hanging="172"/>
        <w:spacing w:after="0" w:line="235" w:lineRule="auto"/>
        <w:tabs>
          <w:tab w:leader="none" w:pos="18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approve the compensaton of our other senior executve ofcers;</w:t>
      </w:r>
    </w:p>
    <w:p>
      <w:pPr>
        <w:spacing w:after="0" w:line="109" w:lineRule="exact"/>
        <w:rPr>
          <w:rFonts w:ascii="Times New Roman" w:cs="Times New Roman" w:eastAsia="Times New Roman" w:hAnsi="Times New Roman"/>
          <w:sz w:val="18"/>
          <w:szCs w:val="18"/>
          <w:color w:val="auto"/>
        </w:rPr>
      </w:pPr>
    </w:p>
    <w:p>
      <w:pPr>
        <w:ind w:left="180" w:right="100" w:hanging="172"/>
        <w:spacing w:after="0" w:line="235" w:lineRule="auto"/>
        <w:tabs>
          <w:tab w:leader="none" w:pos="18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Administer each of our plans for which our Compensaton Commitee has administratve responsibility;</w:t>
      </w:r>
    </w:p>
    <w:p>
      <w:pPr>
        <w:spacing w:after="0" w:line="109" w:lineRule="exact"/>
        <w:rPr>
          <w:rFonts w:ascii="Times New Roman" w:cs="Times New Roman" w:eastAsia="Times New Roman" w:hAnsi="Times New Roman"/>
          <w:sz w:val="18"/>
          <w:szCs w:val="18"/>
          <w:color w:val="auto"/>
        </w:rPr>
      </w:pPr>
    </w:p>
    <w:p>
      <w:pPr>
        <w:ind w:left="180" w:right="20" w:hanging="172"/>
        <w:spacing w:after="0" w:line="235" w:lineRule="auto"/>
        <w:tabs>
          <w:tab w:leader="none" w:pos="18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Grant cash awards (including annual incentve bonuses) under our annual bonus programs and equity awards (including optons, restricted stock and restricted stock units) under our long-term Incentve Plan to our ofcers and other key employees;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164" w:right="500" w:hanging="164"/>
        <w:spacing w:after="0" w:line="235" w:lineRule="auto"/>
        <w:tabs>
          <w:tab w:leader="none" w:pos="164"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recommend to the Board the compensaton of our non-employee directors; and</w:t>
      </w:r>
    </w:p>
    <w:p>
      <w:pPr>
        <w:spacing w:after="0" w:line="109" w:lineRule="exact"/>
        <w:rPr>
          <w:rFonts w:ascii="Times New Roman" w:cs="Times New Roman" w:eastAsia="Times New Roman" w:hAnsi="Times New Roman"/>
          <w:sz w:val="18"/>
          <w:szCs w:val="18"/>
          <w:color w:val="auto"/>
        </w:rPr>
      </w:pPr>
    </w:p>
    <w:p>
      <w:pPr>
        <w:ind w:left="164" w:right="180" w:hanging="164"/>
        <w:spacing w:after="0" w:line="258" w:lineRule="auto"/>
        <w:tabs>
          <w:tab w:leader="none" w:pos="164" w:val="left"/>
        </w:tabs>
        <w:numPr>
          <w:ilvl w:val="0"/>
          <w:numId w:val="19"/>
        </w:numPr>
        <w:rPr>
          <w:rFonts w:ascii="Times New Roman" w:cs="Times New Roman" w:eastAsia="Times New Roman" w:hAnsi="Times New Roman"/>
          <w:sz w:val="17"/>
          <w:szCs w:val="17"/>
          <w:color w:val="auto"/>
        </w:rPr>
      </w:pPr>
      <w:r>
        <w:rPr>
          <w:rFonts w:ascii="Calibri" w:cs="Calibri" w:eastAsia="Calibri" w:hAnsi="Calibri"/>
          <w:sz w:val="17"/>
          <w:szCs w:val="17"/>
          <w:color w:val="auto"/>
        </w:rPr>
        <w:t>Recommend to the Board stock ownership guidelines for our executve ofcers and non-employee directors and monitor compliance therewith.</w:t>
      </w:r>
    </w:p>
    <w:p>
      <w:pPr>
        <w:spacing w:after="0" w:line="202" w:lineRule="exact"/>
        <w:rPr>
          <w:sz w:val="20"/>
          <w:szCs w:val="20"/>
          <w:color w:val="auto"/>
        </w:rPr>
      </w:pPr>
    </w:p>
    <w:p>
      <w:pPr>
        <w:ind w:left="4" w:right="20"/>
        <w:spacing w:after="0" w:line="235" w:lineRule="auto"/>
        <w:rPr>
          <w:sz w:val="20"/>
          <w:szCs w:val="20"/>
          <w:color w:val="auto"/>
        </w:rPr>
      </w:pPr>
      <w:r>
        <w:rPr>
          <w:rFonts w:ascii="Calibri" w:cs="Calibri" w:eastAsia="Calibri" w:hAnsi="Calibri"/>
          <w:sz w:val="18"/>
          <w:szCs w:val="18"/>
          <w:color w:val="auto"/>
        </w:rPr>
        <w:t xml:space="preserve">The Compensaton Commitee consists solely of directors who are independent under the NYSE listng standards (including the enhanced independence requirements for compensaton commitee members). The Compensaton Commitee is authorized to hire such outside advisors as it deems appropriate. The Compensaton Commitee’s charter may be found in the “Investor Relatons/Corporate Governance” secton of our website </w:t>
      </w:r>
      <w:r>
        <w:rPr>
          <w:rFonts w:ascii="Calibri" w:cs="Calibri" w:eastAsia="Calibri" w:hAnsi="Calibri"/>
          <w:sz w:val="18"/>
          <w:szCs w:val="18"/>
          <w:i w:val="1"/>
          <w:iCs w:val="1"/>
          <w:color w:val="auto"/>
        </w:rPr>
        <w:t>www.eaglematerials.com</w:t>
      </w:r>
      <w:r>
        <w:rPr>
          <w:rFonts w:ascii="Calibri" w:cs="Calibri" w:eastAsia="Calibri" w:hAnsi="Calibri"/>
          <w:sz w:val="18"/>
          <w:szCs w:val="18"/>
          <w:color w:val="auto"/>
        </w:rPr>
        <w:t>.</w:t>
      </w:r>
    </w:p>
    <w:p>
      <w:pPr>
        <w:spacing w:after="0" w:line="222" w:lineRule="exact"/>
        <w:rPr>
          <w:sz w:val="20"/>
          <w:szCs w:val="20"/>
          <w:color w:val="auto"/>
        </w:rPr>
      </w:pPr>
    </w:p>
    <w:p>
      <w:pPr>
        <w:jc w:val="both"/>
        <w:ind w:left="4" w:right="60"/>
        <w:spacing w:after="0" w:line="235" w:lineRule="auto"/>
        <w:rPr>
          <w:sz w:val="20"/>
          <w:szCs w:val="20"/>
          <w:color w:val="auto"/>
        </w:rPr>
      </w:pPr>
      <w:r>
        <w:rPr>
          <w:rFonts w:ascii="Calibri" w:cs="Calibri" w:eastAsia="Calibri" w:hAnsi="Calibri"/>
          <w:sz w:val="18"/>
          <w:szCs w:val="18"/>
          <w:color w:val="auto"/>
        </w:rPr>
        <w:t>The Compensaton Commitee sets compensaton for the Named Executve Ofcers on an annual basis. In general, the process for setng compensaton involves the following steps:</w:t>
      </w:r>
    </w:p>
    <w:p>
      <w:pPr>
        <w:spacing w:after="0" w:line="214" w:lineRule="exact"/>
        <w:rPr>
          <w:sz w:val="20"/>
          <w:szCs w:val="20"/>
          <w:color w:val="auto"/>
        </w:rPr>
      </w:pPr>
    </w:p>
    <w:p>
      <w:pPr>
        <w:ind w:left="4"/>
        <w:spacing w:after="0"/>
        <w:rPr>
          <w:sz w:val="20"/>
          <w:szCs w:val="20"/>
          <w:color w:val="auto"/>
        </w:rPr>
      </w:pPr>
      <w:r>
        <w:rPr>
          <w:rFonts w:ascii="Calibri" w:cs="Calibri" w:eastAsia="Calibri" w:hAnsi="Calibri"/>
          <w:sz w:val="18"/>
          <w:szCs w:val="18"/>
          <w:color w:val="auto"/>
        </w:rPr>
        <w:t>As early as practcable afer the beginning of each fscal year, the</w:t>
      </w:r>
    </w:p>
    <w:p>
      <w:pPr>
        <w:ind w:left="4"/>
        <w:spacing w:after="0" w:line="235" w:lineRule="auto"/>
        <w:rPr>
          <w:sz w:val="20"/>
          <w:szCs w:val="20"/>
          <w:color w:val="auto"/>
        </w:rPr>
      </w:pPr>
      <w:r>
        <w:rPr>
          <w:rFonts w:ascii="Calibri" w:cs="Calibri" w:eastAsia="Calibri" w:hAnsi="Calibri"/>
          <w:sz w:val="18"/>
          <w:szCs w:val="18"/>
          <w:color w:val="auto"/>
        </w:rPr>
        <w:t>Compensaton Commitee determines:</w:t>
      </w:r>
    </w:p>
    <w:p>
      <w:pPr>
        <w:spacing w:after="0" w:line="213" w:lineRule="exact"/>
        <w:rPr>
          <w:sz w:val="20"/>
          <w:szCs w:val="20"/>
          <w:color w:val="auto"/>
        </w:rPr>
      </w:pPr>
    </w:p>
    <w:p>
      <w:pPr>
        <w:ind w:left="324" w:hanging="319"/>
        <w:spacing w:after="0"/>
        <w:tabs>
          <w:tab w:leader="none" w:pos="324"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the salary of each Named Executve Ofcer for such fscal year;</w:t>
      </w:r>
    </w:p>
    <w:p>
      <w:pPr>
        <w:spacing w:after="0" w:line="109" w:lineRule="exact"/>
        <w:rPr>
          <w:rFonts w:ascii="Calibri" w:cs="Calibri" w:eastAsia="Calibri" w:hAnsi="Calibri"/>
          <w:sz w:val="18"/>
          <w:szCs w:val="18"/>
          <w:color w:val="auto"/>
        </w:rPr>
      </w:pPr>
    </w:p>
    <w:p>
      <w:pPr>
        <w:ind w:left="324" w:right="200" w:hanging="319"/>
        <w:spacing w:after="0" w:line="252" w:lineRule="auto"/>
        <w:tabs>
          <w:tab w:leader="none" w:pos="314"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the overall size of the annual incentve bonus pools based on a percentage of our operatng earnings in which the Named Executve Ofcers will have the opportunity to partcipate during such year and the percentage of the pool assigned to each Named Executve Ofcer;</w:t>
      </w:r>
    </w:p>
    <w:p>
      <w:pPr>
        <w:spacing w:after="0" w:line="100" w:lineRule="exact"/>
        <w:rPr>
          <w:rFonts w:ascii="Calibri" w:cs="Calibri" w:eastAsia="Calibri" w:hAnsi="Calibri"/>
          <w:sz w:val="17"/>
          <w:szCs w:val="17"/>
          <w:color w:val="auto"/>
        </w:rPr>
      </w:pPr>
    </w:p>
    <w:p>
      <w:pPr>
        <w:ind w:left="324" w:right="620" w:hanging="319"/>
        <w:spacing w:after="0" w:line="235" w:lineRule="auto"/>
        <w:tabs>
          <w:tab w:leader="none" w:pos="314"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whether the Compensaton Commitee will make any long-term incentve compensaton awards in such fscal year;</w:t>
      </w:r>
    </w:p>
    <w:p>
      <w:pPr>
        <w:spacing w:after="0" w:line="109" w:lineRule="exact"/>
        <w:rPr>
          <w:rFonts w:ascii="Calibri" w:cs="Calibri" w:eastAsia="Calibri" w:hAnsi="Calibri"/>
          <w:sz w:val="18"/>
          <w:szCs w:val="18"/>
          <w:color w:val="auto"/>
        </w:rPr>
      </w:pPr>
    </w:p>
    <w:p>
      <w:pPr>
        <w:ind w:left="324" w:right="40" w:hanging="319"/>
        <w:spacing w:after="0" w:line="235" w:lineRule="auto"/>
        <w:tabs>
          <w:tab w:leader="none" w:pos="314"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if the Compensaton Commitee decides to make long-term compensaton awards for such fscal year, the amount, nature of and terms applicable to such awards, including the form any such awards will take (e.g., optons, restricted stock, restricted stock units and/or cash), the individual grant date fair value for awards to be made to each Named Executve Ofcer, the performance- or tme-vestng criteria (or both) that will apply to any such awards, and the exercisability or payment schedules that will apply to any such awards if the performance criteria are satsfed; and</w:t>
      </w:r>
    </w:p>
    <w:p>
      <w:pPr>
        <w:spacing w:after="0" w:line="115" w:lineRule="exact"/>
        <w:rPr>
          <w:rFonts w:ascii="Calibri" w:cs="Calibri" w:eastAsia="Calibri" w:hAnsi="Calibri"/>
          <w:sz w:val="18"/>
          <w:szCs w:val="18"/>
          <w:color w:val="auto"/>
        </w:rPr>
      </w:pPr>
    </w:p>
    <w:p>
      <w:pPr>
        <w:ind w:left="324" w:hanging="319"/>
        <w:spacing w:after="0" w:line="258" w:lineRule="auto"/>
        <w:tabs>
          <w:tab w:leader="none" w:pos="314"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the Eagle Materials Special Situaton Program for such fscal year and the overall funding levels for such program based on operatng earnings.</w:t>
      </w:r>
    </w:p>
    <w:p>
      <w:pPr>
        <w:spacing w:after="0" w:line="202" w:lineRule="exact"/>
        <w:rPr>
          <w:sz w:val="20"/>
          <w:szCs w:val="20"/>
          <w:color w:val="auto"/>
        </w:rPr>
      </w:pPr>
    </w:p>
    <w:p>
      <w:pPr>
        <w:ind w:left="4" w:right="40"/>
        <w:spacing w:after="0" w:line="235" w:lineRule="auto"/>
        <w:rPr>
          <w:sz w:val="20"/>
          <w:szCs w:val="20"/>
          <w:color w:val="auto"/>
        </w:rPr>
      </w:pPr>
      <w:r>
        <w:rPr>
          <w:rFonts w:ascii="Calibri" w:cs="Calibri" w:eastAsia="Calibri" w:hAnsi="Calibri"/>
          <w:sz w:val="18"/>
          <w:szCs w:val="18"/>
          <w:color w:val="auto"/>
        </w:rPr>
        <w:t>For fscal 2022, the Compensaton Commitee made these determinatons at two meetngs held early in the fscal year, in May 2021.</w:t>
      </w:r>
    </w:p>
    <w:p>
      <w:pPr>
        <w:spacing w:after="0" w:line="1835" w:lineRule="exact"/>
        <w:rPr>
          <w:sz w:val="20"/>
          <w:szCs w:val="20"/>
          <w:color w:val="auto"/>
        </w:rPr>
      </w:pPr>
    </w:p>
    <w:p>
      <w:pPr>
        <w:sectPr>
          <w:pgSz w:w="11900" w:h="16838" w:orient="portrait"/>
          <w:cols w:equalWidth="0" w:num="2">
            <w:col w:w="5500" w:space="236"/>
            <w:col w:w="5484"/>
          </w:cols>
          <w:pgMar w:left="320" w:top="114" w:right="359" w:bottom="1440" w:gutter="0" w:footer="0" w:header="0"/>
        </w:sectPr>
      </w:pPr>
    </w:p>
    <w:p>
      <w:pPr>
        <w:ind w:left="4060"/>
        <w:spacing w:after="0" w:line="231" w:lineRule="auto"/>
        <w:rPr>
          <w:sz w:val="20"/>
          <w:szCs w:val="20"/>
          <w:color w:val="auto"/>
        </w:rPr>
      </w:pPr>
      <w:r>
        <w:rPr>
          <w:rFonts w:ascii="Calibri" w:cs="Calibri" w:eastAsia="Calibri" w:hAnsi="Calibri"/>
          <w:sz w:val="20"/>
          <w:szCs w:val="20"/>
          <w:color w:val="auto"/>
        </w:rPr>
        <w:t>_______________________________</w:t>
      </w:r>
    </w:p>
    <w:p>
      <w:pPr>
        <w:jc w:val="center"/>
        <w:ind w:right="-19"/>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8"/>
          <w:szCs w:val="18"/>
          <w:color w:val="auto"/>
        </w:rPr>
        <w:t>Afer the end of the fscal year, the Compensaton Commitee then:</w:t>
      </w:r>
    </w:p>
    <w:p>
      <w:pPr>
        <w:spacing w:after="0" w:line="212" w:lineRule="exact"/>
        <w:rPr>
          <w:sz w:val="20"/>
          <w:szCs w:val="20"/>
          <w:color w:val="auto"/>
        </w:rPr>
      </w:pPr>
    </w:p>
    <w:p>
      <w:pPr>
        <w:ind w:left="320" w:hanging="308"/>
        <w:spacing w:after="0"/>
        <w:tabs>
          <w:tab w:leader="none" w:pos="32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reviews and approves the annual incentve bonus pools;</w:t>
      </w:r>
    </w:p>
    <w:p>
      <w:pPr>
        <w:spacing w:after="0" w:line="109" w:lineRule="exact"/>
        <w:rPr>
          <w:rFonts w:ascii="Calibri" w:cs="Calibri" w:eastAsia="Calibri" w:hAnsi="Calibri"/>
          <w:sz w:val="18"/>
          <w:szCs w:val="18"/>
          <w:color w:val="auto"/>
        </w:rPr>
      </w:pPr>
    </w:p>
    <w:p>
      <w:pPr>
        <w:ind w:left="340" w:right="160" w:hanging="328"/>
        <w:spacing w:after="0" w:line="258" w:lineRule="auto"/>
        <w:tabs>
          <w:tab w:leader="none" w:pos="33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determines the extent to which the performance criteria for the prior fscal year applicable to any long-term incentve awards were satsfed;</w:t>
      </w:r>
    </w:p>
    <w:p>
      <w:pPr>
        <w:spacing w:after="0" w:line="93" w:lineRule="exact"/>
        <w:rPr>
          <w:rFonts w:ascii="Calibri" w:cs="Calibri" w:eastAsia="Calibri" w:hAnsi="Calibri"/>
          <w:sz w:val="17"/>
          <w:szCs w:val="17"/>
          <w:color w:val="auto"/>
        </w:rPr>
      </w:pPr>
    </w:p>
    <w:p>
      <w:pPr>
        <w:jc w:val="both"/>
        <w:ind w:left="340" w:right="20" w:hanging="328"/>
        <w:spacing w:after="0" w:line="235" w:lineRule="auto"/>
        <w:tabs>
          <w:tab w:leader="none" w:pos="33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determines the amount of the downward adjustment, if any, to be made to the annual incentve bonus payment to each Named Executve Ofcer based on individual performance; and</w:t>
      </w:r>
    </w:p>
    <w:p>
      <w:pPr>
        <w:spacing w:after="0" w:line="110" w:lineRule="exact"/>
        <w:rPr>
          <w:rFonts w:ascii="Calibri" w:cs="Calibri" w:eastAsia="Calibri" w:hAnsi="Calibri"/>
          <w:sz w:val="18"/>
          <w:szCs w:val="18"/>
          <w:color w:val="auto"/>
        </w:rPr>
      </w:pPr>
    </w:p>
    <w:p>
      <w:pPr>
        <w:ind w:left="340" w:right="140" w:hanging="328"/>
        <w:spacing w:after="0" w:line="235" w:lineRule="auto"/>
        <w:tabs>
          <w:tab w:leader="none" w:pos="33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if applicable, makes awards under the Eagle Materials Special Situaton Program.</w:t>
      </w:r>
    </w:p>
    <w:p>
      <w:pPr>
        <w:spacing w:after="0" w:line="218"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Compensaton Commitee made these determinatons for fscal 2022 at two meetngs held afer the completon of the fscal year, in May 2022.</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Role of Management</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CEO partcipates to a limited extent in the administraton of our compensaton program for Named Executve Ofcers, other than himself. Following the end of each fscal year, the CEO provides input to the Compensaton Commitee on the performance of each of the other Named Executve Ofcers during the fscal year and recommends compensaton adjustments (salary adjustments for the upcoming fscal year, any downward adjustments to annual incentve bonus levels for the recently completed fscal year, and annual incentve bonus levels for the upcoming fscal year) and, if applicable, long-term incentve award levels for such Named Executve Ofcers. The CEO also provides input on the structure of our long-term incentve awards (if any) for such Named Executve Ofcers, including the long-term incentve award levels and the performance or other criteria that determine vestng and other terms and conditons applicable to the awards. The Compensaton Commitee considers the CEO’s input, along with other informaton presented by its independent compensaton consultants or otherwise available to it, in making its fnal compensaton decisions with respect to the Named Executve Ofcers.</w:t>
      </w:r>
    </w:p>
    <w:p>
      <w:pPr>
        <w:spacing w:after="0" w:line="3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Engagement of an Independent Compensaton Consultant</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January 2021, the Compensaton Commitee again retained Longnecker &amp; Associates (“L&amp;A”), an independent compensaton consultng frm based in Houston, Texas, to review levels and incentve components of our executves’ compensaton in an efort to align the compensaton of our ofcers compettvely with the market for fscal 2022. The primary role of L&amp;A was to provide the Compensaton Commitee with market data and informaton regarding compensaton trends in our industry and to make recommendatons regarding base salaries, the design of our incentve programs and executve compensaton levels. Our management did not direct or oversee the retenton or actvites of L&amp;A with respect to our executve compensaton program. The Compensaton Commitee has assessed the independence of L&amp;A pursuant to SEC and NYSE rules and concluded that no confict of interest exists that would prevent L&amp;A from independently advising the Compensaton Commitee.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b w:val="1"/>
          <w:bCs w:val="1"/>
          <w:color w:val="auto"/>
        </w:rPr>
        <w:t>Compensaton Peers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data used by L&amp;A in its survey of compensaton, which we refer to as the “compensaton study,” was weighted so that 50% was from published surveys from Economic Research Insttute, Mercer, Pay Factors, Kenexa and WorldatWork and 50% was from compensaton disclosures included in the proxy statements of members of our peer group. At the beginning of fscal 2022 (spring 2021), L&amp;A reviewed the Company’s current peer group for appropriateness and provided the Compensaton Commitee with recommendatons for any additonal peers to be included. L&amp;A analyzed the Company’s peer group and potental modifcatons based on (1) other similar companies within similar industries, (2) revenue, (3) asset size, (4) market capitalizaton, and (5) enterprise value.</w:t>
      </w:r>
    </w:p>
    <w:p>
      <w:pPr>
        <w:spacing w:after="0" w:line="225"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Based on this analysis, L&amp;A recommended removal of two peers used in fscal 2021: Contnental Building Products, Inc., which had been acquired; and U.S. Silica Holdings, Inc., which no longer ofered a business match in light of the Company’s divestture of its oil and gas proppants division. Additonally, L&amp;A recommended the additon of two companies to the peer group: Gibraltar Industries, Inc. and Cleveland-Clifs Inc. Based on L&amp;A’s recommendaton, the Compensaton Commitee utlized the following 15-company peer group in analyzing fscal 2022 compensaton (“compensaton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156210</wp:posOffset>
            </wp:positionV>
            <wp:extent cx="2588895" cy="2271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8889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are aware that insttutonal shareholder advisors, such as Insttutonal Shareholder Services, Glass Lewis and others, utlize methodologies to determine “peer groups” that may difer from our process. We believe that the methodologies they use may result in a peer group that does not provide a close “ft” for Eagle. For example, if the insttutonal shareholder advisor relies upon GICS codes to identfy potental peers, the resultng peer group would include many companies whose operatons we view as sufciently dissimilar to ours as to make comparisons signifcantly less meaningful. Additonally, if the insttutonal shareholder advisor constructs a peer group based solely on revenues, the resultng peer group can create a poor ft for two reasons. First, because of accountng rules we are unable to include our 50/50 Texas Lehigh joint venture’s revenues in our revenue line item—we instead</w:t>
      </w:r>
    </w:p>
    <w:p>
      <w:pPr>
        <w:spacing w:after="0" w:line="1" w:lineRule="exact"/>
        <w:rPr>
          <w:sz w:val="20"/>
          <w:szCs w:val="20"/>
          <w:color w:val="auto"/>
        </w:rPr>
      </w:pPr>
    </w:p>
    <w:p>
      <w:pPr>
        <w:sectPr>
          <w:pgSz w:w="11900" w:h="16838" w:orient="portrait"/>
          <w:cols w:equalWidth="0" w:num="2">
            <w:col w:w="5500" w:space="240"/>
            <w:col w:w="5500"/>
          </w:cols>
          <w:pgMar w:left="320" w:top="112" w:right="339" w:bottom="1440" w:gutter="0" w:footer="0" w:header="0"/>
        </w:sect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30" w:name="page31"/>
    <w:bookmarkEnd w:id="30"/>
    <w:p>
      <w:pPr>
        <w:ind w:right="40"/>
        <w:spacing w:after="0" w:line="235" w:lineRule="auto"/>
        <w:rPr>
          <w:sz w:val="20"/>
          <w:szCs w:val="20"/>
          <w:color w:val="auto"/>
        </w:rPr>
      </w:pPr>
      <w:r>
        <w:rPr>
          <w:rFonts w:ascii="Calibri" w:cs="Calibri" w:eastAsia="Calibri" w:hAnsi="Calibri"/>
          <w:sz w:val="18"/>
          <w:szCs w:val="18"/>
          <w:color w:val="auto"/>
        </w:rPr>
        <w:t>account for that entty in a separate line item valuing the equity interest in an unconsolidated joint venture. As a result, in our view, our revenue is, in efect, understated. Second, in our industry, with large up-front capital projects, we believe that cash fow and operatng earnings are more important than revenues when evaluatng peers.</w:t>
      </w:r>
    </w:p>
    <w:p>
      <w:pPr>
        <w:sectPr>
          <w:pgSz w:w="11900" w:h="16838" w:orient="portrait"/>
          <w:cols w:equalWidth="0" w:num="1">
            <w:col w:w="11240"/>
          </w:cols>
          <w:pgMar w:left="320" w:top="117" w:right="339" w:bottom="1440" w:gutter="0" w:footer="0" w:header="0"/>
        </w:sectPr>
      </w:pPr>
    </w:p>
    <w:p>
      <w:pPr>
        <w:spacing w:after="0" w:line="21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For these reasons and in light of the peer analysis described above, we believe that the compensaton peer group identfed by our Compensaton Commitee for fscal 2022 provides a more appropriate and meaningful basis for assessing our executve compensaton.</w:t>
      </w:r>
    </w:p>
    <w:p>
      <w:pPr>
        <w:spacing w:after="0" w:line="32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Primary Elements of Executve Compensaton</w:t>
      </w:r>
    </w:p>
    <w:p>
      <w:pPr>
        <w:spacing w:after="0" w:line="113"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The primary elements of our executve compensaton program are the following:</w:t>
      </w:r>
    </w:p>
    <w:p>
      <w:pPr>
        <w:spacing w:after="0" w:line="105" w:lineRule="exact"/>
        <w:rPr>
          <w:sz w:val="20"/>
          <w:szCs w:val="20"/>
          <w:color w:val="auto"/>
        </w:rPr>
      </w:pPr>
    </w:p>
    <w:p>
      <w:pPr>
        <w:ind w:left="340" w:hanging="170"/>
        <w:spacing w:after="0"/>
        <w:tabs>
          <w:tab w:leader="none" w:pos="34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 salary</w:t>
      </w:r>
    </w:p>
    <w:p>
      <w:pPr>
        <w:spacing w:after="0" w:line="131"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Annual incentve bonus</w:t>
      </w:r>
    </w:p>
    <w:p>
      <w:pPr>
        <w:spacing w:after="0" w:line="131"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Long-term incentve compensaton</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Base Salary</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Salaries of the Named Executve Ofcers are reviewed annually as well as at the tme of a promoton or signifcant change in responsibilites. As described above, the Compensaton Commitee engaged L&amp;A to conduct the compensaton study at the beginning of fscal 2022. L&amp;A’s compensaton study was delivered to the Compensaton Commitee in May 2021.</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The fscal 2022 base salaries for the Named Executve Ofcers were set in</w:t>
      </w:r>
    </w:p>
    <w:p>
      <w:pPr>
        <w:spacing w:after="0" w:line="235" w:lineRule="auto"/>
        <w:rPr>
          <w:sz w:val="20"/>
          <w:szCs w:val="20"/>
          <w:color w:val="auto"/>
        </w:rPr>
      </w:pPr>
      <w:r>
        <w:rPr>
          <w:rFonts w:ascii="Calibri" w:cs="Calibri" w:eastAsia="Calibri" w:hAnsi="Calibri"/>
          <w:sz w:val="18"/>
          <w:szCs w:val="18"/>
          <w:color w:val="auto"/>
        </w:rPr>
        <w:t>May 2021 as follows:</w:t>
      </w:r>
    </w:p>
    <w:p>
      <w:pPr>
        <w:spacing w:after="0" w:line="238"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Increase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Base</w:t>
            </w:r>
          </w:p>
        </w:tc>
        <w:tc>
          <w:tcPr>
            <w:tcW w:w="8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from Prior</w:t>
            </w:r>
          </w:p>
        </w:tc>
        <w:tc>
          <w:tcPr>
            <w:tcW w:w="0" w:type="dxa"/>
            <w:vAlign w:val="bottom"/>
          </w:tcPr>
          <w:p>
            <w:pPr>
              <w:spacing w:after="0"/>
              <w:rPr>
                <w:sz w:val="1"/>
                <w:szCs w:val="1"/>
                <w:color w:val="auto"/>
              </w:rPr>
            </w:pPr>
          </w:p>
        </w:tc>
      </w:tr>
      <w:tr>
        <w:trPr>
          <w:trHeight w:val="155"/>
        </w:trPr>
        <w:tc>
          <w:tcPr>
            <w:tcW w:w="2180" w:type="dxa"/>
            <w:vAlign w:val="bottom"/>
            <w:gridSpan w:val="3"/>
          </w:tcPr>
          <w:p>
            <w:pPr>
              <w:spacing w:after="0" w:line="155" w:lineRule="exact"/>
              <w:rPr>
                <w:sz w:val="20"/>
                <w:szCs w:val="20"/>
                <w:color w:val="auto"/>
              </w:rPr>
            </w:pPr>
            <w:r>
              <w:rPr>
                <w:rFonts w:ascii="Calibri" w:cs="Calibri" w:eastAsia="Calibri" w:hAnsi="Calibri"/>
                <w:sz w:val="14"/>
                <w:szCs w:val="14"/>
                <w:b w:val="1"/>
                <w:bCs w:val="1"/>
                <w:color w:val="auto"/>
              </w:rPr>
              <w:t>Name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60"/>
              <w:spacing w:after="0" w:line="155" w:lineRule="exact"/>
              <w:rPr>
                <w:sz w:val="20"/>
                <w:szCs w:val="20"/>
                <w:color w:val="auto"/>
              </w:rPr>
            </w:pPr>
            <w:r>
              <w:rPr>
                <w:rFonts w:ascii="Calibri" w:cs="Calibri" w:eastAsia="Calibri" w:hAnsi="Calibri"/>
                <w:sz w:val="14"/>
                <w:szCs w:val="14"/>
                <w:b w:val="1"/>
                <w:bCs w:val="1"/>
                <w:color w:val="auto"/>
              </w:rPr>
              <w:t>Salary</w:t>
            </w:r>
          </w:p>
        </w:tc>
        <w:tc>
          <w:tcPr>
            <w:tcW w:w="820" w:type="dxa"/>
            <w:vAlign w:val="bottom"/>
            <w:gridSpan w:val="2"/>
          </w:tcPr>
          <w:p>
            <w:pPr>
              <w:jc w:val="center"/>
              <w:ind w:right="80"/>
              <w:spacing w:after="0" w:line="155" w:lineRule="exact"/>
              <w:rPr>
                <w:sz w:val="20"/>
                <w:szCs w:val="20"/>
                <w:color w:val="auto"/>
              </w:rPr>
            </w:pPr>
            <w:r>
              <w:rPr>
                <w:rFonts w:ascii="Calibri" w:cs="Calibri" w:eastAsia="Calibri" w:hAnsi="Calibri"/>
                <w:sz w:val="14"/>
                <w:szCs w:val="14"/>
                <w:b w:val="1"/>
                <w:bCs w:val="1"/>
                <w:color w:val="auto"/>
                <w:w w:val="99"/>
              </w:rPr>
              <w:t>Year</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CFF0FC"/>
            </w:tcBorders>
          </w:tcPr>
          <w:p>
            <w:pPr>
              <w:spacing w:after="0" w:line="20" w:lineRule="exact"/>
              <w:rPr>
                <w:sz w:val="1"/>
                <w:szCs w:val="1"/>
                <w:color w:val="auto"/>
              </w:rPr>
            </w:pPr>
          </w:p>
        </w:tc>
        <w:tc>
          <w:tcPr>
            <w:tcW w:w="182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60" w:type="dxa"/>
            <w:vAlign w:val="bottom"/>
            <w:tcBorders>
              <w:bottom w:val="single" w:sz="8" w:color="CFF0FC"/>
            </w:tcBorders>
            <w:gridSpan w:val="2"/>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10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680" w:type="dxa"/>
            <w:vAlign w:val="bottom"/>
            <w:tcBorders>
              <w:bottom w:val="single" w:sz="8" w:color="CFF0FC"/>
            </w:tcBorders>
            <w:shd w:val="clear" w:color="auto" w:fill="CFF0FC"/>
          </w:tcPr>
          <w:p>
            <w:pPr>
              <w:jc w:val="right"/>
              <w:ind w:right="2"/>
              <w:spacing w:after="0" w:line="187" w:lineRule="exact"/>
              <w:rPr>
                <w:sz w:val="20"/>
                <w:szCs w:val="20"/>
                <w:color w:val="auto"/>
              </w:rPr>
            </w:pPr>
            <w:r>
              <w:rPr>
                <w:rFonts w:ascii="Calibri" w:cs="Calibri" w:eastAsia="Calibri" w:hAnsi="Calibri"/>
                <w:sz w:val="16"/>
                <w:szCs w:val="16"/>
                <w:color w:val="auto"/>
              </w:rPr>
              <w:t>900,000</w:t>
            </w:r>
          </w:p>
        </w:tc>
        <w:tc>
          <w:tcPr>
            <w:tcW w:w="14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center"/>
              <w:spacing w:after="0" w:line="187" w:lineRule="exact"/>
              <w:rPr>
                <w:sz w:val="20"/>
                <w:szCs w:val="20"/>
                <w:color w:val="auto"/>
              </w:rPr>
            </w:pPr>
            <w:r>
              <w:rPr>
                <w:rFonts w:ascii="Calibri" w:cs="Calibri" w:eastAsia="Calibri" w:hAnsi="Calibri"/>
                <w:sz w:val="16"/>
                <w:szCs w:val="16"/>
                <w:color w:val="auto"/>
                <w:w w:val="98"/>
              </w:rPr>
              <w:t>9.2</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2"/>
          </w:tcPr>
          <w:p>
            <w:pPr>
              <w:spacing w:after="0" w:line="193" w:lineRule="exact"/>
              <w:rPr>
                <w:sz w:val="20"/>
                <w:szCs w:val="20"/>
                <w:color w:val="auto"/>
              </w:rPr>
            </w:pPr>
            <w:r>
              <w:rPr>
                <w:rFonts w:ascii="Calibri" w:cs="Calibri" w:eastAsia="Calibri" w:hAnsi="Calibri"/>
                <w:sz w:val="16"/>
                <w:szCs w:val="16"/>
                <w:color w:val="auto"/>
              </w:rPr>
              <w:t>D. Craig Kesler</w:t>
            </w:r>
          </w:p>
        </w:tc>
        <w:tc>
          <w:tcPr>
            <w:tcW w:w="11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680" w:type="dxa"/>
            <w:vAlign w:val="bottom"/>
          </w:tcPr>
          <w:p>
            <w:pPr>
              <w:jc w:val="right"/>
              <w:ind w:right="2"/>
              <w:spacing w:after="0" w:line="193" w:lineRule="exact"/>
              <w:rPr>
                <w:sz w:val="20"/>
                <w:szCs w:val="20"/>
                <w:color w:val="auto"/>
              </w:rPr>
            </w:pPr>
            <w:r>
              <w:rPr>
                <w:rFonts w:ascii="Calibri" w:cs="Calibri" w:eastAsia="Calibri" w:hAnsi="Calibri"/>
                <w:sz w:val="16"/>
                <w:szCs w:val="16"/>
                <w:color w:val="auto"/>
              </w:rPr>
              <w:t>500,035</w:t>
            </w:r>
          </w:p>
        </w:tc>
        <w:tc>
          <w:tcPr>
            <w:tcW w:w="140" w:type="dxa"/>
            <w:vAlign w:val="bottom"/>
          </w:tcPr>
          <w:p>
            <w:pPr>
              <w:spacing w:after="0"/>
              <w:rPr>
                <w:sz w:val="16"/>
                <w:szCs w:val="16"/>
                <w:color w:val="auto"/>
              </w:rPr>
            </w:pPr>
          </w:p>
        </w:tc>
        <w:tc>
          <w:tcPr>
            <w:tcW w:w="820" w:type="dxa"/>
            <w:vAlign w:val="bottom"/>
            <w:gridSpan w:val="2"/>
          </w:tcPr>
          <w:p>
            <w:pPr>
              <w:jc w:val="center"/>
              <w:ind w:right="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6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Robert S. Stewart</w:t>
            </w:r>
          </w:p>
        </w:tc>
        <w:tc>
          <w:tcPr>
            <w:tcW w:w="114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680" w:type="dxa"/>
            <w:vAlign w:val="bottom"/>
            <w:tcBorders>
              <w:bottom w:val="single" w:sz="8" w:color="CFF0FC"/>
            </w:tcBorders>
            <w:shd w:val="clear" w:color="auto" w:fill="CFF0FC"/>
          </w:tcPr>
          <w:p>
            <w:pPr>
              <w:jc w:val="right"/>
              <w:ind w:right="2"/>
              <w:spacing w:after="0" w:line="193" w:lineRule="exact"/>
              <w:rPr>
                <w:sz w:val="20"/>
                <w:szCs w:val="20"/>
                <w:color w:val="auto"/>
              </w:rPr>
            </w:pPr>
            <w:r>
              <w:rPr>
                <w:rFonts w:ascii="Calibri" w:cs="Calibri" w:eastAsia="Calibri" w:hAnsi="Calibri"/>
                <w:sz w:val="16"/>
                <w:szCs w:val="16"/>
                <w:color w:val="auto"/>
              </w:rPr>
              <w:t>480,420</w:t>
            </w:r>
          </w:p>
        </w:tc>
        <w:tc>
          <w:tcPr>
            <w:tcW w:w="1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2"/>
            <w:shd w:val="clear" w:color="auto" w:fill="CFF0FC"/>
          </w:tcPr>
          <w:p>
            <w:pPr>
              <w:jc w:val="center"/>
              <w:ind w:right="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2"/>
          </w:tcPr>
          <w:p>
            <w:pPr>
              <w:spacing w:after="0" w:line="193" w:lineRule="exact"/>
              <w:rPr>
                <w:sz w:val="20"/>
                <w:szCs w:val="20"/>
                <w:color w:val="auto"/>
              </w:rPr>
            </w:pPr>
            <w:r>
              <w:rPr>
                <w:rFonts w:ascii="Calibri" w:cs="Calibri" w:eastAsia="Calibri" w:hAnsi="Calibri"/>
                <w:sz w:val="16"/>
                <w:szCs w:val="16"/>
                <w:color w:val="auto"/>
              </w:rPr>
              <w:t>James H. Graass</w:t>
            </w:r>
          </w:p>
        </w:tc>
        <w:tc>
          <w:tcPr>
            <w:tcW w:w="11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680" w:type="dxa"/>
            <w:vAlign w:val="bottom"/>
          </w:tcPr>
          <w:p>
            <w:pPr>
              <w:jc w:val="right"/>
              <w:ind w:right="2"/>
              <w:spacing w:after="0" w:line="193" w:lineRule="exact"/>
              <w:rPr>
                <w:sz w:val="20"/>
                <w:szCs w:val="20"/>
                <w:color w:val="auto"/>
              </w:rPr>
            </w:pPr>
            <w:r>
              <w:rPr>
                <w:rFonts w:ascii="Calibri" w:cs="Calibri" w:eastAsia="Calibri" w:hAnsi="Calibri"/>
                <w:sz w:val="16"/>
                <w:szCs w:val="16"/>
                <w:color w:val="auto"/>
              </w:rPr>
              <w:t>451,000</w:t>
            </w:r>
          </w:p>
        </w:tc>
        <w:tc>
          <w:tcPr>
            <w:tcW w:w="140" w:type="dxa"/>
            <w:vAlign w:val="bottom"/>
          </w:tcPr>
          <w:p>
            <w:pPr>
              <w:spacing w:after="0"/>
              <w:rPr>
                <w:sz w:val="16"/>
                <w:szCs w:val="16"/>
                <w:color w:val="auto"/>
              </w:rPr>
            </w:pPr>
          </w:p>
        </w:tc>
        <w:tc>
          <w:tcPr>
            <w:tcW w:w="820" w:type="dxa"/>
            <w:vAlign w:val="bottom"/>
            <w:gridSpan w:val="2"/>
          </w:tcPr>
          <w:p>
            <w:pPr>
              <w:jc w:val="center"/>
              <w:ind w:right="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Steven L. Wentzel</w:t>
            </w:r>
          </w:p>
        </w:tc>
        <w:tc>
          <w:tcPr>
            <w:tcW w:w="11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680" w:type="dxa"/>
            <w:vAlign w:val="bottom"/>
            <w:shd w:val="clear" w:color="auto" w:fill="CFF0FC"/>
          </w:tcPr>
          <w:p>
            <w:pPr>
              <w:jc w:val="right"/>
              <w:ind w:right="2"/>
              <w:spacing w:after="0" w:line="193" w:lineRule="exact"/>
              <w:rPr>
                <w:sz w:val="20"/>
                <w:szCs w:val="20"/>
                <w:color w:val="auto"/>
              </w:rPr>
            </w:pPr>
            <w:r>
              <w:rPr>
                <w:rFonts w:ascii="Calibri" w:cs="Calibri" w:eastAsia="Calibri" w:hAnsi="Calibri"/>
                <w:sz w:val="16"/>
                <w:szCs w:val="16"/>
                <w:color w:val="auto"/>
              </w:rPr>
              <w:t>339,902</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center"/>
              <w:spacing w:after="0" w:line="193" w:lineRule="exact"/>
              <w:rPr>
                <w:sz w:val="20"/>
                <w:szCs w:val="20"/>
                <w:color w:val="auto"/>
              </w:rPr>
            </w:pPr>
            <w:r>
              <w:rPr>
                <w:rFonts w:ascii="Calibri" w:cs="Calibri" w:eastAsia="Calibri" w:hAnsi="Calibri"/>
                <w:sz w:val="16"/>
                <w:szCs w:val="16"/>
                <w:color w:val="auto"/>
                <w:w w:val="98"/>
              </w:rPr>
              <w:t>3.0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Consideratons that may infuence the salary level for a Named Executve Ofcer include individual performance, the Named Executve Ofcer’s skills or experience, our operatng performance and the nature and responsibilites of the positon.</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Annual Incentve Bonus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Compensaton Commitee is responsible for approving the annual incentve bonus for our CEO and the other Named Executve Ofcers. Annual incentve bonuses paid to our Named Executve Ofcers for fscal 2022 (other than Mr. Wentzel) were made under the Eagle Materials Inc. Salaried Incentve Compensaton Program for Fiscal Year 2022, which we refer to as the “Eagle Annual Incentve Program.” The Eagle Annual Incentve Program and the Company’s other incentve programs for fscal 2022 were structured to create fnancial incentves and rewards that are directly related to corporate performance and the partcipatng Named Executve Ofcer’s individual performance during the fscal year.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The Compensaton Commitee believes these programs are consistent with our pay-for-performance compensaton philosophy in that they place a signifcant porton of the executve’s compensaton “at risk.” Generally, under these programs, a signifcant porton of the executve’s total compensaton is dependent upon the performance of the Company as well as the individual’s performance. The Company’s annual incentve bonus programs also refect the Commitee’s philosophy of aligning the interests of our executves with those of the stockholders. These programs create this alignment by providing that an ofcer’s annual bonus potental varies directly with our operatng earnings. Although individual performance and achievement of goals (as discussed in more detail below under “Approving the Annual Incentve Bonus”) may afect the actual incentve bonus amount, our programs are structured in such a way that the executve ofcer’s incentve bonus potental can vary considerably as operatng earnings change from year to year. The Commitee believes that operatng earnings is an appropriate metric for annual incentve bonuses because it is ted closely to operatons, can be directly impacted by the eforts of the pool partcipants, and is a measure that our stockholders have indicated they track and value.</w:t>
      </w:r>
    </w:p>
    <w:p>
      <w:pPr>
        <w:spacing w:after="0" w:line="316"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Eagle Annual Incentve Program</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For fscal 2022, Messrs. Haack, Kesler, Stewart and Graass were partcipants in the Eagle Annual Incentve Program. Under this program, during the frst quarter of the fscal year, a percentage of our operatng earnings is designated by the Compensaton Commitee as a pool for bonuses, and each partcipatng Named Executve Ofcer is assigned a share of such pool, representng the executve’s maximum bonus opportunity. At the end of the fscal year, the size of the pool is determined, based on the amount of operatng earnings generated during such fscal year, and annual incentve bonuses are paid to each partcipatng executve in the form of a lump sum cash payment refectng each executve’s share of the pool, subject to the exercise of “negatve discreton” by the Compensaton Commitee to reduce (but not increase) the amount of the cash payment based on the executve’s individual performance during the fscal year. The amount of the annual incentve bonus paid to an executve is based on the level of our operatng earnings, the share of the pool designated for such executve, and an assessment of such executve’s individual performance.</w:t>
      </w:r>
    </w:p>
    <w:p>
      <w:pPr>
        <w:spacing w:after="0" w:line="23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Eagle Annual Incentve Program for Fiscal 2022 was adopted by the Compensaton Commitee in May 2021, and it mirrored the structure of the fscal 2021 program. The program was to be funded with 1.2% of the Company’s operatng earnings for fscal 2022, the same percentage used in the prior year.</w:t>
      </w:r>
    </w:p>
    <w:p>
      <w:pPr>
        <w:spacing w:after="0" w:line="22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bonus pool itself is not subject to a separate cap or maximum, but is merely a functon of multplying the pre-determined percentage by our operatng earnings for the applicable fscal year; however, our Incentve Plan does provide an absolute cap on cash</w:t>
      </w:r>
    </w:p>
    <w:p>
      <w:pPr>
        <w:spacing w:after="0" w:line="967" w:lineRule="exact"/>
        <w:rPr>
          <w:sz w:val="20"/>
          <w:szCs w:val="20"/>
          <w:color w:val="auto"/>
        </w:rPr>
      </w:pPr>
    </w:p>
    <w:p>
      <w:pPr>
        <w:sectPr>
          <w:pgSz w:w="11900" w:h="16838" w:orient="portrait"/>
          <w:cols w:equalWidth="0" w:num="2">
            <w:col w:w="5500" w:space="240"/>
            <w:col w:w="5500"/>
          </w:cols>
          <w:pgMar w:left="320" w:top="117" w:right="339" w:bottom="1440" w:gutter="0" w:footer="0" w:header="0"/>
          <w:type w:val="continuous"/>
        </w:sectPr>
      </w:pPr>
    </w:p>
    <w:p>
      <w:pPr>
        <w:ind w:left="4060"/>
        <w:spacing w:after="0" w:line="236" w:lineRule="auto"/>
        <w:rPr>
          <w:sz w:val="20"/>
          <w:szCs w:val="20"/>
          <w:color w:val="auto"/>
        </w:rPr>
      </w:pPr>
      <w:r>
        <w:rPr>
          <w:rFonts w:ascii="Calibri" w:cs="Calibri" w:eastAsia="Calibri" w:hAnsi="Calibri"/>
          <w:sz w:val="20"/>
          <w:szCs w:val="20"/>
          <w:color w:val="auto"/>
        </w:rPr>
        <w:t>_______________________________</w:t>
      </w:r>
    </w:p>
    <w:p>
      <w:pPr>
        <w:jc w:val="center"/>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ind w:right="40"/>
        <w:spacing w:after="0" w:line="235" w:lineRule="auto"/>
        <w:rPr>
          <w:sz w:val="20"/>
          <w:szCs w:val="20"/>
          <w:color w:val="auto"/>
        </w:rPr>
      </w:pPr>
      <w:r>
        <w:rPr>
          <w:rFonts w:ascii="Calibri" w:cs="Calibri" w:eastAsia="Calibri" w:hAnsi="Calibri"/>
          <w:sz w:val="18"/>
          <w:szCs w:val="18"/>
          <w:color w:val="auto"/>
        </w:rPr>
        <w:t>that any employee may receive in any fscal year under such programs ($5 million). In setng the percentage of operatng earnings which would fund the pool for the Eagle Annual Incentve Program, the Compensaton Commitee considered several factors, including our compensaton philosophy that a signifcant porton of the executve’s compensaton should be “at risk” and subject to the Company’s success (level of operatng earnings), as well as the antcipated operatng earnings for fscal 2022.</w:t>
      </w:r>
    </w:p>
    <w:p>
      <w:pPr>
        <w:sectPr>
          <w:pgSz w:w="11900" w:h="16838" w:orient="portrait"/>
          <w:cols w:equalWidth="0" w:num="1">
            <w:col w:w="11240"/>
          </w:cols>
          <w:pgMar w:left="320" w:top="333" w:right="339" w:bottom="1440" w:gutter="0" w:footer="0" w:header="0"/>
        </w:sectPr>
      </w:pPr>
    </w:p>
    <w:p>
      <w:pPr>
        <w:spacing w:after="0" w:line="21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allocatng each Named Executve Ofcer’s opportunity under the pool, the Compensaton Commitee considered the amount of annual incentve bonus compensaton opportunites of executves in other companies who fulfll similar roles as illustrated in the compensaton study prepared by L&amp;A, the share of the pool historically allocated to ofcers in such roles by the Company, the recommendaton of Mr. Haack for each partcipant (other than himself), as well as the Compensaton Commitee’s assessment of the executve’s importance and contributon to the organizaton, the executve’s importance in driving the achievement of Company goals and proftability, the executve’s level of responsibility, and the antcipated operatng earnings for fscal 2022. The Compensaton Commitee set the bonus potental for the Named Executve Ofcers as follows:</w:t>
      </w:r>
    </w:p>
    <w:p>
      <w:pPr>
        <w:spacing w:after="0" w:line="31"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Annual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Incentve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9"/>
              </w:rPr>
              <w:t>Bonus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Potental</w:t>
            </w:r>
          </w:p>
        </w:tc>
        <w:tc>
          <w:tcPr>
            <w:tcW w:w="0" w:type="dxa"/>
            <w:vAlign w:val="bottom"/>
          </w:tcPr>
          <w:p>
            <w:pPr>
              <w:spacing w:after="0"/>
              <w:rPr>
                <w:sz w:val="1"/>
                <w:szCs w:val="1"/>
                <w:color w:val="auto"/>
              </w:rPr>
            </w:pPr>
          </w:p>
        </w:tc>
      </w:tr>
      <w:tr>
        <w:trPr>
          <w:trHeight w:val="155"/>
        </w:trPr>
        <w:tc>
          <w:tcPr>
            <w:tcW w:w="3940" w:type="dxa"/>
            <w:vAlign w:val="bottom"/>
            <w:gridSpan w:val="3"/>
          </w:tcPr>
          <w:p>
            <w:pPr>
              <w:spacing w:after="0" w:line="155" w:lineRule="exact"/>
              <w:rPr>
                <w:sz w:val="20"/>
                <w:szCs w:val="20"/>
                <w:color w:val="auto"/>
              </w:rPr>
            </w:pPr>
            <w:r>
              <w:rPr>
                <w:rFonts w:ascii="Calibri" w:cs="Calibri" w:eastAsia="Calibri" w:hAnsi="Calibri"/>
                <w:sz w:val="14"/>
                <w:szCs w:val="14"/>
                <w:b w:val="1"/>
                <w:bCs w:val="1"/>
                <w:color w:val="auto"/>
              </w:rPr>
              <w:t>Name</w:t>
            </w:r>
          </w:p>
        </w:tc>
        <w:tc>
          <w:tcPr>
            <w:tcW w:w="1020" w:type="dxa"/>
            <w:vAlign w:val="bottom"/>
            <w:gridSpan w:val="2"/>
          </w:tcPr>
          <w:p>
            <w:pPr>
              <w:jc w:val="center"/>
              <w:ind w:right="100"/>
              <w:spacing w:after="0" w:line="155" w:lineRule="exact"/>
              <w:rPr>
                <w:sz w:val="20"/>
                <w:szCs w:val="20"/>
                <w:color w:val="auto"/>
              </w:rPr>
            </w:pPr>
            <w:r>
              <w:rPr>
                <w:rFonts w:ascii="Calibri" w:cs="Calibri" w:eastAsia="Calibri" w:hAnsi="Calibri"/>
                <w:sz w:val="14"/>
                <w:szCs w:val="14"/>
                <w:b w:val="1"/>
                <w:bCs w:val="1"/>
                <w:color w:val="auto"/>
              </w:rPr>
              <w:t>(% of Pool)</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CFF0FC"/>
            </w:tcBorders>
          </w:tcPr>
          <w:p>
            <w:pPr>
              <w:spacing w:after="0" w:line="20" w:lineRule="exact"/>
              <w:rPr>
                <w:sz w:val="1"/>
                <w:szCs w:val="1"/>
                <w:color w:val="auto"/>
              </w:rPr>
            </w:pPr>
          </w:p>
        </w:tc>
        <w:tc>
          <w:tcPr>
            <w:tcW w:w="358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20" w:type="dxa"/>
            <w:vAlign w:val="bottom"/>
            <w:tcBorders>
              <w:bottom w:val="single" w:sz="8" w:color="CFF0FC"/>
            </w:tcBorders>
            <w:gridSpan w:val="2"/>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940" w:type="dxa"/>
            <w:vAlign w:val="bottom"/>
            <w:tcBorders>
              <w:bottom w:val="single" w:sz="8" w:color="CFF0FC"/>
            </w:tcBorders>
            <w:shd w:val="clear" w:color="auto" w:fill="CFF0FC"/>
          </w:tcPr>
          <w:p>
            <w:pPr>
              <w:jc w:val="right"/>
              <w:ind w:right="224"/>
              <w:spacing w:after="0" w:line="187" w:lineRule="exact"/>
              <w:rPr>
                <w:sz w:val="20"/>
                <w:szCs w:val="20"/>
                <w:color w:val="auto"/>
              </w:rPr>
            </w:pPr>
            <w:r>
              <w:rPr>
                <w:rFonts w:ascii="Calibri" w:cs="Calibri" w:eastAsia="Calibri" w:hAnsi="Calibri"/>
                <w:sz w:val="16"/>
                <w:szCs w:val="16"/>
                <w:color w:val="auto"/>
              </w:rPr>
              <w:t>28.0</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193" w:lineRule="exact"/>
              <w:rPr>
                <w:sz w:val="20"/>
                <w:szCs w:val="20"/>
                <w:color w:val="auto"/>
              </w:rPr>
            </w:pPr>
            <w:r>
              <w:rPr>
                <w:rFonts w:ascii="Calibri" w:cs="Calibri" w:eastAsia="Calibri" w:hAnsi="Calibri"/>
                <w:sz w:val="16"/>
                <w:szCs w:val="16"/>
                <w:color w:val="auto"/>
              </w:rPr>
              <w:t>D. Craig Kesler</w:t>
            </w:r>
          </w:p>
        </w:tc>
        <w:tc>
          <w:tcPr>
            <w:tcW w:w="940" w:type="dxa"/>
            <w:vAlign w:val="bottom"/>
          </w:tcPr>
          <w:p>
            <w:pPr>
              <w:jc w:val="right"/>
              <w:ind w:right="224"/>
              <w:spacing w:after="0"/>
              <w:rPr>
                <w:sz w:val="20"/>
                <w:szCs w:val="20"/>
                <w:color w:val="auto"/>
              </w:rPr>
            </w:pPr>
            <w:r>
              <w:rPr>
                <w:rFonts w:ascii="Calibri" w:cs="Calibri" w:eastAsia="Calibri" w:hAnsi="Calibri"/>
                <w:sz w:val="16"/>
                <w:szCs w:val="16"/>
                <w:color w:val="auto"/>
              </w:rPr>
              <w:t>21.5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Robert S. Stewart</w:t>
            </w:r>
          </w:p>
        </w:tc>
        <w:tc>
          <w:tcPr>
            <w:tcW w:w="940" w:type="dxa"/>
            <w:vAlign w:val="bottom"/>
            <w:tcBorders>
              <w:bottom w:val="single" w:sz="8" w:color="CFF0FC"/>
            </w:tcBorders>
            <w:shd w:val="clear" w:color="auto" w:fill="CFF0FC"/>
          </w:tcPr>
          <w:p>
            <w:pPr>
              <w:jc w:val="right"/>
              <w:ind w:right="224"/>
              <w:spacing w:after="0"/>
              <w:rPr>
                <w:sz w:val="20"/>
                <w:szCs w:val="20"/>
                <w:color w:val="auto"/>
              </w:rPr>
            </w:pPr>
            <w:r>
              <w:rPr>
                <w:rFonts w:ascii="Calibri" w:cs="Calibri" w:eastAsia="Calibri" w:hAnsi="Calibri"/>
                <w:sz w:val="16"/>
                <w:szCs w:val="16"/>
                <w:color w:val="auto"/>
              </w:rPr>
              <w:t>18.5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193" w:lineRule="exact"/>
              <w:rPr>
                <w:sz w:val="20"/>
                <w:szCs w:val="20"/>
                <w:color w:val="auto"/>
              </w:rPr>
            </w:pPr>
            <w:r>
              <w:rPr>
                <w:rFonts w:ascii="Calibri" w:cs="Calibri" w:eastAsia="Calibri" w:hAnsi="Calibri"/>
                <w:sz w:val="16"/>
                <w:szCs w:val="16"/>
                <w:color w:val="auto"/>
              </w:rPr>
              <w:t>James H. Graass</w:t>
            </w:r>
          </w:p>
        </w:tc>
        <w:tc>
          <w:tcPr>
            <w:tcW w:w="940" w:type="dxa"/>
            <w:vAlign w:val="bottom"/>
          </w:tcPr>
          <w:p>
            <w:pPr>
              <w:jc w:val="right"/>
              <w:ind w:right="224"/>
              <w:spacing w:after="0"/>
              <w:rPr>
                <w:sz w:val="20"/>
                <w:szCs w:val="20"/>
                <w:color w:val="auto"/>
              </w:rPr>
            </w:pPr>
            <w:r>
              <w:rPr>
                <w:rFonts w:ascii="Calibri" w:cs="Calibri" w:eastAsia="Calibri" w:hAnsi="Calibri"/>
                <w:sz w:val="16"/>
                <w:szCs w:val="16"/>
                <w:color w:val="auto"/>
              </w:rPr>
              <w:t>18.5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Also at the beginning of fscal 2022, the Compensaton Commitee worked with Mr. Haack to develop individual annual incentve goal categories by plan and positon throughout the Company, including with respect to the Named Executve Ofcers (other than himself). For partcipants in the Eagle Annual Incentve Program, the partcipants’ individual performance against the goals would be evaluated by the Commitee in the exercise of “negatve discreton” to reduce (but not increase) the amount of the porton of the pool that would be paid to the partcipant at the end of the fscal year.</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color w:val="auto"/>
        </w:rPr>
        <w:t>This pool amount was not quantfable untl the end of fscal 2022, at which</w:t>
      </w:r>
    </w:p>
    <w:p>
      <w:pPr>
        <w:spacing w:after="0" w:line="235" w:lineRule="auto"/>
        <w:rPr>
          <w:sz w:val="20"/>
          <w:szCs w:val="20"/>
          <w:color w:val="auto"/>
        </w:rPr>
      </w:pPr>
      <w:r>
        <w:rPr>
          <w:rFonts w:ascii="Calibri" w:cs="Calibri" w:eastAsia="Calibri" w:hAnsi="Calibri"/>
          <w:sz w:val="18"/>
          <w:szCs w:val="18"/>
          <w:color w:val="auto"/>
        </w:rPr>
        <w:t>tme the Compensaton Commitee determined that the aggregate amount</w:t>
      </w:r>
    </w:p>
    <w:p>
      <w:pPr>
        <w:spacing w:after="0" w:line="236" w:lineRule="auto"/>
        <w:rPr>
          <w:sz w:val="20"/>
          <w:szCs w:val="20"/>
          <w:color w:val="auto"/>
        </w:rPr>
      </w:pPr>
      <w:r>
        <w:rPr>
          <w:rFonts w:ascii="Calibri" w:cs="Calibri" w:eastAsia="Calibri" w:hAnsi="Calibri"/>
          <w:sz w:val="18"/>
          <w:szCs w:val="18"/>
          <w:color w:val="auto"/>
        </w:rPr>
        <w:t>available for the Eagle Annual Incentve Program pool for fscal 2022 was</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$6,172,484, based on the Company’s operatng earnings of $514,373,665, as</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adjusted for certain extraordinary items that the Commitee believes are not</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refectve of operatng performance. For comparison purposes, the</w:t>
      </w:r>
    </w:p>
    <w:p>
      <w:pPr>
        <w:spacing w:after="0" w:line="235" w:lineRule="auto"/>
        <w:rPr>
          <w:sz w:val="20"/>
          <w:szCs w:val="20"/>
          <w:color w:val="auto"/>
        </w:rPr>
      </w:pPr>
      <w:r>
        <w:rPr>
          <w:rFonts w:ascii="Calibri" w:cs="Calibri" w:eastAsia="Calibri" w:hAnsi="Calibri"/>
          <w:sz w:val="18"/>
          <w:szCs w:val="18"/>
          <w:color w:val="auto"/>
        </w:rPr>
        <w:t>equivalent pool amount in fscal 2021 was $4,969,320, based on the</w:t>
      </w:r>
    </w:p>
    <w:p>
      <w:pPr>
        <w:spacing w:after="0" w:line="236" w:lineRule="auto"/>
        <w:rPr>
          <w:sz w:val="20"/>
          <w:szCs w:val="20"/>
          <w:color w:val="auto"/>
        </w:rPr>
      </w:pPr>
      <w:r>
        <w:rPr>
          <w:rFonts w:ascii="Calibri" w:cs="Calibri" w:eastAsia="Calibri" w:hAnsi="Calibri"/>
          <w:sz w:val="18"/>
          <w:szCs w:val="18"/>
          <w:color w:val="auto"/>
        </w:rPr>
        <w:t>Company’s operatng earnings of $414,109,984 (as adjusted).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Divisional Annual Incentve Program</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For certain employees who do not partcipate in the Eagle Annual Incentve Program, the Company maintains divisional annual incentve plans, which the Commitee believes beter te such employees’ annual incentve compensaton to metrics that they can directly infuence than a Company-wide program. For fscal 2022, Mr. Wentzel partcipated in a Divisional Annual Incentve Bonus Program. Under these programs, a percentage of a division’s operatng earnings is allocated to the bonus pool and each partcipatng employee is assigned a share of the pool, representng the employee’s maximum bonus opportunity. At the end of the fscal year, the size of the pool is determined and annual bonuses are paid to partcipatng employees in the form of a lump sum cash payment in accordance with their shares of the pool, subject to the exercise of negatve discreton by our CEO (or, in the case of bonuses paid to Named Executve Ofcers, the Compensaton Commitee) based on the employee’s individual performance during the fscal year.</w:t>
      </w:r>
    </w:p>
    <w:p>
      <w:pPr>
        <w:spacing w:after="0" w:line="22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Mr. Wentzel partcipated in the Eagle Materials Inc. American Gypsum Company Salaried Incentve Compensaton Program for Fiscal Year 2022. Under this program, the bonus pool equaled 2.0% of the EBITDA of American Gypsum, which is the same percentage the Compensaton Commitee has set for the past several years. In deciding to keep the percentage of EBITDA which would fund this bonus pool the same as the prior year, the Compensaton Commitee considered several factors, including our compensaton philosophy that a signifcant porton of the executve’s compensaton should be “at risk” and subject to the Company’s success (level of earnings).</w:t>
      </w:r>
    </w:p>
    <w:p>
      <w:pPr>
        <w:spacing w:after="0" w:line="22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divisional bonus pools are not subject to a separate cap or maximum, but are merely a functon of multplying the pre-determined percentage by the applicable operatng earnings for the applicable fscal year; however, our Incentve Plan does provide an absolute cap on cash that any employee may receive in any fscal year under such programs ($5 million). The aggregate amounts available for the American Gypsum program for fscal 2022 was $5,719,545, which was not quantfable untl the end of fscal 2022 and includes amounts available for payment to ofcers and employees other than the Named Executve Ofcers. For comparison purposes, the equivalent amount in fscal 2021 was $4,190,052.</w:t>
      </w:r>
    </w:p>
    <w:p>
      <w:pPr>
        <w:spacing w:after="0" w:line="22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May 2021, the Compensaton Commitee set the annual incentve bonus potental for Mr. Wentzel under the American Gypsum program. In determining Mr. Wentzel’s allocaton of the pool, the Compensaton Commitee considered the recommendaton of Mr. Haack, the amount of annual incentve bonus compensaton payable to executves in other companies who fulfll similar roles as illustrated in the compensaton study prepared by L&amp;A, the porton of the pool historically allocated to his positon and the Compensaton Commitee’s assessment of his importance and contributon to his division’s performance, his importance as an ofcer within his division in driving the achievement of divisional goals and proftability and his level of responsibility. The Compensaton Commitee set</w:t>
      </w:r>
    </w:p>
    <w:p>
      <w:pPr>
        <w:spacing w:after="0" w:line="9" w:lineRule="exact"/>
        <w:rPr>
          <w:sz w:val="20"/>
          <w:szCs w:val="20"/>
          <w:color w:val="auto"/>
        </w:rPr>
      </w:pPr>
    </w:p>
    <w:p>
      <w:pPr>
        <w:spacing w:after="0"/>
        <w:rPr>
          <w:sz w:val="20"/>
          <w:szCs w:val="20"/>
          <w:color w:val="auto"/>
        </w:rPr>
      </w:pPr>
      <w:r>
        <w:rPr>
          <w:rFonts w:ascii="Calibri" w:cs="Calibri" w:eastAsia="Calibri" w:hAnsi="Calibri"/>
          <w:sz w:val="17"/>
          <w:szCs w:val="17"/>
          <w:color w:val="auto"/>
        </w:rPr>
        <w:t>Mr. Wentzel’s incentve bonus potental at 12.5% of his divisional bonus pool.</w:t>
      </w:r>
    </w:p>
    <w:p>
      <w:pPr>
        <w:spacing w:after="0" w:line="1" w:lineRule="exact"/>
        <w:rPr>
          <w:sz w:val="20"/>
          <w:szCs w:val="20"/>
          <w:color w:val="auto"/>
        </w:rPr>
      </w:pPr>
    </w:p>
    <w:p>
      <w:pPr>
        <w:sectPr>
          <w:pgSz w:w="11900" w:h="16838" w:orient="portrait"/>
          <w:cols w:equalWidth="0" w:num="2">
            <w:col w:w="5500" w:space="240"/>
            <w:col w:w="5500"/>
          </w:cols>
          <w:pgMar w:left="320" w:top="333" w:right="339" w:bottom="1440" w:gutter="0" w:footer="0" w:header="0"/>
          <w:type w:val="continuous"/>
        </w:sectPr>
      </w:pPr>
    </w:p>
    <w:p>
      <w:pPr>
        <w:ind w:left="4060"/>
        <w:spacing w:after="0" w:line="236" w:lineRule="auto"/>
        <w:rPr>
          <w:sz w:val="20"/>
          <w:szCs w:val="20"/>
          <w:color w:val="auto"/>
        </w:rPr>
      </w:pPr>
      <w:r>
        <w:rPr>
          <w:rFonts w:ascii="Calibri" w:cs="Calibri" w:eastAsia="Calibri" w:hAnsi="Calibri"/>
          <w:sz w:val="20"/>
          <w:szCs w:val="20"/>
          <w:color w:val="auto"/>
        </w:rPr>
        <w:t>_______________________________</w:t>
      </w:r>
    </w:p>
    <w:p>
      <w:pPr>
        <w:jc w:val="center"/>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8"/>
          <w:szCs w:val="18"/>
          <w:i w:val="1"/>
          <w:iCs w:val="1"/>
          <w:u w:val="single" w:color="auto"/>
          <w:color w:val="auto"/>
        </w:rPr>
        <w:t>Special Situaton Program</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the frst quarter of fscal 2022 (May 2021), the Compensaton Commitee approved the Eagle Materials Inc. Special Situaton Program for Fiscal Year 2022, which we refer to as the “SSP,” which is a special annual incentve program intended to recognize outstanding individual performance during the fscal year. The SSP also provides fexibility to reward performance when special circumstances arise in which our CEO determines that an individual has performed well but not been adequately compensated pursuant to other components of compensaton, including without limitaton instances where an individual’s compensaton has been adversely afected by market conditons such as a cyclical downturn or in recogniton of transactons and events not contemplated at the tme the Compensaton Commitee set compensaton for the applicable year.</w:t>
      </w:r>
    </w:p>
    <w:p>
      <w:pPr>
        <w:spacing w:after="0" w:line="226"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SSP awards are made by our CEO, except that awards to senior executve ofcers require Compensaton Commitee approval (and our CEO does not have a role in the determinaton of any SSP award to himself). Awards under the SSP are not predetermined for any individuals at the beginning of the fscal year. All full-tme employees of Eagle Materials Inc. or any of our subsidiaries are eligible to receive awards under this program. At the beginning of fscal 2022, the Compensaton Commitee determined that</w:t>
      </w:r>
    </w:p>
    <w:p>
      <w:pPr>
        <w:spacing w:after="0" w:line="6"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0.20% of the Company’s EBITDA for the ensuing fscal year would fund the SSP, along with the portons of the Eagle and divisional incentve compensaton plans and divisional long-term cash compensaton plans not paid out. In setng the percentage of EBITDA which would fund the SSP, the Compensaton Commitee considered several factors, including the antcipated EBITDA for fscal 2022. All of our Named Executve Ofcers are eligible to partcipate in the SSP.</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Approving the Annual Incentve Bonus</w:t>
      </w:r>
    </w:p>
    <w:p>
      <w:pPr>
        <w:spacing w:after="0" w:line="109" w:lineRule="exact"/>
        <w:rPr>
          <w:sz w:val="20"/>
          <w:szCs w:val="20"/>
          <w:color w:val="auto"/>
        </w:rPr>
      </w:pPr>
    </w:p>
    <w:p>
      <w:pPr>
        <w:ind w:right="240"/>
        <w:spacing w:after="0" w:line="249" w:lineRule="auto"/>
        <w:rPr>
          <w:sz w:val="20"/>
          <w:szCs w:val="20"/>
          <w:color w:val="auto"/>
        </w:rPr>
      </w:pPr>
      <w:r>
        <w:rPr>
          <w:rFonts w:ascii="Calibri" w:cs="Calibri" w:eastAsia="Calibri" w:hAnsi="Calibri"/>
          <w:sz w:val="17"/>
          <w:szCs w:val="17"/>
          <w:color w:val="auto"/>
        </w:rPr>
        <w:t>In May 2022, the Compensaton Commitee approved the incentve bonus pool for fscal 2022 for the Company. In additon, at the end of fscal 2022, Mr. Haack provided performance evaluatons of each Named Executve Ofcer (other than himself) to the Compensaton Commitee, which evaluatons included an assessment of the achievement of their individual goals and objectves, along with his recommendaton for the annual incentve bonus for each such Named Executve Ofcer. With respect to</w:t>
      </w:r>
    </w:p>
    <w:p>
      <w:pPr>
        <w:spacing w:after="0" w:line="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Mr. Haack, the Compensaton Commitee performed its own evaluaton of his performance and the extent to which the goals and objectves established for him for fscal 2022 had been achieved.</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Haack</w:t>
      </w:r>
    </w:p>
    <w:p>
      <w:pPr>
        <w:spacing w:after="0" w:line="109" w:lineRule="exact"/>
        <w:rPr>
          <w:sz w:val="20"/>
          <w:szCs w:val="20"/>
          <w:color w:val="auto"/>
        </w:rPr>
      </w:pPr>
    </w:p>
    <w:p>
      <w:pPr>
        <w:ind w:right="40"/>
        <w:spacing w:after="0" w:line="249" w:lineRule="auto"/>
        <w:rPr>
          <w:sz w:val="20"/>
          <w:szCs w:val="20"/>
          <w:color w:val="auto"/>
        </w:rPr>
      </w:pPr>
      <w:r>
        <w:rPr>
          <w:rFonts w:ascii="Calibri" w:cs="Calibri" w:eastAsia="Calibri" w:hAnsi="Calibri"/>
          <w:sz w:val="17"/>
          <w:szCs w:val="17"/>
          <w:color w:val="auto"/>
        </w:rPr>
        <w:t>At the end of fscal 2022, the Compensaton Commitee conducted its performance evaluaton of Mr. Haack afer receiving input from the entre Board. Mr. Haack also provided informaton used by the Compensaton Commitee to evaluate the achievement of his goals and objectves for fscal 2022 under the Eagle Annual Incentve Program. Based on this evaluaton, which included both quanttatve as well as discretonary factors, the Compensaton Commitee believes Mr. Haack performed at a high level during fscal 2022 and his goals and objectves were substantally met. Over half of Mr. Haack’s bonus related to factors advancing the Company’s ESG priorites. The Commitee’s evaluaton resulted in Mr. Haack receiving 95% of his bonus potental for fscal 2022. The Compensaton Commitee approved an annual incentve bonus for Mr. Haack under the Eagle Annual Incentve Program of $1,641,881. In making this determinaton, the Compensaton Commitee used its judgment to determine the appropriate award level afer consideraton of several factors, including his achievement of his goals related to the following areas (among others) over the past fscal year:</w:t>
      </w:r>
    </w:p>
    <w:p>
      <w:pPr>
        <w:spacing w:after="0" w:line="20" w:lineRule="exact"/>
        <w:rPr>
          <w:sz w:val="20"/>
          <w:szCs w:val="20"/>
          <w:color w:val="auto"/>
        </w:rPr>
      </w:pPr>
      <w:r>
        <w:rPr>
          <w:sz w:val="20"/>
          <w:szCs w:val="20"/>
          <w:color w:val="auto"/>
        </w:rPr>
        <w:br w:type="column"/>
      </w:r>
    </w:p>
    <w:p>
      <w:pPr>
        <w:ind w:left="320" w:right="180" w:hanging="162"/>
        <w:spacing w:after="0" w:line="235" w:lineRule="auto"/>
        <w:tabs>
          <w:tab w:leader="none" w:pos="3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promoton of a safety performance culture and results achieved at the Company’s operatng units;</w:t>
      </w:r>
    </w:p>
    <w:p>
      <w:pPr>
        <w:spacing w:after="0" w:line="109" w:lineRule="exact"/>
        <w:rPr>
          <w:rFonts w:ascii="Times New Roman" w:cs="Times New Roman" w:eastAsia="Times New Roman" w:hAnsi="Times New Roman"/>
          <w:sz w:val="18"/>
          <w:szCs w:val="18"/>
          <w:color w:val="auto"/>
        </w:rPr>
      </w:pPr>
    </w:p>
    <w:p>
      <w:pPr>
        <w:ind w:left="320" w:right="260" w:hanging="162"/>
        <w:spacing w:after="0" w:line="235" w:lineRule="auto"/>
        <w:tabs>
          <w:tab w:leader="none" w:pos="3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leadership on ESG initatves, including reportng, monitoring and communicatons, and the development and implementaton of strategies to develop and produce new products (Portland Limestone Cement);</w:t>
      </w:r>
    </w:p>
    <w:p>
      <w:pPr>
        <w:spacing w:after="0" w:line="111" w:lineRule="exact"/>
        <w:rPr>
          <w:rFonts w:ascii="Times New Roman" w:cs="Times New Roman" w:eastAsia="Times New Roman" w:hAnsi="Times New Roman"/>
          <w:sz w:val="18"/>
          <w:szCs w:val="18"/>
          <w:color w:val="auto"/>
        </w:rPr>
      </w:pPr>
    </w:p>
    <w:p>
      <w:pPr>
        <w:ind w:left="320" w:right="220" w:hanging="162"/>
        <w:spacing w:after="0" w:line="258" w:lineRule="auto"/>
        <w:tabs>
          <w:tab w:leader="none" w:pos="320" w:val="left"/>
        </w:tabs>
        <w:numPr>
          <w:ilvl w:val="0"/>
          <w:numId w:val="23"/>
        </w:numPr>
        <w:rPr>
          <w:rFonts w:ascii="Times New Roman" w:cs="Times New Roman" w:eastAsia="Times New Roman" w:hAnsi="Times New Roman"/>
          <w:sz w:val="17"/>
          <w:szCs w:val="17"/>
          <w:color w:val="auto"/>
        </w:rPr>
      </w:pPr>
      <w:r>
        <w:rPr>
          <w:rFonts w:ascii="Calibri" w:cs="Calibri" w:eastAsia="Calibri" w:hAnsi="Calibri"/>
          <w:sz w:val="17"/>
          <w:szCs w:val="17"/>
          <w:color w:val="auto"/>
        </w:rPr>
        <w:t>leadership in driving talent and organizatonal development, including with respect to diversity, at both the corporate and divisional levels;</w:t>
      </w:r>
    </w:p>
    <w:p>
      <w:pPr>
        <w:spacing w:after="0" w:line="93" w:lineRule="exact"/>
        <w:rPr>
          <w:rFonts w:ascii="Times New Roman" w:cs="Times New Roman" w:eastAsia="Times New Roman" w:hAnsi="Times New Roman"/>
          <w:sz w:val="17"/>
          <w:szCs w:val="17"/>
          <w:color w:val="auto"/>
        </w:rPr>
      </w:pPr>
    </w:p>
    <w:p>
      <w:pPr>
        <w:ind w:left="320" w:right="120" w:hanging="162"/>
        <w:spacing w:after="0" w:line="235" w:lineRule="auto"/>
        <w:tabs>
          <w:tab w:leader="none" w:pos="3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results achieved on a number of important capital projects and internal operatng improvements;</w:t>
      </w:r>
    </w:p>
    <w:p>
      <w:pPr>
        <w:spacing w:after="0" w:line="104" w:lineRule="exact"/>
        <w:rPr>
          <w:rFonts w:ascii="Times New Roman" w:cs="Times New Roman" w:eastAsia="Times New Roman" w:hAnsi="Times New Roman"/>
          <w:sz w:val="18"/>
          <w:szCs w:val="18"/>
          <w:color w:val="auto"/>
        </w:rPr>
      </w:pPr>
    </w:p>
    <w:p>
      <w:pPr>
        <w:ind w:left="320" w:hanging="162"/>
        <w:spacing w:after="0"/>
        <w:tabs>
          <w:tab w:leader="none" w:pos="3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overall fnancial performance versus plan;</w:t>
      </w:r>
    </w:p>
    <w:p>
      <w:pPr>
        <w:spacing w:after="0" w:line="131" w:lineRule="exact"/>
        <w:rPr>
          <w:rFonts w:ascii="Times New Roman" w:cs="Times New Roman" w:eastAsia="Times New Roman" w:hAnsi="Times New Roman"/>
          <w:sz w:val="18"/>
          <w:szCs w:val="18"/>
          <w:color w:val="auto"/>
        </w:rPr>
      </w:pPr>
    </w:p>
    <w:p>
      <w:pPr>
        <w:ind w:left="320" w:hanging="162"/>
        <w:spacing w:after="0"/>
        <w:tabs>
          <w:tab w:leader="none" w:pos="3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integraton of acquired businesses;</w:t>
      </w:r>
    </w:p>
    <w:p>
      <w:pPr>
        <w:spacing w:after="0" w:line="136" w:lineRule="exact"/>
        <w:rPr>
          <w:rFonts w:ascii="Times New Roman" w:cs="Times New Roman" w:eastAsia="Times New Roman" w:hAnsi="Times New Roman"/>
          <w:sz w:val="18"/>
          <w:szCs w:val="18"/>
          <w:color w:val="auto"/>
        </w:rPr>
      </w:pPr>
    </w:p>
    <w:p>
      <w:pPr>
        <w:ind w:left="320" w:right="260" w:hanging="162"/>
        <w:spacing w:after="0" w:line="235" w:lineRule="auto"/>
        <w:tabs>
          <w:tab w:leader="none" w:pos="3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development and implementaton of M&amp;A strategies to optmize and grow the Company’s asset portolio; and</w:t>
      </w:r>
    </w:p>
    <w:p>
      <w:pPr>
        <w:spacing w:after="0" w:line="109" w:lineRule="exact"/>
        <w:rPr>
          <w:rFonts w:ascii="Times New Roman" w:cs="Times New Roman" w:eastAsia="Times New Roman" w:hAnsi="Times New Roman"/>
          <w:sz w:val="18"/>
          <w:szCs w:val="18"/>
          <w:color w:val="auto"/>
        </w:rPr>
      </w:pPr>
    </w:p>
    <w:p>
      <w:pPr>
        <w:ind w:left="320" w:right="580" w:hanging="162"/>
        <w:spacing w:after="0" w:line="235" w:lineRule="auto"/>
        <w:tabs>
          <w:tab w:leader="none" w:pos="3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leadership of the Company’s special actons during the COVID-19 pandemic.</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Kesler</w:t>
      </w:r>
    </w:p>
    <w:p>
      <w:pPr>
        <w:spacing w:after="0" w:line="109"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At the end of fscal 2022, Mr. Haack reviewed Mr. Kesler’s performance. Based in part on this review, the Compensaton Commitee determined that Mr. Kesler had substantally met his goals and awarded Mr. Kesler 95% of his incentve bonus potental, approving an annual incentve bonus for Mr. Kesler under the Eagle Annual Incentve Program of $1,260,730. In making this determinaton, the Compensaton Commitee used its judgment to determine the appropriate award level afer consideraton of several factors, including the input of Mr. Haack regarding Mr. Kesler’s performance and his achievement of his goals related to his areas of responsibility, including: Mr. Kesler’s work on capital management, successful completon of the Company’s public notes ofering, and the integraton of acquired businesses into the Company’s fnancial and IT systems.</w:t>
      </w:r>
    </w:p>
    <w:p>
      <w:pPr>
        <w:spacing w:after="0" w:line="31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Stewart</w:t>
      </w:r>
    </w:p>
    <w:p>
      <w:pPr>
        <w:spacing w:after="0" w:line="109" w:lineRule="exact"/>
        <w:rPr>
          <w:sz w:val="20"/>
          <w:szCs w:val="20"/>
          <w:color w:val="auto"/>
        </w:rPr>
      </w:pPr>
    </w:p>
    <w:p>
      <w:pPr>
        <w:ind w:right="100"/>
        <w:spacing w:after="0" w:line="249" w:lineRule="auto"/>
        <w:rPr>
          <w:sz w:val="20"/>
          <w:szCs w:val="20"/>
          <w:color w:val="auto"/>
        </w:rPr>
      </w:pPr>
      <w:r>
        <w:rPr>
          <w:rFonts w:ascii="Calibri" w:cs="Calibri" w:eastAsia="Calibri" w:hAnsi="Calibri"/>
          <w:sz w:val="17"/>
          <w:szCs w:val="17"/>
          <w:color w:val="auto"/>
        </w:rPr>
        <w:t>At the end of fscal 2022, Mr. Haack reviewed Mr. Stewart’s performance. Based in part on this review, the Compensaton Commitee determined that Mr. Stewart had substantally met his goals and awarded Mr. Stewart 95% of his incentve bonus potental, approving an annual incentve bonus for</w:t>
      </w:r>
    </w:p>
    <w:p>
      <w:pPr>
        <w:spacing w:after="0" w:line="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Mr. Stewart under the Eagle Annual Incentve Program of $1,084,814. In making this determinaton, the Compensaton Commitee used its judgment to determine the appropriate award level afer consideraton of several factors, including his achievement of his goals related to his areas of responsibility, the input of Mr. Haack regarding Mr. Stewart’s performance, and the following areas (among others)</w:t>
      </w:r>
    </w:p>
    <w:p>
      <w:pPr>
        <w:spacing w:after="0" w:line="2748" w:lineRule="exact"/>
        <w:rPr>
          <w:sz w:val="20"/>
          <w:szCs w:val="20"/>
          <w:color w:val="auto"/>
        </w:rPr>
      </w:pPr>
    </w:p>
    <w:p>
      <w:pPr>
        <w:sectPr>
          <w:pgSz w:w="11900" w:h="16838" w:orient="portrait"/>
          <w:cols w:equalWidth="0" w:num="2">
            <w:col w:w="5520" w:space="220"/>
            <w:col w:w="5500"/>
          </w:cols>
          <w:pgMar w:left="320" w:top="112" w:right="339" w:bottom="1440" w:gutter="0" w:footer="0" w:header="0"/>
        </w:sect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33" w:name="page34"/>
    <w:bookmarkEnd w:id="33"/>
    <w:p>
      <w:pPr>
        <w:ind w:right="360"/>
        <w:spacing w:after="0" w:line="258" w:lineRule="auto"/>
        <w:rPr>
          <w:sz w:val="20"/>
          <w:szCs w:val="20"/>
          <w:color w:val="auto"/>
        </w:rPr>
      </w:pPr>
      <w:r>
        <w:rPr>
          <w:rFonts w:ascii="Calibri" w:cs="Calibri" w:eastAsia="Calibri" w:hAnsi="Calibri"/>
          <w:sz w:val="17"/>
          <w:szCs w:val="17"/>
          <w:color w:val="auto"/>
        </w:rPr>
        <w:t>over the past fscal year: Mr. Stewart’s work on Company-wide succession planning and talent and organizatonal development (including with respect to diversity), ongoing development of the Company’s environmental disclosures, and his involvement in the Company’s strategic budgetng process.</w:t>
      </w:r>
    </w:p>
    <w:p>
      <w:pPr>
        <w:sectPr>
          <w:pgSz w:w="11900" w:h="16838" w:orient="portrait"/>
          <w:cols w:equalWidth="0" w:num="1">
            <w:col w:w="11220"/>
          </w:cols>
          <w:pgMar w:left="320" w:top="225" w:right="359" w:bottom="1440" w:gutter="0" w:footer="0" w:header="0"/>
        </w:sectPr>
      </w:pP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Graass</w:t>
      </w:r>
    </w:p>
    <w:p>
      <w:pPr>
        <w:spacing w:after="0" w:line="109" w:lineRule="exact"/>
        <w:rPr>
          <w:sz w:val="20"/>
          <w:szCs w:val="20"/>
          <w:color w:val="auto"/>
        </w:rPr>
      </w:pPr>
    </w:p>
    <w:p>
      <w:pPr>
        <w:ind w:right="20"/>
        <w:spacing w:after="0" w:line="249" w:lineRule="auto"/>
        <w:rPr>
          <w:sz w:val="20"/>
          <w:szCs w:val="20"/>
          <w:color w:val="auto"/>
        </w:rPr>
      </w:pPr>
      <w:r>
        <w:rPr>
          <w:rFonts w:ascii="Calibri" w:cs="Calibri" w:eastAsia="Calibri" w:hAnsi="Calibri"/>
          <w:sz w:val="17"/>
          <w:szCs w:val="17"/>
          <w:color w:val="auto"/>
        </w:rPr>
        <w:t>At the end of fscal 2022, Mr. Haack reviewed the performance of Mr. Graass. Based in part on this review, the Compensaton Commitee determined that Mr. Graass had substantally met his goals and awarded Mr. Graass 95% of his incentve bonus potental, approving an annual incentve bonus for</w:t>
      </w:r>
    </w:p>
    <w:p>
      <w:pPr>
        <w:spacing w:after="0" w:line="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Mr. Graass under the Eagle Annual Incentve Program of $1,084,814. In making this determinaton, the Compensaton Commitee used its judgment to determine the appropriate award level afer consideraton of several factors, including his achievement of his goals related to his areas of responsibility, the input of Mr. Haack regarding the performance of</w:t>
      </w:r>
    </w:p>
    <w:p>
      <w:pPr>
        <w:spacing w:after="0" w:line="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Mr. Graass, and the following areas (among others) over the past fscal year: Mr. Graass’s work on the Company’s special actons during the COVID-19 pandemic, contnued streamlining of the Company’s policies and procedures and oversight of the Company’s process for negotatng and entering into material contracts.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Wentzel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At the end of fscal 2022, Mr. Haack reviewed the performance of</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Mr. Wentzel. Based in part on this review, the Compensaton Commitee determined that Mr. Wentzel had met his goals and awarded Mr. Wentzel 94% of his incentve bonus potental, approving an annual incentve bonus for Mr. Wentzel under the Eagle Materials Inc. American Gypsum Company Salaried Incentve Compensaton Program for Fiscal Year 2022 of $672,047. In making this determinaton, the Compensaton Commitee used its judgment to determine the appropriate award level afer consideraton of several factors, including his achievement of his goals related to his areas of responsibility, the input of Mr. Haack regarding the performance of</w:t>
      </w:r>
    </w:p>
    <w:p>
      <w:pPr>
        <w:spacing w:after="0" w:line="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Mr. Wentzel, and the following areas (among others) over the past fscal year: Mr. Wentzel’s promoton of a safety performance culture and his work on succession planning, overseeing the engineering of modernizaton projects at the Company’s wallboard facilites, and coordinatng the introducton of a new shaf wall product.</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Long-Term Incentve Compensaton</w:t>
      </w:r>
    </w:p>
    <w:p>
      <w:pPr>
        <w:spacing w:after="0" w:line="109" w:lineRule="exact"/>
        <w:rPr>
          <w:sz w:val="20"/>
          <w:szCs w:val="20"/>
          <w:color w:val="auto"/>
        </w:rPr>
      </w:pPr>
    </w:p>
    <w:p>
      <w:pPr>
        <w:ind w:right="60"/>
        <w:spacing w:after="0" w:line="250" w:lineRule="auto"/>
        <w:rPr>
          <w:sz w:val="20"/>
          <w:szCs w:val="20"/>
          <w:color w:val="auto"/>
        </w:rPr>
      </w:pPr>
      <w:r>
        <w:rPr>
          <w:rFonts w:ascii="Calibri" w:cs="Calibri" w:eastAsia="Calibri" w:hAnsi="Calibri"/>
          <w:sz w:val="17"/>
          <w:szCs w:val="17"/>
          <w:color w:val="auto"/>
        </w:rPr>
        <w:t>Consistent with the Compensaton Commitee’s philosophy of linking compensaton to our performance, a signifcant porton of our long-term incentve compensaton program for fscal 2022 has been structured to te the ability to earn equity awards to the achievement by the Company of specifc performance levels. To enhance retenton of key employees, once earned, the performance awards contain a further tme-vestng component. Also, a porton of our long-term compensaton program has been structured as purely tme-vestng, which the Compensaton Commitee believes, based on the input of L&amp;A, is in-line with the practce of our peers. A more detailed descripton of the fscal 2022 awards is found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Burn Rate</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Compensaton Commitee has been a good steward of the equity available to it for award under our Incentve Plan. Our three-year average burn rate (a measure of historical diluton) is well below our industry norms. The Company’s three-year average burn rate (which is based on the number of awards granted—or, in the case of performance awards, awards earned— in each fscal year, divided by the weighted-average common shares outstanding for such fscal year) is 0.99%. The 2022 benchmark for our industry published by ISS is 3.64%.</w:t>
      </w:r>
    </w:p>
    <w:p>
      <w:pPr>
        <w:spacing w:after="0" w:line="326"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Grant Practce</w:t>
      </w:r>
    </w:p>
    <w:p>
      <w:pPr>
        <w:spacing w:after="0" w:line="109"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All of the Named Executve Ofcers partcipate in our long-term incentve compensaton program. In fscal 2022, the Compensaton Commitee approved equity grants as described below. The date on which an equity award is granted is the date specifed in the resolutons of the Compensaton Commitee authorizing the grant. The grant date must fall on or afer the date on which the resolutons are adopted by the Commitee. As provided in the Incentve Plan, for stock optons, the exercise price is the closing price of our Common Stock on the grant date, as reported by the NYSE.</w:t>
      </w: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Fiscal 2022 Grants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structuring the long-term incentve program for fscal 2022, the Compensaton Commitee worked with Mr. Haack to establish a mix of performance-based and tme-vestng awards. Consistent with prior years, the performance metric selected was return on equity, or “ROE,” which represents our earnings as a percentage of our stockholders’ equity, a performance metric that our stockholders have told us they fnd meaningful and that the Commitee views as a measure of the Company’s prudent deployment of capital.</w:t>
      </w:r>
    </w:p>
    <w:p>
      <w:pPr>
        <w:spacing w:after="0" w:line="22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Target award amounts were allocated equally between performance-vestng and tme-vestng awards, and the Commitee allocated such awards between restricted stock and stock optons based in part on the stated preference of the recipient. With respect to performance-based equity awards, the Commitee determined a target award value that would be received upon the achievement of a strong ROE, with up to 120% of the target value received if exceptonal ROE were achieved and 80% of the target value received if acceptable ROE were achieved. None of the performance-based equity awards would be earned if the return on equity were below this acceptable level. Both performance-based and tme-vestng equity awards would vest over a four-year period to enhance the retenton of these key employees.</w:t>
      </w:r>
    </w:p>
    <w:p>
      <w:pPr>
        <w:spacing w:after="0" w:line="22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Efectve May 19, 2021, the Compensaton Commitee approved equity awards under the Incentve Plan to a group of key employees, including the Named Executve Ofcers, in alignment with the above structure. As part of the compensaton study delivered to the Compensaton Commitee in May 2021, L&amp;A had provided informaton regarding long-term compensaton as well as total direct compensaton paid to the compensaton peer group. In determining the value of the equity to be granted, the Compensaton Commitee took into consideraton the L&amp;A</w:t>
      </w:r>
    </w:p>
    <w:p>
      <w:pPr>
        <w:spacing w:after="0" w:line="1" w:lineRule="exact"/>
        <w:rPr>
          <w:sz w:val="20"/>
          <w:szCs w:val="20"/>
          <w:color w:val="auto"/>
        </w:rPr>
      </w:pPr>
    </w:p>
    <w:p>
      <w:pPr>
        <w:sectPr>
          <w:pgSz w:w="11900" w:h="16838" w:orient="portrait"/>
          <w:cols w:equalWidth="0" w:num="2">
            <w:col w:w="5520" w:space="220"/>
            <w:col w:w="5480"/>
          </w:cols>
          <w:pgMar w:left="320" w:top="225" w:right="359" w:bottom="1440" w:gutter="0" w:footer="0" w:header="0"/>
          <w:type w:val="continuous"/>
        </w:sectPr>
      </w:pPr>
    </w:p>
    <w:p>
      <w:pPr>
        <w:ind w:left="4060"/>
        <w:spacing w:after="0" w:line="235" w:lineRule="auto"/>
        <w:rPr>
          <w:sz w:val="20"/>
          <w:szCs w:val="20"/>
          <w:color w:val="auto"/>
        </w:rPr>
      </w:pPr>
      <w:r>
        <w:rPr>
          <w:rFonts w:ascii="Calibri" w:cs="Calibri" w:eastAsia="Calibri" w:hAnsi="Calibri"/>
          <w:sz w:val="20"/>
          <w:szCs w:val="20"/>
          <w:color w:val="auto"/>
        </w:rPr>
        <w:t>_______________________________</w:t>
      </w:r>
    </w:p>
    <w:p>
      <w:pPr>
        <w:jc w:val="center"/>
        <w:ind w:right="-19"/>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34" w:name="page35"/>
    <w:bookmarkEnd w:id="34"/>
    <w:p>
      <w:pPr>
        <w:ind w:right="140"/>
        <w:spacing w:after="0" w:line="252" w:lineRule="auto"/>
        <w:rPr>
          <w:sz w:val="20"/>
          <w:szCs w:val="20"/>
          <w:color w:val="auto"/>
        </w:rPr>
      </w:pPr>
      <w:r>
        <w:rPr>
          <w:rFonts w:ascii="Calibri" w:cs="Calibri" w:eastAsia="Calibri" w:hAnsi="Calibri"/>
          <w:sz w:val="17"/>
          <w:szCs w:val="17"/>
          <w:color w:val="auto"/>
        </w:rPr>
        <w:t>compensaton study, the input of Mr. Haack, the Compensaton Commitee’s assessment of the executve’s importance and contributon to the organizaton, and the executve’s level of responsibility. The target grant date fair value was allocated 50% to performance-based equity (with a Company ROE fnancial metric) and 50% to tme-vestng equity. In general, recipients of equity awards had their target grant date fair value allocated between restricted stock and stock optons as determined by the Compensaton Commitee afer taking into consideraton the stated preference of the recipient.</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shows the stock optons and restricted stock granted to</w:t>
      </w:r>
    </w:p>
    <w:p>
      <w:pPr>
        <w:spacing w:after="0" w:line="235" w:lineRule="auto"/>
        <w:rPr>
          <w:sz w:val="20"/>
          <w:szCs w:val="20"/>
          <w:color w:val="auto"/>
        </w:rPr>
      </w:pPr>
      <w:r>
        <w:rPr>
          <w:rFonts w:ascii="Calibri" w:cs="Calibri" w:eastAsia="Calibri" w:hAnsi="Calibri"/>
          <w:sz w:val="18"/>
          <w:szCs w:val="18"/>
          <w:color w:val="auto"/>
        </w:rPr>
        <w:t>each of the Company’s Named Executve Ofcers efectve May 19, 2021:</w:t>
      </w:r>
    </w:p>
    <w:p>
      <w:pPr>
        <w:spacing w:after="0" w:line="200" w:lineRule="exact"/>
        <w:rPr>
          <w:sz w:val="20"/>
          <w:szCs w:val="20"/>
          <w:color w:val="auto"/>
        </w:rPr>
      </w:pP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Number of</w:t>
            </w:r>
          </w:p>
        </w:tc>
        <w:tc>
          <w:tcPr>
            <w:tcW w:w="13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Shares of</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Shares of</w:t>
            </w:r>
          </w:p>
        </w:tc>
      </w:tr>
      <w:tr>
        <w:trPr>
          <w:trHeight w:val="176"/>
        </w:trPr>
        <w:tc>
          <w:tcPr>
            <w:tcW w:w="3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Performance</w:t>
            </w:r>
          </w:p>
        </w:tc>
        <w:tc>
          <w:tcPr>
            <w:tcW w:w="13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Performance</w:t>
            </w:r>
          </w:p>
        </w:tc>
        <w:tc>
          <w:tcPr>
            <w:tcW w:w="13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Number of</w:t>
            </w:r>
          </w:p>
        </w:tc>
        <w:tc>
          <w:tcPr>
            <w:tcW w:w="124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Time Vestng</w:t>
            </w:r>
          </w:p>
        </w:tc>
      </w:tr>
      <w:tr>
        <w:trPr>
          <w:trHeight w:val="175"/>
        </w:trPr>
        <w:tc>
          <w:tcPr>
            <w:tcW w:w="3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Vestng</w:t>
            </w:r>
          </w:p>
        </w:tc>
        <w:tc>
          <w:tcPr>
            <w:tcW w:w="13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Vestng</w:t>
            </w:r>
          </w:p>
        </w:tc>
        <w:tc>
          <w:tcPr>
            <w:tcW w:w="13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Time Vestng</w:t>
            </w:r>
          </w:p>
        </w:tc>
        <w:tc>
          <w:tcPr>
            <w:tcW w:w="124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Restricted</w:t>
            </w:r>
          </w:p>
        </w:tc>
      </w:tr>
      <w:tr>
        <w:trPr>
          <w:trHeight w:val="155"/>
        </w:trPr>
        <w:tc>
          <w:tcPr>
            <w:tcW w:w="4860" w:type="dxa"/>
            <w:vAlign w:val="bottom"/>
            <w:gridSpan w:val="2"/>
          </w:tcPr>
          <w:p>
            <w:pPr>
              <w:spacing w:after="0" w:line="155" w:lineRule="exact"/>
              <w:rPr>
                <w:sz w:val="20"/>
                <w:szCs w:val="20"/>
                <w:color w:val="auto"/>
              </w:rPr>
            </w:pPr>
            <w:r>
              <w:rPr>
                <w:rFonts w:ascii="Calibri" w:cs="Calibri" w:eastAsia="Calibri" w:hAnsi="Calibri"/>
                <w:sz w:val="14"/>
                <w:szCs w:val="14"/>
                <w:b w:val="1"/>
                <w:bCs w:val="1"/>
                <w:color w:val="auto"/>
              </w:rPr>
              <w:t>Name</w:t>
            </w:r>
          </w:p>
        </w:tc>
        <w:tc>
          <w:tcPr>
            <w:tcW w:w="1340" w:type="dxa"/>
            <w:vAlign w:val="bottom"/>
            <w:gridSpan w:val="2"/>
          </w:tcPr>
          <w:p>
            <w:pPr>
              <w:jc w:val="center"/>
              <w:ind w:right="240"/>
              <w:spacing w:after="0" w:line="155" w:lineRule="exact"/>
              <w:rPr>
                <w:sz w:val="20"/>
                <w:szCs w:val="20"/>
                <w:color w:val="auto"/>
              </w:rPr>
            </w:pPr>
            <w:r>
              <w:rPr>
                <w:rFonts w:ascii="Calibri" w:cs="Calibri" w:eastAsia="Calibri" w:hAnsi="Calibri"/>
                <w:sz w:val="14"/>
                <w:szCs w:val="14"/>
                <w:b w:val="1"/>
                <w:bCs w:val="1"/>
                <w:color w:val="auto"/>
              </w:rPr>
              <w:t>Stock Optons</w:t>
            </w:r>
          </w:p>
        </w:tc>
        <w:tc>
          <w:tcPr>
            <w:tcW w:w="1320" w:type="dxa"/>
            <w:vAlign w:val="bottom"/>
            <w:gridSpan w:val="2"/>
          </w:tcPr>
          <w:p>
            <w:pPr>
              <w:jc w:val="center"/>
              <w:ind w:right="240"/>
              <w:spacing w:after="0" w:line="155" w:lineRule="exact"/>
              <w:rPr>
                <w:sz w:val="20"/>
                <w:szCs w:val="20"/>
                <w:color w:val="auto"/>
              </w:rPr>
            </w:pPr>
            <w:r>
              <w:rPr>
                <w:rFonts w:ascii="Calibri" w:cs="Calibri" w:eastAsia="Calibri" w:hAnsi="Calibri"/>
                <w:sz w:val="14"/>
                <w:szCs w:val="14"/>
                <w:b w:val="1"/>
                <w:bCs w:val="1"/>
                <w:color w:val="auto"/>
              </w:rPr>
              <w:t>Restricted Stock</w:t>
            </w:r>
          </w:p>
        </w:tc>
        <w:tc>
          <w:tcPr>
            <w:tcW w:w="1340" w:type="dxa"/>
            <w:vAlign w:val="bottom"/>
            <w:gridSpan w:val="2"/>
          </w:tcPr>
          <w:p>
            <w:pPr>
              <w:jc w:val="center"/>
              <w:ind w:right="220"/>
              <w:spacing w:after="0" w:line="155" w:lineRule="exact"/>
              <w:rPr>
                <w:sz w:val="20"/>
                <w:szCs w:val="20"/>
                <w:color w:val="auto"/>
              </w:rPr>
            </w:pPr>
            <w:r>
              <w:rPr>
                <w:rFonts w:ascii="Calibri" w:cs="Calibri" w:eastAsia="Calibri" w:hAnsi="Calibri"/>
                <w:sz w:val="14"/>
                <w:szCs w:val="14"/>
                <w:b w:val="1"/>
                <w:bCs w:val="1"/>
                <w:color w:val="auto"/>
              </w:rPr>
              <w:t>Stock Optons</w:t>
            </w:r>
          </w:p>
        </w:tc>
        <w:tc>
          <w:tcPr>
            <w:tcW w:w="1240" w:type="dxa"/>
            <w:vAlign w:val="bottom"/>
            <w:gridSpan w:val="2"/>
          </w:tcPr>
          <w:p>
            <w:pPr>
              <w:jc w:val="center"/>
              <w:ind w:right="120"/>
              <w:spacing w:after="0" w:line="155" w:lineRule="exact"/>
              <w:rPr>
                <w:sz w:val="20"/>
                <w:szCs w:val="20"/>
                <w:color w:val="auto"/>
              </w:rPr>
            </w:pPr>
            <w:r>
              <w:rPr>
                <w:rFonts w:ascii="Calibri" w:cs="Calibri" w:eastAsia="Calibri" w:hAnsi="Calibri"/>
                <w:sz w:val="14"/>
                <w:szCs w:val="14"/>
                <w:b w:val="1"/>
                <w:bCs w:val="1"/>
                <w:color w:val="auto"/>
              </w:rPr>
              <w:t>Stock</w:t>
            </w:r>
          </w:p>
        </w:tc>
      </w:tr>
      <w:tr>
        <w:trPr>
          <w:trHeight w:val="21"/>
        </w:trPr>
        <w:tc>
          <w:tcPr>
            <w:tcW w:w="360" w:type="dxa"/>
            <w:vAlign w:val="bottom"/>
            <w:tcBorders>
              <w:top w:val="single" w:sz="8" w:color="auto"/>
              <w:bottom w:val="single" w:sz="8" w:color="CFF0FC"/>
            </w:tcBorders>
          </w:tcPr>
          <w:p>
            <w:pPr>
              <w:spacing w:after="0" w:line="20" w:lineRule="exact"/>
              <w:rPr>
                <w:sz w:val="1"/>
                <w:szCs w:val="1"/>
                <w:color w:val="auto"/>
              </w:rPr>
            </w:pPr>
          </w:p>
        </w:tc>
        <w:tc>
          <w:tcPr>
            <w:tcW w:w="450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89"/>
        </w:trPr>
        <w:tc>
          <w:tcPr>
            <w:tcW w:w="4860" w:type="dxa"/>
            <w:vAlign w:val="bottom"/>
            <w:tcBorders>
              <w:bottom w:val="single" w:sz="8" w:color="CFF0FC"/>
            </w:tcBorders>
            <w:gridSpan w:val="2"/>
            <w:shd w:val="clear" w:color="auto" w:fill="CFF0FC"/>
          </w:tcPr>
          <w:p>
            <w:pPr>
              <w:spacing w:after="0" w:line="182" w:lineRule="exact"/>
              <w:rPr>
                <w:sz w:val="20"/>
                <w:szCs w:val="20"/>
                <w:color w:val="auto"/>
              </w:rPr>
            </w:pPr>
            <w:r>
              <w:rPr>
                <w:rFonts w:ascii="Calibri" w:cs="Calibri" w:eastAsia="Calibri" w:hAnsi="Calibri"/>
                <w:sz w:val="16"/>
                <w:szCs w:val="16"/>
                <w:color w:val="auto"/>
              </w:rPr>
              <w:t>Michael Haack</w:t>
            </w:r>
          </w:p>
        </w:tc>
        <w:tc>
          <w:tcPr>
            <w:tcW w:w="1120" w:type="dxa"/>
            <w:vAlign w:val="bottom"/>
            <w:tcBorders>
              <w:bottom w:val="single" w:sz="8" w:color="CFF0FC"/>
            </w:tcBorders>
            <w:shd w:val="clear" w:color="auto" w:fill="CFF0FC"/>
          </w:tcPr>
          <w:p>
            <w:pPr>
              <w:ind w:left="960"/>
              <w:spacing w:after="0" w:line="187" w:lineRule="exact"/>
              <w:rPr>
                <w:sz w:val="20"/>
                <w:szCs w:val="20"/>
                <w:color w:val="auto"/>
              </w:rPr>
            </w:pPr>
            <w:r>
              <w:rPr>
                <w:rFonts w:ascii="Calibri" w:cs="Calibri" w:eastAsia="Calibri" w:hAnsi="Calibri"/>
                <w:sz w:val="16"/>
                <w:szCs w:val="16"/>
                <w:color w:val="auto"/>
                <w:w w:val="96"/>
              </w:rPr>
              <w:t>—</w:t>
            </w:r>
          </w:p>
        </w:tc>
        <w:tc>
          <w:tcPr>
            <w:tcW w:w="2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17,236</w:t>
            </w:r>
          </w:p>
        </w:tc>
        <w:tc>
          <w:tcPr>
            <w:tcW w:w="2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ind w:left="960"/>
              <w:spacing w:after="0" w:line="187" w:lineRule="exact"/>
              <w:rPr>
                <w:sz w:val="20"/>
                <w:szCs w:val="20"/>
                <w:color w:val="auto"/>
              </w:rPr>
            </w:pPr>
            <w:r>
              <w:rPr>
                <w:rFonts w:ascii="Calibri" w:cs="Calibri" w:eastAsia="Calibri" w:hAnsi="Calibri"/>
                <w:sz w:val="16"/>
                <w:szCs w:val="16"/>
                <w:color w:val="auto"/>
                <w:w w:val="96"/>
              </w:rPr>
              <w:t>—</w:t>
            </w:r>
          </w:p>
        </w:tc>
        <w:tc>
          <w:tcPr>
            <w:tcW w:w="2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14,363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3"/>
        </w:trPr>
        <w:tc>
          <w:tcPr>
            <w:tcW w:w="4860" w:type="dxa"/>
            <w:vAlign w:val="bottom"/>
            <w:gridSpan w:val="2"/>
          </w:tcPr>
          <w:p>
            <w:pPr>
              <w:spacing w:after="0" w:line="193" w:lineRule="exact"/>
              <w:rPr>
                <w:sz w:val="20"/>
                <w:szCs w:val="20"/>
                <w:color w:val="auto"/>
              </w:rPr>
            </w:pPr>
            <w:r>
              <w:rPr>
                <w:rFonts w:ascii="Calibri" w:cs="Calibri" w:eastAsia="Calibri" w:hAnsi="Calibri"/>
                <w:sz w:val="16"/>
                <w:szCs w:val="16"/>
                <w:color w:val="auto"/>
              </w:rPr>
              <w:t>D. Craig Kesler</w:t>
            </w:r>
          </w:p>
        </w:tc>
        <w:tc>
          <w:tcPr>
            <w:tcW w:w="1340" w:type="dxa"/>
            <w:vAlign w:val="bottom"/>
            <w:gridSpan w:val="2"/>
          </w:tcPr>
          <w:p>
            <w:pPr>
              <w:ind w:left="96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4,309</w:t>
            </w:r>
          </w:p>
        </w:tc>
        <w:tc>
          <w:tcPr>
            <w:tcW w:w="200" w:type="dxa"/>
            <w:vAlign w:val="bottom"/>
          </w:tcPr>
          <w:p>
            <w:pPr>
              <w:spacing w:after="0"/>
              <w:rPr>
                <w:sz w:val="16"/>
                <w:szCs w:val="16"/>
                <w:color w:val="auto"/>
              </w:rPr>
            </w:pPr>
          </w:p>
        </w:tc>
        <w:tc>
          <w:tcPr>
            <w:tcW w:w="1340" w:type="dxa"/>
            <w:vAlign w:val="bottom"/>
            <w:gridSpan w:val="2"/>
          </w:tcPr>
          <w:p>
            <w:pPr>
              <w:ind w:left="960"/>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3,591</w:t>
            </w:r>
          </w:p>
        </w:tc>
        <w:tc>
          <w:tcPr>
            <w:tcW w:w="100" w:type="dxa"/>
            <w:vAlign w:val="bottom"/>
          </w:tcPr>
          <w:p>
            <w:pPr>
              <w:spacing w:after="0"/>
              <w:rPr>
                <w:sz w:val="16"/>
                <w:szCs w:val="16"/>
                <w:color w:val="auto"/>
              </w:rPr>
            </w:pPr>
          </w:p>
        </w:tc>
      </w:tr>
      <w:tr>
        <w:trPr>
          <w:trHeight w:val="23"/>
        </w:trPr>
        <w:tc>
          <w:tcPr>
            <w:tcW w:w="3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6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Robert S. Stewart</w:t>
            </w:r>
          </w:p>
        </w:tc>
        <w:tc>
          <w:tcPr>
            <w:tcW w:w="1340" w:type="dxa"/>
            <w:vAlign w:val="bottom"/>
            <w:tcBorders>
              <w:bottom w:val="single" w:sz="8" w:color="CFF0FC"/>
            </w:tcBorders>
            <w:gridSpan w:val="2"/>
            <w:shd w:val="clear" w:color="auto" w:fill="CFF0FC"/>
          </w:tcPr>
          <w:p>
            <w:pPr>
              <w:ind w:left="96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3,878</w:t>
            </w:r>
          </w:p>
        </w:tc>
        <w:tc>
          <w:tcPr>
            <w:tcW w:w="2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gridSpan w:val="2"/>
            <w:shd w:val="clear" w:color="auto" w:fill="CFF0FC"/>
          </w:tcPr>
          <w:p>
            <w:pPr>
              <w:ind w:left="960"/>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3,232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4860" w:type="dxa"/>
            <w:vAlign w:val="bottom"/>
            <w:gridSpan w:val="2"/>
          </w:tcPr>
          <w:p>
            <w:pPr>
              <w:spacing w:after="0" w:line="193" w:lineRule="exact"/>
              <w:rPr>
                <w:sz w:val="20"/>
                <w:szCs w:val="20"/>
                <w:color w:val="auto"/>
              </w:rPr>
            </w:pPr>
            <w:r>
              <w:rPr>
                <w:rFonts w:ascii="Calibri" w:cs="Calibri" w:eastAsia="Calibri" w:hAnsi="Calibri"/>
                <w:sz w:val="16"/>
                <w:szCs w:val="16"/>
                <w:color w:val="auto"/>
              </w:rPr>
              <w:t>James H. Graass</w:t>
            </w:r>
          </w:p>
        </w:tc>
        <w:tc>
          <w:tcPr>
            <w:tcW w:w="1340" w:type="dxa"/>
            <w:vAlign w:val="bottom"/>
            <w:gridSpan w:val="2"/>
          </w:tcPr>
          <w:p>
            <w:pPr>
              <w:ind w:left="96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3,448</w:t>
            </w:r>
          </w:p>
        </w:tc>
        <w:tc>
          <w:tcPr>
            <w:tcW w:w="200" w:type="dxa"/>
            <w:vAlign w:val="bottom"/>
          </w:tcPr>
          <w:p>
            <w:pPr>
              <w:spacing w:after="0"/>
              <w:rPr>
                <w:sz w:val="16"/>
                <w:szCs w:val="16"/>
                <w:color w:val="auto"/>
              </w:rPr>
            </w:pPr>
          </w:p>
        </w:tc>
        <w:tc>
          <w:tcPr>
            <w:tcW w:w="1340" w:type="dxa"/>
            <w:vAlign w:val="bottom"/>
            <w:gridSpan w:val="2"/>
          </w:tcPr>
          <w:p>
            <w:pPr>
              <w:ind w:left="960"/>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2,873</w:t>
            </w:r>
          </w:p>
        </w:tc>
        <w:tc>
          <w:tcPr>
            <w:tcW w:w="100" w:type="dxa"/>
            <w:vAlign w:val="bottom"/>
          </w:tcPr>
          <w:p>
            <w:pPr>
              <w:spacing w:after="0"/>
              <w:rPr>
                <w:sz w:val="16"/>
                <w:szCs w:val="16"/>
                <w:color w:val="auto"/>
              </w:rPr>
            </w:pPr>
          </w:p>
        </w:tc>
      </w:tr>
      <w:tr>
        <w:trPr>
          <w:trHeight w:val="23"/>
        </w:trPr>
        <w:tc>
          <w:tcPr>
            <w:tcW w:w="3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860" w:type="dxa"/>
            <w:vAlign w:val="bottom"/>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Steven L. Wentzel</w:t>
            </w:r>
          </w:p>
        </w:tc>
        <w:tc>
          <w:tcPr>
            <w:tcW w:w="1340" w:type="dxa"/>
            <w:vAlign w:val="bottom"/>
            <w:gridSpan w:val="2"/>
            <w:shd w:val="clear" w:color="auto" w:fill="CFF0FC"/>
          </w:tcPr>
          <w:p>
            <w:pPr>
              <w:ind w:left="96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2,586</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ind w:left="960"/>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2,155</w:t>
            </w:r>
          </w:p>
        </w:tc>
        <w:tc>
          <w:tcPr>
            <w:tcW w:w="100" w:type="dxa"/>
            <w:vAlign w:val="bottom"/>
            <w:shd w:val="clear" w:color="auto" w:fill="CFF0FC"/>
          </w:tcPr>
          <w:p>
            <w:pPr>
              <w:spacing w:after="0"/>
              <w:rPr>
                <w:sz w:val="16"/>
                <w:szCs w:val="16"/>
                <w:color w:val="auto"/>
              </w:rPr>
            </w:pPr>
          </w:p>
        </w:tc>
      </w:tr>
      <w:tr>
        <w:trPr>
          <w:trHeight w:val="23"/>
        </w:trPr>
        <w:tc>
          <w:tcPr>
            <w:tcW w:w="360" w:type="dxa"/>
            <w:vAlign w:val="bottom"/>
            <w:shd w:val="clear" w:color="auto" w:fill="CFF0FC"/>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1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The Commitee believes that the structure of the fscal 2022 long-term compensaton program is consistent with the Compensaton Commitee’s philosophy of linking compensaton to our performance.</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Performance-Based Equity Awards</w:t>
      </w:r>
    </w:p>
    <w:p>
      <w:pPr>
        <w:spacing w:after="0" w:line="109" w:lineRule="exact"/>
        <w:rPr>
          <w:sz w:val="20"/>
          <w:szCs w:val="20"/>
          <w:color w:val="auto"/>
        </w:rPr>
      </w:pPr>
    </w:p>
    <w:p>
      <w:pPr>
        <w:ind w:right="20"/>
        <w:spacing w:after="0" w:line="250" w:lineRule="auto"/>
        <w:rPr>
          <w:sz w:val="20"/>
          <w:szCs w:val="20"/>
          <w:color w:val="auto"/>
        </w:rPr>
      </w:pPr>
      <w:r>
        <w:rPr>
          <w:rFonts w:ascii="Calibri" w:cs="Calibri" w:eastAsia="Calibri" w:hAnsi="Calibri"/>
          <w:sz w:val="17"/>
          <w:szCs w:val="17"/>
          <w:color w:val="auto"/>
        </w:rPr>
        <w:t>These awards are comprised of shares of restricted stock and stock optons which are earned based upon the achievement by the Company of a certain level of average ROE for the fscal year ended March 31, 2022, with 100% of the awarded stock/optons (that is, 120% of the target award value) being earned if such ROE measure was 20.0% or higher, 83.3% of the awarded stock/optons (that is, 100% of the target award value) being earned if such ROE measure was 15.0%, and 66.7% of the awarded stock/optons (that is, 80% of the target award value) being earned if such ROE measure was at least 10.0% (with the exact percentage of shares earned being calculated based on straight-line interpolaton between the points specifed above with fractonal points rounded to the nearest tenth of a percent). If the Company achieved a ROE measure of less than 10.0%, then none of the performance-based equity awards would be earned. The earned performance-based equity was to become fully vested one-fourth promptly afer the certfcaton date and one-fourth on March 31 for each of the following three years (in each case assuming contnued service through such dates).</w:t>
      </w:r>
    </w:p>
    <w:p>
      <w:pPr>
        <w:spacing w:after="0" w:line="21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terms and conditons of the performance-based equity are substantally the same as prior performance-based awards, except that the performance criterion is as described above. Any performance-based equity that was not earned at the end of fscal 2022 was to be forfeited. In accordance with the terms of the Incentve Plan, the exercise price of the stock optons is the closing price of the Company’s Common Stock on the date of grant, May 19, 2021 ($139.25).</w:t>
      </w:r>
    </w:p>
    <w:p>
      <w:pPr>
        <w:spacing w:after="0" w:line="22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May 2022, the Compensaton Commitee certfed that the Company’s 20.0% average ROE for the fscal year ended March 31, 2022 satsfed the Company’s performance goal such that 100% of the performance-based equity granted (or 120% of the target number of shares/optons) was earned. In calculatng the average ROE, in accordance with the award agreement, the Commitee excluded the impact of certain extraordinary items not related to operatng performance, including downward adjustment from the gain from the sale of non-core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Time-Vestng Equity Awards</w:t>
      </w:r>
    </w:p>
    <w:p>
      <w:pPr>
        <w:spacing w:after="0" w:line="10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These awards are comprised of shares of restricted stock and stock optons which vest ratably over four years on March 31, 2022; March 31,</w:t>
      </w:r>
    </w:p>
    <w:p>
      <w:pPr>
        <w:spacing w:after="0" w:line="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2023; March 31, 2024; and March 31, 2025 (in each case assuming contnued service through such dates). The Compensaton Commitee believes that including tme-vestng equity as part of long-term compensaton is consistent with compettve pay practces, preserves the Company’s philosophy that a signifcant porton of an executve’s pay should be at risk, enhances the retenton of key employees, while at the same tme creatng a strong incentve for management to operate the business in a manner that creates additonal value for stockholders.</w:t>
      </w:r>
    </w:p>
    <w:p>
      <w:pPr>
        <w:spacing w:after="0" w:line="223"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The terms and conditons of the tme-vestng equity are substantally the same as prior tme-vestng awards. As in the case of prior equity awards, the tme-vestng equity will also vest upon a change in control of the Company. See “Change in Control Benefts” below. In accordance with the terms of the Incentve Plan, the exercise price of the stock optons is the closing price of the Company’s Common Stock on the date of grant, May 19, 2021 ($139.25).</w:t>
      </w:r>
    </w:p>
    <w:p>
      <w:pPr>
        <w:spacing w:after="0" w:line="3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Other Elements of Executve Compensaton</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Retrement Plan</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Named Executve Ofcers, along with substantally all salaried and hourly employees of the Company and our subsidiaries are covered under our Retrement Plan, a qualifed defned contributon plan under sectons 401(a) and 401(k) of the Internal Revenue Code of 1986 (the “Code”).</w:t>
      </w:r>
    </w:p>
    <w:p>
      <w:pPr>
        <w:spacing w:after="0" w:line="21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Salaried partcipants, including our Named Executve Ofcers, covered under our Retrement Plan may elect to make pre-tax contributons and/or, afer December 31, 2018, afer-tax Roth 401(k) contributons of up to 70% of their base salary subject to the limit under Code Secton 402(g) ($19,500 for calendar year 2021 and</w:t>
      </w:r>
    </w:p>
    <w:p>
      <w:pPr>
        <w:spacing w:after="0" w:line="916" w:lineRule="exact"/>
        <w:rPr>
          <w:sz w:val="20"/>
          <w:szCs w:val="20"/>
          <w:color w:val="auto"/>
        </w:rPr>
      </w:pPr>
    </w:p>
    <w:p>
      <w:pPr>
        <w:sectPr>
          <w:pgSz w:w="11900" w:h="16838" w:orient="portrait"/>
          <w:cols w:equalWidth="0" w:num="2">
            <w:col w:w="5500" w:space="240"/>
            <w:col w:w="5500"/>
          </w:cols>
          <w:pgMar w:left="320" w:top="333" w:right="339" w:bottom="1440" w:gutter="0" w:footer="0" w:header="0"/>
          <w:type w:val="continuous"/>
        </w:sectPr>
      </w:pPr>
    </w:p>
    <w:p>
      <w:pPr>
        <w:ind w:left="4060"/>
        <w:spacing w:after="0" w:line="235" w:lineRule="auto"/>
        <w:rPr>
          <w:sz w:val="20"/>
          <w:szCs w:val="20"/>
          <w:color w:val="auto"/>
        </w:rPr>
      </w:pPr>
      <w:r>
        <w:rPr>
          <w:rFonts w:ascii="Calibri" w:cs="Calibri" w:eastAsia="Calibri" w:hAnsi="Calibri"/>
          <w:sz w:val="20"/>
          <w:szCs w:val="20"/>
          <w:color w:val="auto"/>
        </w:rPr>
        <w:t>_______________________________</w:t>
      </w:r>
    </w:p>
    <w:p>
      <w:pPr>
        <w:jc w:val="center"/>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5" w:name="page36"/>
    <w:bookmarkEnd w:id="35"/>
    <w:p>
      <w:pPr>
        <w:ind w:right="80"/>
        <w:spacing w:after="0" w:line="235" w:lineRule="auto"/>
        <w:rPr>
          <w:sz w:val="20"/>
          <w:szCs w:val="20"/>
          <w:color w:val="auto"/>
        </w:rPr>
      </w:pPr>
      <w:r>
        <w:rPr>
          <w:rFonts w:ascii="Calibri" w:cs="Calibri" w:eastAsia="Calibri" w:hAnsi="Calibri"/>
          <w:sz w:val="18"/>
          <w:szCs w:val="18"/>
          <w:color w:val="auto"/>
        </w:rPr>
        <w:t>$20,500 for calendar year 2022), employee afer-tax contributons of up to 10% of base salary and, if the partcipant is at least age 50, pre-tax “catch-up contributons” up to the statutory limit under Code Secton 414(v) ($6,500 for calendar year 2021 and 2022). In additon, our Retrement Plan provides for a discretonary employer proft sharing contributon for our salaried employees, including our Named Executve Ofcers, that is a percentage of base salary for the year.</w:t>
      </w:r>
    </w:p>
    <w:p>
      <w:pPr>
        <w:sectPr>
          <w:pgSz w:w="11900" w:h="16838" w:orient="portrait"/>
          <w:cols w:equalWidth="0" w:num="1">
            <w:col w:w="11200"/>
          </w:cols>
          <w:pgMar w:left="320" w:top="333" w:right="379" w:bottom="1440" w:gutter="0" w:footer="0" w:header="0"/>
        </w:sectPr>
      </w:pPr>
    </w:p>
    <w:p>
      <w:pPr>
        <w:spacing w:after="0" w:line="219"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Partcipants are fully vested to the extent of their pre-tax, afer-tax Roth 401(k), and afer-tax contributons. Through December 31, 2018, our salaried partcipants become vested in the employer proft sharing contributon over a six-year period (i.e., 20% per year beginning with the second year of service); beginning January 1, 2019, our salaried partcipants become vested in the employer proft sharing contributon over a four-year-period (i.e., 25% per year beginning with the frst year of service). All of the Named Executve Ofcers have been employed by the Company or our afliates long enough to be fully vested. Partcipants are enttled to direct the investment of contributons made to the Retrement Plan on their behalf in various investment funds, including up to 15% in an Eagle Common Stock fund. Upon a partcipant’s terminaton of employment, disability or death, such amounts may remain in the Company plan or they are payable in the form of a lump sum, installments or direct rollover to an eligible retrement plan, as elected by the partcipant. At the partcipant’s electon, amounts invested in the Common Stock fund are distributable in shares of our Common Stock.</w:t>
      </w:r>
    </w:p>
    <w:p>
      <w:pPr>
        <w:spacing w:after="0" w:line="213"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Employer proft sharing contributons made to the Retrement Plan on behalf of our Named Executve Ofcers in fscal 2022 are refected under the “All Other Compensaton” column in the Summary Compensaton Table located on page 34 of this proxy statement. A list of the investment funds provided under the Retrement Plan is provided in the footnotes to the Nonqualifed Deferred Compensaton Table located on page 40 of this proxy statement.</w:t>
      </w:r>
    </w:p>
    <w:p>
      <w:pPr>
        <w:spacing w:after="0" w:line="3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SERP</w:t>
      </w:r>
    </w:p>
    <w:p>
      <w:pPr>
        <w:spacing w:after="0" w:line="109" w:lineRule="exact"/>
        <w:rPr>
          <w:sz w:val="20"/>
          <w:szCs w:val="20"/>
          <w:color w:val="auto"/>
        </w:rPr>
      </w:pPr>
    </w:p>
    <w:p>
      <w:pPr>
        <w:ind w:right="200"/>
        <w:spacing w:after="0" w:line="249" w:lineRule="auto"/>
        <w:rPr>
          <w:sz w:val="20"/>
          <w:szCs w:val="20"/>
          <w:color w:val="auto"/>
        </w:rPr>
      </w:pPr>
      <w:r>
        <w:rPr>
          <w:rFonts w:ascii="Calibri" w:cs="Calibri" w:eastAsia="Calibri" w:hAnsi="Calibri"/>
          <w:sz w:val="17"/>
          <w:szCs w:val="17"/>
          <w:color w:val="auto"/>
        </w:rPr>
        <w:t>In fscal 1995, the Board approved our Supplemental Executve Retrement Program, which we will refer to as our “SERP,” for certain employees partcipatng in the Retrement Plan. Internal Revenue Code Secton 401(a)</w:t>
      </w:r>
    </w:p>
    <w:p>
      <w:pPr>
        <w:spacing w:after="0" w:line="2" w:lineRule="exact"/>
        <w:rPr>
          <w:sz w:val="20"/>
          <w:szCs w:val="20"/>
          <w:color w:val="auto"/>
        </w:rPr>
      </w:pPr>
    </w:p>
    <w:p>
      <w:pPr>
        <w:ind w:right="140" w:firstLine="8"/>
        <w:spacing w:after="0" w:line="235" w:lineRule="auto"/>
        <w:tabs>
          <w:tab w:leader="none" w:pos="324"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limits the amount of annual compensaton ($290,000 for calendar year 2021 and $305,000 for calendar year 2022) that may be considered in determining our contributon to the Retrement Plan for the account of an eligible partcipant.</w:t>
      </w:r>
    </w:p>
    <w:p>
      <w:pPr>
        <w:spacing w:after="0" w:line="21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SERP was established to eliminate the adverse treatment that higher-salaried employees receive as a result of such limit by making a contributon for each partcipant in an amount substantally equal to the additonal employer proft sharing contributon that he or she would have received under the Retrement Plan had 100% of his or her base salary been eligible for a proft-sharing contributon. As in the case of the Retrement Plan, annual incentve bonuses paid to partcipants are not included when determining the amount of contributons to the SERP. The Compensaton Commitee believes that the SERP therefore allows us to confer the full intended beneft of the employer proft sharing contributon under the Retrement Plan without the arbitrary limitaton of the Internal Revenue Code rules noted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Contributons accrued under the SERP for the beneft of the higher-salaried employees vest under the same terms and conditons as under the Retrement Plan and may be invested by the partcipant in several of the same investment optons as ofered under the Retrement Plan. Benefts under the SERP are payable upon the partcipant’s terminaton of employment in a lump sum or installments as elected by the partcipant in accordance with the terms of the SERP. As with the Retrement Plan, all of the Named Executve Ofcers have been employed by the Company or our afliates long enough to be fully vested.</w:t>
      </w:r>
    </w:p>
    <w:p>
      <w:pPr>
        <w:spacing w:after="0" w:line="22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Employer contributons under the SERP to our Named Executve Ofcers in fscal 2022 are refected under the “All Other Compensaton” column in the Summary Compensaton Table located on page 34 of this proxy statement. A list of the investment funds provided under the Retrement Plan is provided in the footnotes to the Nonqualifed Deferred Compensaton Table located on page 40 of this proxy statement.</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Salary Contnuaton Plan</w:t>
      </w:r>
    </w:p>
    <w:p>
      <w:pPr>
        <w:spacing w:after="0" w:line="109"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The Named Executve Ofcers, along with other ofcers and key employees, are partcipants in our Salary Contnuaton Plan, which we refer to as the “SCP.” Under this plan, in the event of the death of a partcipatng employee, we will pay such employee’s benefciaries one full year of base salary in the frst year following death and 50% of base salary each year thereafer untl the date such employee would have reached normal Social Security retrement age, subject to a maximum amount of $1.5 million. Payments are made to the employee’s benefciary on a semi-monthly basis.</w:t>
      </w:r>
    </w:p>
    <w:p>
      <w:pPr>
        <w:spacing w:after="0" w:line="208"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The purpose of the plan is to provide some fnancial security for the families of the partcipatng employees, which assists the Company in atractng and retaining key employees. Beneft amounts under the plan are intended to provide a basic level of support for benefciaries. To cover these potental obligatons, we pay the premiums on life insurance policies covering the life of each partcipatng employee. Such policies are owned by the Company and proceeds from such policies would be initally paid to the Company.</w:t>
      </w:r>
    </w:p>
    <w:p>
      <w:pPr>
        <w:spacing w:after="0" w:line="20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Premiums paid on policies covering our Named Executve Ofcers in fscal 2022 are refected under the “All Other Compensaton” column in the Summary Compensaton Table located on page 34 of this proxy statement. Amounts potentally payable to the benefciaries of our Named Executve Ofcers pursuant to the SCP are described in “Potental Payments Upon Terminaton or Change in Control” beginning on page 41 of this proxy statement.</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 in Control Benefts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During fscal 2022, in order to beter ensure the retenton of our employees in the event of a potentally disruptve corporate transacton, we provided our employees, including our Named Executve Ofcers, with certain change-in-control protectons. We believe that such protectons, which are consistent with the practces of our peer companies, are in the best interest of our</w:t>
      </w:r>
    </w:p>
    <w:p>
      <w:pPr>
        <w:spacing w:after="0" w:line="1" w:lineRule="exact"/>
        <w:rPr>
          <w:sz w:val="20"/>
          <w:szCs w:val="20"/>
          <w:color w:val="auto"/>
        </w:rPr>
      </w:pPr>
    </w:p>
    <w:p>
      <w:pPr>
        <w:sectPr>
          <w:pgSz w:w="11900" w:h="16838" w:orient="portrait"/>
          <w:cols w:equalWidth="0" w:num="2">
            <w:col w:w="5500" w:space="240"/>
            <w:col w:w="5460"/>
          </w:cols>
          <w:pgMar w:left="320" w:top="333" w:right="379" w:bottom="1440" w:gutter="0" w:footer="0" w:header="0"/>
          <w:type w:val="continuous"/>
        </w:sectPr>
      </w:pPr>
    </w:p>
    <w:p>
      <w:pPr>
        <w:ind w:left="4060"/>
        <w:spacing w:after="0" w:line="233" w:lineRule="auto"/>
        <w:rPr>
          <w:sz w:val="20"/>
          <w:szCs w:val="20"/>
          <w:color w:val="auto"/>
        </w:rPr>
      </w:pPr>
      <w:r>
        <w:rPr>
          <w:rFonts w:ascii="Calibri" w:cs="Calibri" w:eastAsia="Calibri" w:hAnsi="Calibri"/>
          <w:sz w:val="20"/>
          <w:szCs w:val="20"/>
          <w:color w:val="auto"/>
        </w:rPr>
        <w:t>_______________________________</w:t>
      </w:r>
    </w:p>
    <w:p>
      <w:pPr>
        <w:jc w:val="center"/>
        <w:ind w:right="-39"/>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type w:val="continuous"/>
        </w:sectPr>
      </w:pPr>
    </w:p>
    <w:bookmarkStart w:id="36" w:name="page37"/>
    <w:bookmarkEnd w:id="36"/>
    <w:p>
      <w:pPr>
        <w:ind w:right="300"/>
        <w:spacing w:after="0" w:line="235" w:lineRule="auto"/>
        <w:rPr>
          <w:sz w:val="20"/>
          <w:szCs w:val="20"/>
          <w:color w:val="auto"/>
        </w:rPr>
      </w:pPr>
      <w:r>
        <w:rPr>
          <w:rFonts w:ascii="Calibri" w:cs="Calibri" w:eastAsia="Calibri" w:hAnsi="Calibri"/>
          <w:sz w:val="18"/>
          <w:szCs w:val="18"/>
          <w:color w:val="auto"/>
        </w:rPr>
        <w:t>stockholders because they enable our executve leadership team to fully focus on the benefts of a corporate transacton for stockholders, rather than the potental adverse consequences of the transacton on their careers.</w:t>
      </w:r>
    </w:p>
    <w:p>
      <w:pPr>
        <w:sectPr>
          <w:pgSz w:w="11900" w:h="16838" w:orient="portrait"/>
          <w:cols w:equalWidth="0" w:num="1">
            <w:col w:w="11220"/>
          </w:cols>
          <w:pgMar w:left="320" w:top="225" w:right="359" w:bottom="1440" w:gutter="0" w:footer="0" w:header="0"/>
        </w:sectPr>
      </w:pP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 in Control Contnuity Agreements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To beter ensure the retenton of our executve leadership team in the event of a potentally disruptve corporate transacton, the Board has approved change in control contnuity agreements with Messrs. Haack, Kesler, Stewart and Graass. The change in control contnuity agreements provide that, in the event of a change in control during the term, a two-year protecton period will commence during which the relevant executve will be enttled to compensaton and benefts on terms that are generally no less favorable than those that applied prior to the change in control. We believe that such protectons, which are consistent with the practces of our peer companies, are in the best interest of our stockholders because they enable our executve leadership team to fully focus on the benefts of a corporate transacton for stockholders, rather than the potental adverse consequences of the transacton on their careers and compensaton.</w:t>
      </w:r>
    </w:p>
    <w:p>
      <w:pPr>
        <w:spacing w:after="0" w:line="227" w:lineRule="exact"/>
        <w:rPr>
          <w:sz w:val="20"/>
          <w:szCs w:val="20"/>
          <w:color w:val="auto"/>
        </w:rPr>
      </w:pPr>
    </w:p>
    <w:p>
      <w:pPr>
        <w:ind w:right="20"/>
        <w:spacing w:after="0" w:line="249" w:lineRule="auto"/>
        <w:rPr>
          <w:sz w:val="20"/>
          <w:szCs w:val="20"/>
          <w:color w:val="auto"/>
        </w:rPr>
      </w:pPr>
      <w:r>
        <w:rPr>
          <w:rFonts w:ascii="Calibri" w:cs="Calibri" w:eastAsia="Calibri" w:hAnsi="Calibri"/>
          <w:sz w:val="17"/>
          <w:szCs w:val="17"/>
          <w:color w:val="auto"/>
        </w:rPr>
        <w:t>In the event of the executve’s involuntary terminaton of employment without cause or resignaton for good reason during the two-year protecton period, subject to the executon of a release of claims, he would be enttled to (a) cash severance equal to the product of (i) a severance multple of 3 (for Mr. Haack), 2.5 (for Mr. Kesler) or 2 (for Messrs. Stewart and Graass), multplied by (ii) the sum of his annual base salary and target annual bonus;</w:t>
      </w:r>
    </w:p>
    <w:p>
      <w:pPr>
        <w:spacing w:after="0" w:line="4" w:lineRule="exact"/>
        <w:rPr>
          <w:sz w:val="20"/>
          <w:szCs w:val="20"/>
          <w:color w:val="auto"/>
        </w:rPr>
      </w:pPr>
    </w:p>
    <w:p>
      <w:pPr>
        <w:ind w:right="40" w:firstLine="8"/>
        <w:spacing w:after="0" w:line="235" w:lineRule="auto"/>
        <w:tabs>
          <w:tab w:leader="none" w:pos="238"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 prorated annual bonus for the year of terminaton; (c) a payment in lieu of employer retrement savings plan contributons that he would have received had his employment contnued for 18 months (for Mr. Haack), 15 months (for Mr. Kesler) or 12 months (for Messrs. Stewart and Graass) post-terminaton; (d) a payment equal to the premium for contnued partcipaton in health insurance plans for 18 months (for Mr. Haack), 15 months (for Mr. Kesler) or 12 months (for Messrs. Stewart and Graass) post-terminaton; and (e) outplacement benefts of up to $30,000.</w:t>
      </w:r>
    </w:p>
    <w:p>
      <w:pPr>
        <w:spacing w:after="0" w:line="22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change in control contnuity agreements subject the executves to a perpetual confdentality covenant and noncompetton covenants for 18 months (for Mr. Haack), 15 months (for Mr. Kesler) or 12 months (for Messrs. Stewart and Graass) post-terminaton. If any payments or benefts under the change in control contnuity agreements would be subject to Sectons 280G and 4999 of the Internal Revenue Code, such payments or benefts would be reduced to the extent that such reducton would place the executve in a beter afer-tax positon. The inital term of the change in control contnuity agreements is three years from the efectve date of June 20, 2019, subject to automatc renewal for an additonal year on each anniversary of the efectve date.</w:t>
      </w:r>
    </w:p>
    <w:p>
      <w:pPr>
        <w:spacing w:after="0" w:line="225"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All of our change in control contnuity agreements have a “double-trigger” terminaton right (requiring both a change in control and a qualifying terminaton of employment in order to receive the change in control severance payments), and they do not include the long-term incentve values in the severance calculaton or have tax gross-ups.</w:t>
      </w:r>
    </w:p>
    <w:p>
      <w:pPr>
        <w:spacing w:after="0" w:line="220" w:lineRule="exact"/>
        <w:rPr>
          <w:sz w:val="20"/>
          <w:szCs w:val="20"/>
          <w:color w:val="auto"/>
        </w:rPr>
      </w:pPr>
    </w:p>
    <w:p>
      <w:pPr>
        <w:ind w:right="40"/>
        <w:spacing w:after="0" w:line="249" w:lineRule="auto"/>
        <w:rPr>
          <w:sz w:val="20"/>
          <w:szCs w:val="20"/>
          <w:color w:val="auto"/>
        </w:rPr>
      </w:pPr>
      <w:r>
        <w:rPr>
          <w:rFonts w:ascii="Calibri" w:cs="Calibri" w:eastAsia="Calibri" w:hAnsi="Calibri"/>
          <w:sz w:val="17"/>
          <w:szCs w:val="17"/>
          <w:color w:val="auto"/>
        </w:rPr>
        <w:t>Under our change in control contnuity agreements a “change in control” is defned generally as (i) the acquisiton by any person or entty of 35% or more of our outstanding Common Stock or the votng power of outstanding securites enttled to vote in the electon of directors; (ii) a change in the compositon of our Board such that the current members of the Board cease to consttute a majority of the Board; (iii) the consummaton of a merger, asset dispositon, share exchange or similar transacton, unless (1) more than 50% of the stock following such transacton is owned by persons or enttes who were stockholders of the Company prior to such transacton,</w:t>
      </w:r>
    </w:p>
    <w:p>
      <w:pPr>
        <w:spacing w:after="0" w:line="6" w:lineRule="exact"/>
        <w:rPr>
          <w:sz w:val="20"/>
          <w:szCs w:val="20"/>
          <w:color w:val="auto"/>
        </w:rPr>
      </w:pPr>
    </w:p>
    <w:p>
      <w:pPr>
        <w:ind w:right="40" w:firstLine="8"/>
        <w:spacing w:after="0" w:line="235" w:lineRule="auto"/>
        <w:tabs>
          <w:tab w:leader="none" w:pos="235"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following such transacton, no person or entty owns 35% or more of the common stock of the entty resultng from such transacton, and (3) at least a majority of the members of the resultng corporaton’s board of directors were members of our Board; or (iv) our stockholders approve a complete liquidaton or dissoluton of the Company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4" w:right="100"/>
        <w:spacing w:after="0" w:line="235" w:lineRule="auto"/>
        <w:rPr>
          <w:sz w:val="20"/>
          <w:szCs w:val="20"/>
          <w:color w:val="auto"/>
        </w:rPr>
      </w:pPr>
      <w:r>
        <w:rPr>
          <w:rFonts w:ascii="Calibri" w:cs="Calibri" w:eastAsia="Calibri" w:hAnsi="Calibri"/>
          <w:sz w:val="18"/>
          <w:szCs w:val="18"/>
          <w:color w:val="auto"/>
        </w:rPr>
        <w:t>See “Potental Payments Upon Terminaton or Change in Control” beginning on page 41 of this proxy statement.</w:t>
      </w:r>
    </w:p>
    <w:p>
      <w:pPr>
        <w:spacing w:after="0" w:line="321" w:lineRule="exact"/>
        <w:rPr>
          <w:sz w:val="20"/>
          <w:szCs w:val="20"/>
          <w:color w:val="auto"/>
        </w:rPr>
      </w:pPr>
    </w:p>
    <w:p>
      <w:pPr>
        <w:ind w:left="4"/>
        <w:spacing w:after="0"/>
        <w:rPr>
          <w:sz w:val="20"/>
          <w:szCs w:val="20"/>
          <w:color w:val="auto"/>
        </w:rPr>
      </w:pPr>
      <w:r>
        <w:rPr>
          <w:rFonts w:ascii="Calibri" w:cs="Calibri" w:eastAsia="Calibri" w:hAnsi="Calibri"/>
          <w:sz w:val="18"/>
          <w:szCs w:val="18"/>
          <w:i w:val="1"/>
          <w:iCs w:val="1"/>
          <w:color w:val="auto"/>
        </w:rPr>
        <w:t>Equity Awards</w:t>
      </w:r>
    </w:p>
    <w:p>
      <w:pPr>
        <w:spacing w:after="0" w:line="109" w:lineRule="exact"/>
        <w:rPr>
          <w:sz w:val="20"/>
          <w:szCs w:val="20"/>
          <w:color w:val="auto"/>
        </w:rPr>
      </w:pPr>
    </w:p>
    <w:p>
      <w:pPr>
        <w:ind w:left="4" w:right="60"/>
        <w:spacing w:after="0" w:line="235" w:lineRule="auto"/>
        <w:rPr>
          <w:sz w:val="20"/>
          <w:szCs w:val="20"/>
          <w:color w:val="auto"/>
        </w:rPr>
      </w:pPr>
      <w:r>
        <w:rPr>
          <w:rFonts w:ascii="Calibri" w:cs="Calibri" w:eastAsia="Calibri" w:hAnsi="Calibri"/>
          <w:sz w:val="18"/>
          <w:szCs w:val="18"/>
          <w:color w:val="auto"/>
        </w:rPr>
        <w:t>Awards granted in fscal 2022 under our Incentve Plan are subject to accelerated vestng upon the occurrence of a “change in control” as defned in the applicable award agreement if they are not assumed or replaced with equivalent awards in connecton with such change in control. Under the award agreements or incentve program documents, a “change in control” is defned generally as:</w:t>
      </w:r>
    </w:p>
    <w:p>
      <w:pPr>
        <w:spacing w:after="0" w:line="113" w:lineRule="exact"/>
        <w:rPr>
          <w:sz w:val="20"/>
          <w:szCs w:val="20"/>
          <w:color w:val="auto"/>
        </w:rPr>
      </w:pPr>
    </w:p>
    <w:p>
      <w:pPr>
        <w:ind w:left="4" w:right="60" w:hanging="4"/>
        <w:spacing w:after="0" w:line="235" w:lineRule="auto"/>
        <w:tabs>
          <w:tab w:leader="none" w:pos="19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the acquisiton by any person or entty of 50% or more of the outstanding shares of any single class of our Common Stock or 40% or more of outstanding shares of all classes of our Common Stock;</w:t>
      </w:r>
    </w:p>
    <w:p>
      <w:pPr>
        <w:spacing w:after="0" w:line="218" w:lineRule="exact"/>
        <w:rPr>
          <w:rFonts w:ascii="Calibri" w:cs="Calibri" w:eastAsia="Calibri" w:hAnsi="Calibri"/>
          <w:sz w:val="18"/>
          <w:szCs w:val="18"/>
          <w:color w:val="auto"/>
        </w:rPr>
      </w:pPr>
    </w:p>
    <w:p>
      <w:pPr>
        <w:ind w:left="4" w:right="60" w:hanging="4"/>
        <w:spacing w:after="0" w:line="235" w:lineRule="auto"/>
        <w:tabs>
          <w:tab w:leader="none" w:pos="23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a change in the compositon of our Board such that the current members of the Board cease to consttute a majority of the Board; or</w:t>
      </w:r>
    </w:p>
    <w:p>
      <w:pPr>
        <w:spacing w:after="0" w:line="217" w:lineRule="exact"/>
        <w:rPr>
          <w:rFonts w:ascii="Calibri" w:cs="Calibri" w:eastAsia="Calibri" w:hAnsi="Calibri"/>
          <w:sz w:val="18"/>
          <w:szCs w:val="18"/>
          <w:color w:val="auto"/>
        </w:rPr>
      </w:pPr>
    </w:p>
    <w:p>
      <w:pPr>
        <w:ind w:left="4" w:hanging="4"/>
        <w:spacing w:after="0" w:line="235" w:lineRule="auto"/>
        <w:tabs>
          <w:tab w:leader="none" w:pos="271"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the consummaton of a merger, dissoluton, asset dispositon, consolidaton or share exchange, unless (a) more than 50% of the stock following such transacton is owned by persons or enttes who were stockholders of the Company prior to such transacton, (b) following such transacton, no person or entty owns 40% or more of the common stock of the corporaton resultng from such transacton, and (c) at least a majority of the members of the resultng corporaton’s board of directors were members of our Board.</w:t>
      </w:r>
    </w:p>
    <w:p>
      <w:pPr>
        <w:spacing w:after="0" w:line="223" w:lineRule="exact"/>
        <w:rPr>
          <w:sz w:val="20"/>
          <w:szCs w:val="20"/>
          <w:color w:val="auto"/>
        </w:rPr>
      </w:pPr>
    </w:p>
    <w:p>
      <w:pPr>
        <w:ind w:left="4" w:right="60"/>
        <w:spacing w:after="0" w:line="235" w:lineRule="auto"/>
        <w:rPr>
          <w:sz w:val="20"/>
          <w:szCs w:val="20"/>
          <w:color w:val="auto"/>
        </w:rPr>
      </w:pPr>
      <w:r>
        <w:rPr>
          <w:rFonts w:ascii="Calibri" w:cs="Calibri" w:eastAsia="Calibri" w:hAnsi="Calibri"/>
          <w:sz w:val="18"/>
          <w:szCs w:val="18"/>
          <w:color w:val="auto"/>
        </w:rPr>
        <w:t>If a change in control occurs, any unvested outstanding stock optons, restricted stock, restricted stock units would generally become immediately fully vested, and, in the case of stock optons, exercisable or, in the case of restricted stock or RSUs, payable, unless the transacton resultng in the change in control provides that the award is to be replaced with an award of equivalent shares of the surviving parent corporaton. See “Potental Payments Upon Terminaton or Change in Control” beginning on page 41 of this proxy statement.</w:t>
      </w:r>
    </w:p>
    <w:p>
      <w:pPr>
        <w:spacing w:after="0" w:line="223" w:lineRule="exact"/>
        <w:rPr>
          <w:sz w:val="20"/>
          <w:szCs w:val="20"/>
          <w:color w:val="auto"/>
        </w:rPr>
      </w:pPr>
    </w:p>
    <w:p>
      <w:pPr>
        <w:ind w:left="4" w:right="380"/>
        <w:spacing w:after="0" w:line="235" w:lineRule="auto"/>
        <w:rPr>
          <w:sz w:val="20"/>
          <w:szCs w:val="20"/>
          <w:color w:val="auto"/>
        </w:rPr>
      </w:pPr>
      <w:r>
        <w:rPr>
          <w:rFonts w:ascii="Calibri" w:cs="Calibri" w:eastAsia="Calibri" w:hAnsi="Calibri"/>
          <w:sz w:val="18"/>
          <w:szCs w:val="18"/>
          <w:color w:val="auto"/>
        </w:rPr>
        <w:t>We believe the provision of these change in control benefts is generally consistent with market practce among our peers, is a</w:t>
      </w:r>
    </w:p>
    <w:p>
      <w:pPr>
        <w:spacing w:after="0" w:line="5290" w:lineRule="exact"/>
        <w:rPr>
          <w:sz w:val="20"/>
          <w:szCs w:val="20"/>
          <w:color w:val="auto"/>
        </w:rPr>
      </w:pPr>
    </w:p>
    <w:p>
      <w:pPr>
        <w:sectPr>
          <w:pgSz w:w="11900" w:h="16838" w:orient="portrait"/>
          <w:cols w:equalWidth="0" w:num="2">
            <w:col w:w="5520" w:space="216"/>
            <w:col w:w="5484"/>
          </w:cols>
          <w:pgMar w:left="320" w:top="225" w:right="359" w:bottom="1440" w:gutter="0" w:footer="0" w:header="0"/>
          <w:type w:val="continuous"/>
        </w:sectPr>
      </w:pPr>
    </w:p>
    <w:p>
      <w:pPr>
        <w:ind w:left="4060"/>
        <w:spacing w:after="0" w:line="232" w:lineRule="auto"/>
        <w:rPr>
          <w:sz w:val="20"/>
          <w:szCs w:val="20"/>
          <w:color w:val="auto"/>
        </w:rPr>
      </w:pPr>
      <w:r>
        <w:rPr>
          <w:rFonts w:ascii="Calibri" w:cs="Calibri" w:eastAsia="Calibri" w:hAnsi="Calibri"/>
          <w:sz w:val="20"/>
          <w:szCs w:val="20"/>
          <w:color w:val="auto"/>
        </w:rPr>
        <w:t>_______________________________</w:t>
      </w:r>
    </w:p>
    <w:p>
      <w:pPr>
        <w:jc w:val="center"/>
        <w:ind w:right="-19"/>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7"/>
          <w:szCs w:val="17"/>
          <w:color w:val="auto"/>
        </w:rPr>
        <w:t>valuable executve talent retenton incentve and is consistent with the objectves of our overall executve compensaton program.</w:t>
      </w:r>
    </w:p>
    <w:p>
      <w:pPr>
        <w:sectPr>
          <w:pgSz w:w="11900" w:h="16838" w:orient="portrait"/>
          <w:cols w:equalWidth="0" w:num="1">
            <w:col w:w="11240"/>
          </w:cols>
          <w:pgMar w:left="320" w:top="333" w:right="339" w:bottom="1440" w:gutter="0" w:footer="0" w:header="0"/>
        </w:sectPr>
      </w:pPr>
    </w:p>
    <w:p>
      <w:pPr>
        <w:spacing w:after="0" w:line="32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 Discriminatory Perquisites, Post-retrement Welfare Or Tax Gross-Ups</w:t>
      </w:r>
    </w:p>
    <w:p>
      <w:pPr>
        <w:spacing w:after="0" w:line="109"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The Company does not provide discriminatory perquisites or post-retrement welfare benefts to the Named Executve Ofcers. During employment, the Named Executve Ofcers partcipate in the broad-based employee health insurance plans available to employees of the Company generally. Further, the Company does not provide for gross-ups of excise taxes under Secton 4999 of the Code to any of the Named Executve Ofcers.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Recoupment (Clawback) Policy</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We have adopted a recoupment (clawback) policy. We can recoup incentve-based compensaton from executve ofcers if there is an accountng restatement of our fnancial statements due to the material noncompliance of the Company with any fnancial reportng requirement under the securites laws. The policy applies to compensaton received by any current or former executve ofcer during the three-year period preceding the restatement.</w:t>
      </w:r>
    </w:p>
    <w:p>
      <w:pPr>
        <w:spacing w:after="0" w:line="3" w:lineRule="exact"/>
        <w:rPr>
          <w:sz w:val="20"/>
          <w:szCs w:val="20"/>
          <w:color w:val="auto"/>
        </w:rPr>
      </w:pPr>
    </w:p>
    <w:p>
      <w:pPr>
        <w:sectPr>
          <w:pgSz w:w="11900" w:h="16838" w:orient="portrait"/>
          <w:cols w:equalWidth="0" w:num="2">
            <w:col w:w="5480" w:space="260"/>
            <w:col w:w="5500"/>
          </w:cols>
          <w:pgMar w:left="320" w:top="333" w:right="339" w:bottom="1440" w:gutter="0" w:footer="0" w:header="0"/>
          <w:type w:val="continuous"/>
        </w:sectPr>
      </w:pPr>
    </w:p>
    <w:p>
      <w:pPr>
        <w:spacing w:after="0"/>
        <w:rPr>
          <w:sz w:val="20"/>
          <w:szCs w:val="20"/>
          <w:color w:val="auto"/>
        </w:rPr>
      </w:pPr>
      <w:r>
        <w:rPr>
          <w:rFonts w:ascii="Calibri" w:cs="Calibri" w:eastAsia="Calibri" w:hAnsi="Calibri"/>
          <w:sz w:val="22"/>
          <w:szCs w:val="22"/>
          <w:b w:val="1"/>
          <w:bCs w:val="1"/>
          <w:i w:val="1"/>
          <w:iCs w:val="1"/>
          <w:color w:val="auto"/>
        </w:rPr>
        <w:t>Other Compensaton Policies and Practces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 Ownership Guidelines</w:t>
      </w:r>
    </w:p>
    <w:p>
      <w:pPr>
        <w:spacing w:after="0" w:line="109"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In order to align the interests of the Named Executve Ofcers with our stockholders, and to promote a long-term focus for the ofcers, the Board of Directors has adopted executve stock ownership guidelines for the Company’s executve ofcers. The ownership goal for each Named Executve Ofcer is expressed as a dollar amount equal to a multple of base salary. The CEO’s goal is higher than the other executve ofcers (as detailed below).</w:t>
      </w:r>
    </w:p>
    <w:p>
      <w:pPr>
        <w:spacing w:after="0" w:line="1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Calibri" w:cs="Calibri" w:eastAsia="Calibri" w:hAnsi="Calibri"/>
                <w:sz w:val="14"/>
                <w:szCs w:val="14"/>
                <w:b w:val="1"/>
                <w:bCs w:val="1"/>
                <w:color w:val="auto"/>
              </w:rPr>
              <w:t>Multple of</w:t>
            </w:r>
          </w:p>
        </w:tc>
      </w:tr>
      <w:tr>
        <w:trPr>
          <w:trHeight w:val="175"/>
        </w:trPr>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Calibri" w:cs="Calibri" w:eastAsia="Calibri" w:hAnsi="Calibri"/>
                <w:sz w:val="14"/>
                <w:szCs w:val="14"/>
                <w:b w:val="1"/>
                <w:bCs w:val="1"/>
                <w:color w:val="auto"/>
              </w:rPr>
              <w:t>Salary</w:t>
            </w:r>
          </w:p>
        </w:tc>
      </w:tr>
      <w:tr>
        <w:trPr>
          <w:trHeight w:val="176"/>
        </w:trPr>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Calibri" w:cs="Calibri" w:eastAsia="Calibri" w:hAnsi="Calibri"/>
                <w:sz w:val="14"/>
                <w:szCs w:val="14"/>
                <w:b w:val="1"/>
                <w:bCs w:val="1"/>
                <w:color w:val="auto"/>
              </w:rPr>
              <w:t>Ownership</w:t>
            </w:r>
          </w:p>
        </w:tc>
      </w:tr>
      <w:tr>
        <w:trPr>
          <w:trHeight w:val="155"/>
        </w:trPr>
        <w:tc>
          <w:tcPr>
            <w:tcW w:w="2120" w:type="dxa"/>
            <w:vAlign w:val="bottom"/>
            <w:gridSpan w:val="2"/>
          </w:tcPr>
          <w:p>
            <w:pPr>
              <w:spacing w:after="0" w:line="155" w:lineRule="exact"/>
              <w:rPr>
                <w:sz w:val="20"/>
                <w:szCs w:val="20"/>
                <w:color w:val="auto"/>
              </w:rPr>
            </w:pPr>
            <w:r>
              <w:rPr>
                <w:rFonts w:ascii="Calibri" w:cs="Calibri" w:eastAsia="Calibri" w:hAnsi="Calibri"/>
                <w:sz w:val="14"/>
                <w:szCs w:val="14"/>
                <w:b w:val="1"/>
                <w:bCs w:val="1"/>
                <w:color w:val="auto"/>
              </w:rPr>
              <w:t>Name</w:t>
            </w:r>
          </w:p>
        </w:tc>
        <w:tc>
          <w:tcPr>
            <w:tcW w:w="248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Guidelines</w:t>
            </w:r>
          </w:p>
        </w:tc>
      </w:tr>
      <w:tr>
        <w:trPr>
          <w:trHeight w:val="20"/>
        </w:trPr>
        <w:tc>
          <w:tcPr>
            <w:tcW w:w="360" w:type="dxa"/>
            <w:vAlign w:val="bottom"/>
            <w:tcBorders>
              <w:top w:val="single" w:sz="8" w:color="auto"/>
              <w:bottom w:val="single" w:sz="8" w:color="CFF0FC"/>
            </w:tcBorders>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190"/>
        </w:trPr>
        <w:tc>
          <w:tcPr>
            <w:tcW w:w="2120" w:type="dxa"/>
            <w:vAlign w:val="bottom"/>
            <w:tcBorders>
              <w:bottom w:val="single" w:sz="8" w:color="CFF0FC"/>
            </w:tcBorders>
            <w:gridSpan w:val="2"/>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2480" w:type="dxa"/>
            <w:vAlign w:val="bottom"/>
            <w:tcBorders>
              <w:bottom w:val="single" w:sz="8" w:color="CFF0FC"/>
            </w:tcBorders>
            <w:shd w:val="clear" w:color="auto" w:fill="CFF0FC"/>
          </w:tcPr>
          <w:p>
            <w:pPr>
              <w:jc w:val="center"/>
              <w:spacing w:after="0" w:line="187" w:lineRule="exact"/>
              <w:rPr>
                <w:sz w:val="20"/>
                <w:szCs w:val="20"/>
                <w:color w:val="auto"/>
              </w:rPr>
            </w:pPr>
            <w:r>
              <w:rPr>
                <w:rFonts w:ascii="Calibri" w:cs="Calibri" w:eastAsia="Calibri" w:hAnsi="Calibri"/>
                <w:sz w:val="16"/>
                <w:szCs w:val="16"/>
                <w:color w:val="auto"/>
              </w:rPr>
              <w:t>5X</w:t>
            </w:r>
          </w:p>
        </w:tc>
      </w:tr>
      <w:tr>
        <w:trPr>
          <w:trHeight w:val="193"/>
        </w:trPr>
        <w:tc>
          <w:tcPr>
            <w:tcW w:w="2120" w:type="dxa"/>
            <w:vAlign w:val="bottom"/>
            <w:gridSpan w:val="2"/>
          </w:tcPr>
          <w:p>
            <w:pPr>
              <w:spacing w:after="0" w:line="193" w:lineRule="exact"/>
              <w:rPr>
                <w:sz w:val="20"/>
                <w:szCs w:val="20"/>
                <w:color w:val="auto"/>
              </w:rPr>
            </w:pPr>
            <w:r>
              <w:rPr>
                <w:rFonts w:ascii="Calibri" w:cs="Calibri" w:eastAsia="Calibri" w:hAnsi="Calibri"/>
                <w:sz w:val="16"/>
                <w:szCs w:val="16"/>
                <w:color w:val="auto"/>
              </w:rPr>
              <w:t>D. Craig Kesler</w:t>
            </w:r>
          </w:p>
        </w:tc>
        <w:tc>
          <w:tcPr>
            <w:tcW w:w="2480" w:type="dxa"/>
            <w:vAlign w:val="bottom"/>
          </w:tcPr>
          <w:p>
            <w:pPr>
              <w:jc w:val="center"/>
              <w:spacing w:after="0" w:line="193" w:lineRule="exact"/>
              <w:rPr>
                <w:sz w:val="20"/>
                <w:szCs w:val="20"/>
                <w:color w:val="auto"/>
              </w:rPr>
            </w:pPr>
            <w:r>
              <w:rPr>
                <w:rFonts w:ascii="Calibri" w:cs="Calibri" w:eastAsia="Calibri" w:hAnsi="Calibri"/>
                <w:sz w:val="16"/>
                <w:szCs w:val="16"/>
                <w:color w:val="auto"/>
              </w:rPr>
              <w:t>3X</w:t>
            </w:r>
          </w:p>
        </w:tc>
      </w:tr>
      <w:tr>
        <w:trPr>
          <w:trHeight w:val="23"/>
        </w:trPr>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12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Robert S. Stewart</w:t>
            </w:r>
          </w:p>
        </w:tc>
        <w:tc>
          <w:tcPr>
            <w:tcW w:w="2480" w:type="dxa"/>
            <w:vAlign w:val="bottom"/>
            <w:tcBorders>
              <w:bottom w:val="single" w:sz="8" w:color="CFF0FC"/>
            </w:tcBorders>
            <w:shd w:val="clear" w:color="auto" w:fill="CFF0FC"/>
          </w:tcPr>
          <w:p>
            <w:pPr>
              <w:jc w:val="center"/>
              <w:spacing w:after="0" w:line="193" w:lineRule="exact"/>
              <w:rPr>
                <w:sz w:val="20"/>
                <w:szCs w:val="20"/>
                <w:color w:val="auto"/>
              </w:rPr>
            </w:pPr>
            <w:r>
              <w:rPr>
                <w:rFonts w:ascii="Calibri" w:cs="Calibri" w:eastAsia="Calibri" w:hAnsi="Calibri"/>
                <w:sz w:val="16"/>
                <w:szCs w:val="16"/>
                <w:color w:val="auto"/>
              </w:rPr>
              <w:t>3X</w:t>
            </w:r>
          </w:p>
        </w:tc>
      </w:tr>
      <w:tr>
        <w:trPr>
          <w:trHeight w:val="193"/>
        </w:trPr>
        <w:tc>
          <w:tcPr>
            <w:tcW w:w="2120" w:type="dxa"/>
            <w:vAlign w:val="bottom"/>
            <w:gridSpan w:val="2"/>
          </w:tcPr>
          <w:p>
            <w:pPr>
              <w:spacing w:after="0" w:line="193" w:lineRule="exact"/>
              <w:rPr>
                <w:sz w:val="20"/>
                <w:szCs w:val="20"/>
                <w:color w:val="auto"/>
              </w:rPr>
            </w:pPr>
            <w:r>
              <w:rPr>
                <w:rFonts w:ascii="Calibri" w:cs="Calibri" w:eastAsia="Calibri" w:hAnsi="Calibri"/>
                <w:sz w:val="16"/>
                <w:szCs w:val="16"/>
                <w:color w:val="auto"/>
              </w:rPr>
              <w:t>James H. Graass</w:t>
            </w:r>
          </w:p>
        </w:tc>
        <w:tc>
          <w:tcPr>
            <w:tcW w:w="2480" w:type="dxa"/>
            <w:vAlign w:val="bottom"/>
          </w:tcPr>
          <w:p>
            <w:pPr>
              <w:jc w:val="center"/>
              <w:spacing w:after="0" w:line="193" w:lineRule="exact"/>
              <w:rPr>
                <w:sz w:val="20"/>
                <w:szCs w:val="20"/>
                <w:color w:val="auto"/>
              </w:rPr>
            </w:pPr>
            <w:r>
              <w:rPr>
                <w:rFonts w:ascii="Calibri" w:cs="Calibri" w:eastAsia="Calibri" w:hAnsi="Calibri"/>
                <w:sz w:val="16"/>
                <w:szCs w:val="16"/>
                <w:color w:val="auto"/>
              </w:rPr>
              <w:t>3X</w:t>
            </w:r>
          </w:p>
        </w:tc>
      </w:tr>
      <w:tr>
        <w:trPr>
          <w:trHeight w:val="23"/>
        </w:trPr>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3"/>
        </w:trPr>
        <w:tc>
          <w:tcPr>
            <w:tcW w:w="2120" w:type="dxa"/>
            <w:vAlign w:val="bottom"/>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Steven L. Wentzel</w:t>
            </w:r>
          </w:p>
        </w:tc>
        <w:tc>
          <w:tcPr>
            <w:tcW w:w="2480" w:type="dxa"/>
            <w:vAlign w:val="bottom"/>
            <w:shd w:val="clear" w:color="auto" w:fill="CFF0FC"/>
          </w:tcPr>
          <w:p>
            <w:pPr>
              <w:jc w:val="center"/>
              <w:spacing w:after="0" w:line="193" w:lineRule="exact"/>
              <w:rPr>
                <w:sz w:val="20"/>
                <w:szCs w:val="20"/>
                <w:color w:val="auto"/>
              </w:rPr>
            </w:pPr>
            <w:r>
              <w:rPr>
                <w:rFonts w:ascii="Calibri" w:cs="Calibri" w:eastAsia="Calibri" w:hAnsi="Calibri"/>
                <w:sz w:val="16"/>
                <w:szCs w:val="16"/>
                <w:color w:val="auto"/>
              </w:rPr>
              <w:t>3X</w:t>
            </w:r>
          </w:p>
        </w:tc>
      </w:tr>
      <w:tr>
        <w:trPr>
          <w:trHeight w:val="23"/>
        </w:trPr>
        <w:tc>
          <w:tcPr>
            <w:tcW w:w="36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r>
    </w:tbl>
    <w:p>
      <w:pPr>
        <w:spacing w:after="0" w:line="8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goal is met when the ofcer’s current share value meets or exceeds the goal. The current share value is calculated in one of three ways: (i) the sum of the grant date fair value of current shares held by the ofcer; (ii) the current shares valued at the current market price; or (iii) the current shares valued at an average stock price (the average of the prior three management equity incentve grant prices).</w:t>
      </w:r>
    </w:p>
    <w:p>
      <w:pPr>
        <w:spacing w:after="0" w:line="11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Untl an ofcer has achieved the goal, he or she is required to retain all net shares received from the Company.</w:t>
      </w:r>
    </w:p>
    <w:p>
      <w:pPr>
        <w:spacing w:after="0" w:line="11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Once an ofcer has achieved the goal, he or she may sell shares of Common Stock to the extent the value of post-sale share holdings (valued at the greater of current price and average price) exceeds the goal.</w:t>
      </w:r>
    </w:p>
    <w:p>
      <w:pPr>
        <w:spacing w:after="0" w:line="21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Types of ownership counted toward the goal include the following:</w:t>
      </w:r>
    </w:p>
    <w:p>
      <w:pPr>
        <w:spacing w:after="0" w:line="104" w:lineRule="exact"/>
        <w:rPr>
          <w:sz w:val="20"/>
          <w:szCs w:val="20"/>
          <w:color w:val="auto"/>
        </w:rPr>
      </w:pPr>
    </w:p>
    <w:p>
      <w:pPr>
        <w:ind w:left="340" w:hanging="170"/>
        <w:spacing w:after="0"/>
        <w:tabs>
          <w:tab w:leader="none" w:pos="340" w:val="left"/>
        </w:tabs>
        <w:numPr>
          <w:ilvl w:val="0"/>
          <w:numId w:val="28"/>
        </w:numPr>
        <w:rPr>
          <w:rFonts w:ascii="Times New Roman" w:cs="Times New Roman" w:eastAsia="Times New Roman" w:hAnsi="Times New Roman"/>
          <w:sz w:val="16"/>
          <w:szCs w:val="16"/>
          <w:color w:val="auto"/>
        </w:rPr>
      </w:pPr>
      <w:r>
        <w:rPr>
          <w:rFonts w:ascii="Calibri" w:cs="Calibri" w:eastAsia="Calibri" w:hAnsi="Calibri"/>
          <w:sz w:val="18"/>
          <w:szCs w:val="18"/>
          <w:color w:val="auto"/>
        </w:rPr>
        <w:t>Direct holdings;</w:t>
      </w:r>
    </w:p>
    <w:p>
      <w:pPr>
        <w:spacing w:after="0" w:line="131" w:lineRule="exact"/>
        <w:rPr>
          <w:rFonts w:ascii="Times New Roman" w:cs="Times New Roman" w:eastAsia="Times New Roman" w:hAnsi="Times New Roman"/>
          <w:sz w:val="16"/>
          <w:szCs w:val="16"/>
          <w:color w:val="auto"/>
        </w:rPr>
      </w:pPr>
    </w:p>
    <w:p>
      <w:pPr>
        <w:ind w:left="340" w:hanging="170"/>
        <w:spacing w:after="0"/>
        <w:tabs>
          <w:tab w:leader="none" w:pos="340" w:val="left"/>
        </w:tabs>
        <w:numPr>
          <w:ilvl w:val="0"/>
          <w:numId w:val="28"/>
        </w:numPr>
        <w:rPr>
          <w:rFonts w:ascii="Times New Roman" w:cs="Times New Roman" w:eastAsia="Times New Roman" w:hAnsi="Times New Roman"/>
          <w:sz w:val="16"/>
          <w:szCs w:val="16"/>
          <w:color w:val="auto"/>
        </w:rPr>
      </w:pPr>
      <w:r>
        <w:rPr>
          <w:rFonts w:ascii="Calibri" w:cs="Calibri" w:eastAsia="Calibri" w:hAnsi="Calibri"/>
          <w:sz w:val="18"/>
          <w:szCs w:val="18"/>
          <w:color w:val="auto"/>
        </w:rPr>
        <w:t>Shares represented by earned restricted stock or RSUs;</w:t>
      </w:r>
    </w:p>
    <w:p>
      <w:pPr>
        <w:spacing w:after="0" w:line="131" w:lineRule="exact"/>
        <w:rPr>
          <w:rFonts w:ascii="Times New Roman" w:cs="Times New Roman" w:eastAsia="Times New Roman" w:hAnsi="Times New Roman"/>
          <w:sz w:val="16"/>
          <w:szCs w:val="16"/>
          <w:color w:val="auto"/>
        </w:rPr>
      </w:pPr>
    </w:p>
    <w:p>
      <w:pPr>
        <w:ind w:left="340" w:hanging="170"/>
        <w:spacing w:after="0"/>
        <w:tabs>
          <w:tab w:leader="none" w:pos="340" w:val="left"/>
        </w:tabs>
        <w:numPr>
          <w:ilvl w:val="0"/>
          <w:numId w:val="28"/>
        </w:numPr>
        <w:rPr>
          <w:rFonts w:ascii="Times New Roman" w:cs="Times New Roman" w:eastAsia="Times New Roman" w:hAnsi="Times New Roman"/>
          <w:sz w:val="16"/>
          <w:szCs w:val="16"/>
          <w:color w:val="auto"/>
        </w:rPr>
      </w:pPr>
      <w:r>
        <w:rPr>
          <w:rFonts w:ascii="Calibri" w:cs="Calibri" w:eastAsia="Calibri" w:hAnsi="Calibri"/>
          <w:sz w:val="18"/>
          <w:szCs w:val="18"/>
          <w:color w:val="auto"/>
        </w:rPr>
        <w:t>Stock holdings in our Retrement Plan; and</w:t>
      </w:r>
    </w:p>
    <w:p>
      <w:pPr>
        <w:spacing w:after="0" w:line="136" w:lineRule="exact"/>
        <w:rPr>
          <w:rFonts w:ascii="Times New Roman" w:cs="Times New Roman" w:eastAsia="Times New Roman" w:hAnsi="Times New Roman"/>
          <w:sz w:val="16"/>
          <w:szCs w:val="16"/>
          <w:color w:val="auto"/>
        </w:rPr>
      </w:pPr>
    </w:p>
    <w:p>
      <w:pPr>
        <w:ind w:left="340" w:right="120" w:hanging="170"/>
        <w:spacing w:after="0" w:line="235" w:lineRule="auto"/>
        <w:tabs>
          <w:tab w:leader="none" w:pos="340" w:val="left"/>
        </w:tabs>
        <w:numPr>
          <w:ilvl w:val="0"/>
          <w:numId w:val="28"/>
        </w:numPr>
        <w:rPr>
          <w:rFonts w:ascii="Times New Roman" w:cs="Times New Roman" w:eastAsia="Times New Roman" w:hAnsi="Times New Roman"/>
          <w:sz w:val="16"/>
          <w:szCs w:val="16"/>
          <w:color w:val="auto"/>
        </w:rPr>
      </w:pPr>
      <w:r>
        <w:rPr>
          <w:rFonts w:ascii="Calibri" w:cs="Calibri" w:eastAsia="Calibri" w:hAnsi="Calibri"/>
          <w:sz w:val="18"/>
          <w:szCs w:val="18"/>
          <w:color w:val="auto"/>
        </w:rPr>
        <w:t>Indirect holdings, such as shares owned by a family member residing in the same household.</w:t>
      </w:r>
    </w:p>
    <w:p>
      <w:pPr>
        <w:spacing w:after="0" w:line="21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Compensaton Commitee reviews compliance with the ownership guidelines on an annual basis. Newly elected ofcers have fve years to meet the applicable ownership requirement. As of the record date for the 2022 annual meetng, all Named Executve Ofcers are in compliance with the guidelines.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 Hedging</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Under our insider trading policy, all of our directors and employees (including our Named Executve Ofcers) are prohibited from speculatng in our securites or engaging in transactons designed to hedge their ownership interests.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Consideraton of the Tax Deductbility of Compensaton</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Secton 162(m) of the Internal Revenue Code generally disallows a tax deducton for public corporatons for compensaton over $1,000,000 paid in any fscal year to the corporaton’s chief executve ofcer and certain other executve ofcers. Historically, Secton 162(m) exempted performance-based compensaton from the deducton limit if certain requirements were met; however, legislaton commonly referred to as the Tax Cuts and Jobs Act of 2017 eliminated the “performance-based compensaton” exempton to Secton 162(m).</w:t>
      </w:r>
    </w:p>
    <w:p>
      <w:pPr>
        <w:spacing w:after="0" w:line="11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Despite the change in law, the Compensaton Commitee intends to contnue to implement compensaton programs that it believes are compettve and in the best interests of the Company and its stockholders. Accordingly, the Commitee may approve compensatory arrangements that provide for non-deductble payments or benefts when it determines that such arrangements are consistent with the Company's business needs and in the best interest of the Company and its stockholders.</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Compensaton Risk</w:t>
      </w:r>
    </w:p>
    <w:p>
      <w:pPr>
        <w:spacing w:after="0" w:line="1"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Although a signifcant porton of potental compensaton to our executve ofcers is performance-based, we do not believe that our compensaton policies, principles, objectves and practces are structured to promote inappropriate risk taking by our executves. We believe that the focus of our overall compensaton program encourages management to take a balanced approach that focuses on increasing and sustaining our proftability. See “Board Leadership Structure and Role in Risk Oversight — Risk Assessment in Compensaton Programs” on page 15 of this proxy statement.</w:t>
      </w:r>
    </w:p>
    <w:p>
      <w:pPr>
        <w:spacing w:after="0" w:line="2239" w:lineRule="exact"/>
        <w:rPr>
          <w:sz w:val="20"/>
          <w:szCs w:val="20"/>
          <w:color w:val="auto"/>
        </w:rPr>
      </w:pPr>
    </w:p>
    <w:p>
      <w:pPr>
        <w:sectPr>
          <w:pgSz w:w="11900" w:h="16838" w:orient="portrait"/>
          <w:cols w:equalWidth="0" w:num="2">
            <w:col w:w="5500" w:space="240"/>
            <w:col w:w="5500"/>
          </w:cols>
          <w:pgMar w:left="320" w:top="333" w:right="339" w:bottom="1440" w:gutter="0" w:footer="0" w:header="0"/>
          <w:type w:val="continuous"/>
        </w:sectPr>
      </w:pPr>
    </w:p>
    <w:p>
      <w:pPr>
        <w:spacing w:after="0" w:line="225"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8" w:name="page39"/>
    <w:bookmarkEnd w:id="38"/>
    <w:p>
      <w:pPr>
        <w:ind w:left="7440"/>
        <w:spacing w:after="0"/>
        <w:rPr>
          <w:sz w:val="20"/>
          <w:szCs w:val="20"/>
          <w:color w:val="auto"/>
        </w:rPr>
      </w:pPr>
      <w:r>
        <w:rPr>
          <w:rFonts w:ascii="Calibri" w:cs="Calibri" w:eastAsia="Calibri" w:hAnsi="Calibri"/>
          <w:sz w:val="18"/>
          <w:szCs w:val="18"/>
          <w:b w:val="1"/>
          <w:bCs w:val="1"/>
          <w:color w:val="auto"/>
        </w:rPr>
        <w:t>Summary Compensaton Table</w:t>
      </w:r>
    </w:p>
    <w:p>
      <w:pPr>
        <w:ind w:left="1220"/>
        <w:spacing w:after="0" w:line="198" w:lineRule="auto"/>
        <w:rPr>
          <w:sz w:val="20"/>
          <w:szCs w:val="20"/>
          <w:color w:val="auto"/>
        </w:rPr>
      </w:pPr>
      <w:r>
        <w:rPr>
          <w:rFonts w:ascii="Calibri" w:cs="Calibri" w:eastAsia="Calibri" w:hAnsi="Calibri"/>
          <w:sz w:val="25"/>
          <w:szCs w:val="25"/>
          <w:b w:val="1"/>
          <w:bCs w:val="1"/>
          <w:color w:val="4472C4"/>
        </w:rPr>
        <w:t>EXECUTIVE COMPENSATION</w:t>
      </w:r>
    </w:p>
    <w:p>
      <w:pPr>
        <w:ind w:left="5620"/>
        <w:spacing w:after="0" w:line="196" w:lineRule="auto"/>
        <w:rPr>
          <w:sz w:val="20"/>
          <w:szCs w:val="20"/>
          <w:color w:val="auto"/>
        </w:rPr>
      </w:pPr>
      <w:r>
        <w:rPr>
          <w:rFonts w:ascii="Calibri" w:cs="Calibri" w:eastAsia="Calibri" w:hAnsi="Calibri"/>
          <w:sz w:val="18"/>
          <w:szCs w:val="18"/>
          <w:color w:val="auto"/>
        </w:rPr>
        <w:t>The following table summarizes all fscal 2020, 2021 and 2022</w:t>
      </w:r>
    </w:p>
    <w:p>
      <w:pPr>
        <w:ind w:left="5400"/>
        <w:spacing w:after="0" w:line="236" w:lineRule="auto"/>
        <w:rPr>
          <w:sz w:val="20"/>
          <w:szCs w:val="20"/>
          <w:color w:val="auto"/>
        </w:rPr>
      </w:pPr>
      <w:r>
        <w:rPr>
          <w:rFonts w:ascii="Calibri" w:cs="Calibri" w:eastAsia="Calibri" w:hAnsi="Calibri"/>
          <w:sz w:val="18"/>
          <w:szCs w:val="18"/>
          <w:color w:val="auto"/>
        </w:rPr>
        <w:t>compensaton earned by or paid to our Named Executve Ofcers, who</w:t>
      </w:r>
    </w:p>
    <w:p>
      <w:pPr>
        <w:ind w:left="5400"/>
        <w:spacing w:after="0" w:line="236" w:lineRule="auto"/>
        <w:rPr>
          <w:sz w:val="20"/>
          <w:szCs w:val="20"/>
          <w:color w:val="auto"/>
        </w:rPr>
      </w:pPr>
      <w:r>
        <w:rPr>
          <w:rFonts w:ascii="Calibri" w:cs="Calibri" w:eastAsia="Calibri" w:hAnsi="Calibri"/>
          <w:sz w:val="18"/>
          <w:szCs w:val="18"/>
          <w:color w:val="auto"/>
        </w:rPr>
        <w:t>consist of our Chief Executve Ofcer, our Chief Financial Ofcer and the</w:t>
      </w:r>
    </w:p>
    <w:p>
      <w:pPr>
        <w:ind w:left="5400"/>
        <w:spacing w:after="0" w:line="236" w:lineRule="auto"/>
        <w:rPr>
          <w:sz w:val="20"/>
          <w:szCs w:val="20"/>
          <w:color w:val="auto"/>
        </w:rPr>
      </w:pPr>
      <w:r>
        <w:rPr>
          <w:rFonts w:ascii="Calibri" w:cs="Calibri" w:eastAsia="Calibri" w:hAnsi="Calibri"/>
          <w:sz w:val="18"/>
          <w:szCs w:val="18"/>
          <w:color w:val="auto"/>
        </w:rPr>
        <w:t>three most highly compensated executve ofcers (other than the Chief</w:t>
      </w:r>
    </w:p>
    <w:p>
      <w:pPr>
        <w:ind w:left="5400"/>
        <w:spacing w:after="0" w:line="236" w:lineRule="auto"/>
        <w:rPr>
          <w:sz w:val="20"/>
          <w:szCs w:val="20"/>
          <w:color w:val="auto"/>
        </w:rPr>
      </w:pPr>
      <w:r>
        <w:rPr>
          <w:rFonts w:ascii="Calibri" w:cs="Calibri" w:eastAsia="Calibri" w:hAnsi="Calibri"/>
          <w:sz w:val="18"/>
          <w:szCs w:val="18"/>
          <w:color w:val="auto"/>
        </w:rPr>
        <w:t>Executve Ofcer and Chief Financial Ofcer) who were serving as executve</w:t>
      </w:r>
    </w:p>
    <w:p>
      <w:pPr>
        <w:ind w:left="5400"/>
        <w:spacing w:after="0" w:line="236" w:lineRule="auto"/>
        <w:rPr>
          <w:sz w:val="20"/>
          <w:szCs w:val="20"/>
          <w:color w:val="auto"/>
        </w:rPr>
      </w:pPr>
      <w:r>
        <w:rPr>
          <w:rFonts w:ascii="Calibri" w:cs="Calibri" w:eastAsia="Calibri" w:hAnsi="Calibri"/>
          <w:sz w:val="18"/>
          <w:szCs w:val="18"/>
          <w:color w:val="auto"/>
        </w:rPr>
        <w:t>ofcers at fscal year-end</w:t>
      </w:r>
      <w:r>
        <w:rPr>
          <w:rFonts w:ascii="Calibri" w:cs="Calibri" w:eastAsia="Calibri" w:hAnsi="Calibri"/>
          <w:sz w:val="18"/>
          <w:szCs w:val="18"/>
          <w:b w:val="1"/>
          <w:bCs w:val="1"/>
          <w:color w:val="auto"/>
        </w:rPr>
        <w: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Fiscal</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Year</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Incentve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Ended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Stock</w:t>
            </w:r>
          </w:p>
        </w:tc>
        <w:tc>
          <w:tcPr>
            <w:tcW w:w="28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Opton</w:t>
            </w: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Plan</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All Other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980" w:type="dxa"/>
            <w:vAlign w:val="bottom"/>
            <w:gridSpan w:val="2"/>
          </w:tcPr>
          <w:p>
            <w:pPr>
              <w:spacing w:after="0"/>
              <w:rPr>
                <w:sz w:val="20"/>
                <w:szCs w:val="20"/>
                <w:color w:val="auto"/>
              </w:rPr>
            </w:pPr>
            <w:r>
              <w:rPr>
                <w:rFonts w:ascii="Calibri" w:cs="Calibri" w:eastAsia="Calibri" w:hAnsi="Calibri"/>
                <w:sz w:val="14"/>
                <w:szCs w:val="14"/>
                <w:b w:val="1"/>
                <w:bCs w:val="1"/>
                <w:color w:val="auto"/>
              </w:rPr>
              <w:t>Name and Principal</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March</w:t>
            </w:r>
          </w:p>
        </w:tc>
        <w:tc>
          <w:tcPr>
            <w:tcW w:w="100" w:type="dxa"/>
            <w:vAlign w:val="bottom"/>
          </w:tcPr>
          <w:p>
            <w:pPr>
              <w:spacing w:after="0"/>
              <w:rPr>
                <w:sz w:val="15"/>
                <w:szCs w:val="15"/>
                <w:color w:val="auto"/>
              </w:rPr>
            </w:pPr>
          </w:p>
        </w:tc>
        <w:tc>
          <w:tcPr>
            <w:tcW w:w="960" w:type="dxa"/>
            <w:vAlign w:val="bottom"/>
            <w:gridSpan w:val="2"/>
          </w:tcPr>
          <w:p>
            <w:pPr>
              <w:ind w:left="120"/>
              <w:spacing w:after="0" w:line="182" w:lineRule="exact"/>
              <w:rPr>
                <w:sz w:val="20"/>
                <w:szCs w:val="20"/>
                <w:color w:val="auto"/>
              </w:rPr>
            </w:pPr>
            <w:r>
              <w:rPr>
                <w:rFonts w:ascii="Calibri" w:cs="Calibri" w:eastAsia="Calibri" w:hAnsi="Calibri"/>
                <w:sz w:val="12"/>
                <w:szCs w:val="12"/>
                <w:b w:val="1"/>
                <w:bCs w:val="1"/>
                <w:color w:val="auto"/>
              </w:rPr>
              <w:t>Salary</w:t>
            </w:r>
            <w:r>
              <w:rPr>
                <w:rFonts w:ascii="Calibri" w:cs="Calibri" w:eastAsia="Calibri" w:hAnsi="Calibri"/>
                <w:sz w:val="19"/>
                <w:szCs w:val="19"/>
                <w:b w:val="1"/>
                <w:bCs w:val="1"/>
                <w:color w:val="auto"/>
                <w:vertAlign w:val="superscript"/>
              </w:rPr>
              <w:t>(1)</w:t>
            </w:r>
          </w:p>
        </w:tc>
        <w:tc>
          <w:tcPr>
            <w:tcW w:w="760" w:type="dxa"/>
            <w:vAlign w:val="bottom"/>
          </w:tcPr>
          <w:p>
            <w:pPr>
              <w:jc w:val="right"/>
              <w:ind w:right="61"/>
              <w:spacing w:after="0" w:line="182" w:lineRule="exact"/>
              <w:rPr>
                <w:sz w:val="20"/>
                <w:szCs w:val="20"/>
                <w:color w:val="auto"/>
              </w:rPr>
            </w:pPr>
            <w:r>
              <w:rPr>
                <w:rFonts w:ascii="Calibri" w:cs="Calibri" w:eastAsia="Calibri" w:hAnsi="Calibri"/>
                <w:sz w:val="12"/>
                <w:szCs w:val="12"/>
                <w:b w:val="1"/>
                <w:bCs w:val="1"/>
                <w:color w:val="auto"/>
              </w:rPr>
              <w:t>Bonus</w:t>
            </w:r>
            <w:r>
              <w:rPr>
                <w:rFonts w:ascii="Calibri" w:cs="Calibri" w:eastAsia="Calibri" w:hAnsi="Calibri"/>
                <w:sz w:val="19"/>
                <w:szCs w:val="19"/>
                <w:b w:val="1"/>
                <w:bCs w:val="1"/>
                <w:color w:val="auto"/>
                <w:vertAlign w:val="superscript"/>
              </w:rPr>
              <w:t>(2)</w:t>
            </w:r>
          </w:p>
        </w:tc>
        <w:tc>
          <w:tcPr>
            <w:tcW w:w="200" w:type="dxa"/>
            <w:vAlign w:val="bottom"/>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Calibri" w:cs="Calibri" w:eastAsia="Calibri" w:hAnsi="Calibri"/>
                <w:sz w:val="12"/>
                <w:szCs w:val="12"/>
                <w:b w:val="1"/>
                <w:bCs w:val="1"/>
                <w:color w:val="auto"/>
              </w:rPr>
              <w:t>Awards</w:t>
            </w:r>
            <w:r>
              <w:rPr>
                <w:rFonts w:ascii="Calibri" w:cs="Calibri" w:eastAsia="Calibri" w:hAnsi="Calibri"/>
                <w:sz w:val="19"/>
                <w:szCs w:val="19"/>
                <w:b w:val="1"/>
                <w:bCs w:val="1"/>
                <w:color w:val="auto"/>
                <w:vertAlign w:val="superscript"/>
              </w:rPr>
              <w:t>(3)</w:t>
            </w:r>
          </w:p>
        </w:tc>
        <w:tc>
          <w:tcPr>
            <w:tcW w:w="280" w:type="dxa"/>
            <w:vAlign w:val="bottom"/>
          </w:tcPr>
          <w:p>
            <w:pPr>
              <w:spacing w:after="0"/>
              <w:rPr>
                <w:sz w:val="15"/>
                <w:szCs w:val="15"/>
                <w:color w:val="auto"/>
              </w:rPr>
            </w:pPr>
          </w:p>
        </w:tc>
        <w:tc>
          <w:tcPr>
            <w:tcW w:w="980" w:type="dxa"/>
            <w:vAlign w:val="bottom"/>
            <w:gridSpan w:val="2"/>
          </w:tcPr>
          <w:p>
            <w:pPr>
              <w:jc w:val="center"/>
              <w:ind w:right="220"/>
              <w:spacing w:after="0" w:line="182" w:lineRule="exact"/>
              <w:rPr>
                <w:sz w:val="20"/>
                <w:szCs w:val="20"/>
                <w:color w:val="auto"/>
              </w:rPr>
            </w:pPr>
            <w:r>
              <w:rPr>
                <w:rFonts w:ascii="Calibri" w:cs="Calibri" w:eastAsia="Calibri" w:hAnsi="Calibri"/>
                <w:sz w:val="12"/>
                <w:szCs w:val="12"/>
                <w:b w:val="1"/>
                <w:bCs w:val="1"/>
                <w:color w:val="auto"/>
              </w:rPr>
              <w:t>Awards</w:t>
            </w:r>
            <w:r>
              <w:rPr>
                <w:rFonts w:ascii="Calibri" w:cs="Calibri" w:eastAsia="Calibri" w:hAnsi="Calibri"/>
                <w:sz w:val="19"/>
                <w:szCs w:val="19"/>
                <w:b w:val="1"/>
                <w:bCs w:val="1"/>
                <w:color w:val="auto"/>
                <w:vertAlign w:val="superscript"/>
              </w:rPr>
              <w:t>(4)</w:t>
            </w:r>
          </w:p>
        </w:tc>
        <w:tc>
          <w:tcPr>
            <w:tcW w:w="1220" w:type="dxa"/>
            <w:vAlign w:val="bottom"/>
            <w:gridSpan w:val="3"/>
          </w:tcPr>
          <w:p>
            <w:pPr>
              <w:jc w:val="center"/>
              <w:ind w:right="220"/>
              <w:spacing w:after="0" w:line="182" w:lineRule="exact"/>
              <w:rPr>
                <w:sz w:val="20"/>
                <w:szCs w:val="20"/>
                <w:color w:val="auto"/>
              </w:rPr>
            </w:pPr>
            <w:r>
              <w:rPr>
                <w:rFonts w:ascii="Calibri" w:cs="Calibri" w:eastAsia="Calibri" w:hAnsi="Calibri"/>
                <w:sz w:val="12"/>
                <w:szCs w:val="12"/>
                <w:b w:val="1"/>
                <w:bCs w:val="1"/>
                <w:color w:val="auto"/>
              </w:rPr>
              <w:t>Compensaton</w:t>
            </w:r>
            <w:r>
              <w:rPr>
                <w:rFonts w:ascii="Calibri" w:cs="Calibri" w:eastAsia="Calibri" w:hAnsi="Calibri"/>
                <w:sz w:val="19"/>
                <w:szCs w:val="19"/>
                <w:b w:val="1"/>
                <w:bCs w:val="1"/>
                <w:color w:val="auto"/>
                <w:vertAlign w:val="superscript"/>
              </w:rPr>
              <w:t>(5)</w:t>
            </w:r>
          </w:p>
        </w:tc>
        <w:tc>
          <w:tcPr>
            <w:tcW w:w="1200" w:type="dxa"/>
            <w:vAlign w:val="bottom"/>
            <w:gridSpan w:val="3"/>
          </w:tcPr>
          <w:p>
            <w:pPr>
              <w:jc w:val="right"/>
              <w:ind w:right="200"/>
              <w:spacing w:after="0" w:line="182" w:lineRule="exact"/>
              <w:rPr>
                <w:sz w:val="20"/>
                <w:szCs w:val="20"/>
                <w:color w:val="auto"/>
              </w:rPr>
            </w:pPr>
            <w:r>
              <w:rPr>
                <w:rFonts w:ascii="Calibri" w:cs="Calibri" w:eastAsia="Calibri" w:hAnsi="Calibri"/>
                <w:sz w:val="12"/>
                <w:szCs w:val="12"/>
                <w:b w:val="1"/>
                <w:bCs w:val="1"/>
                <w:color w:val="auto"/>
              </w:rPr>
              <w:t>Compensaton</w:t>
            </w:r>
            <w:r>
              <w:rPr>
                <w:rFonts w:ascii="Calibri" w:cs="Calibri" w:eastAsia="Calibri" w:hAnsi="Calibri"/>
                <w:sz w:val="19"/>
                <w:szCs w:val="19"/>
                <w:b w:val="1"/>
                <w:bCs w:val="1"/>
                <w:color w:val="auto"/>
                <w:vertAlign w:val="superscript"/>
              </w:rPr>
              <w:t>(6)</w:t>
            </w:r>
          </w:p>
        </w:tc>
        <w:tc>
          <w:tcPr>
            <w:tcW w:w="900" w:type="dxa"/>
            <w:vAlign w:val="bottom"/>
            <w:gridSpan w:val="2"/>
          </w:tcPr>
          <w:p>
            <w:pPr>
              <w:ind w:left="240"/>
              <w:spacing w:after="0"/>
              <w:rPr>
                <w:sz w:val="20"/>
                <w:szCs w:val="20"/>
                <w:color w:val="auto"/>
              </w:rPr>
            </w:pPr>
            <w:r>
              <w:rPr>
                <w:rFonts w:ascii="Calibri" w:cs="Calibri" w:eastAsia="Calibri" w:hAnsi="Calibri"/>
                <w:sz w:val="14"/>
                <w:szCs w:val="14"/>
                <w:b w:val="1"/>
                <w:bCs w:val="1"/>
                <w:color w:val="auto"/>
              </w:rPr>
              <w:t>Total</w:t>
            </w:r>
          </w:p>
        </w:tc>
      </w:tr>
      <w:tr>
        <w:trPr>
          <w:trHeight w:val="149"/>
        </w:trPr>
        <w:tc>
          <w:tcPr>
            <w:tcW w:w="2980" w:type="dxa"/>
            <w:vAlign w:val="bottom"/>
            <w:gridSpan w:val="2"/>
          </w:tcPr>
          <w:p>
            <w:pPr>
              <w:spacing w:after="0" w:line="149" w:lineRule="exact"/>
              <w:rPr>
                <w:sz w:val="20"/>
                <w:szCs w:val="20"/>
                <w:color w:val="auto"/>
              </w:rPr>
            </w:pPr>
            <w:r>
              <w:rPr>
                <w:rFonts w:ascii="Calibri" w:cs="Calibri" w:eastAsia="Calibri" w:hAnsi="Calibri"/>
                <w:sz w:val="14"/>
                <w:szCs w:val="14"/>
                <w:b w:val="1"/>
                <w:bCs w:val="1"/>
                <w:color w:val="auto"/>
              </w:rPr>
              <w:t>Positon</w:t>
            </w:r>
          </w:p>
        </w:tc>
        <w:tc>
          <w:tcPr>
            <w:tcW w:w="880" w:type="dxa"/>
            <w:vAlign w:val="bottom"/>
            <w:gridSpan w:val="2"/>
          </w:tcPr>
          <w:p>
            <w:pPr>
              <w:jc w:val="center"/>
              <w:ind w:left="20"/>
              <w:spacing w:after="0" w:line="149" w:lineRule="exact"/>
              <w:rPr>
                <w:sz w:val="20"/>
                <w:szCs w:val="20"/>
                <w:color w:val="auto"/>
              </w:rPr>
            </w:pPr>
            <w:r>
              <w:rPr>
                <w:rFonts w:ascii="Calibri" w:cs="Calibri" w:eastAsia="Calibri" w:hAnsi="Calibri"/>
                <w:sz w:val="14"/>
                <w:szCs w:val="14"/>
                <w:b w:val="1"/>
                <w:bCs w:val="1"/>
                <w:color w:val="auto"/>
              </w:rPr>
              <w:t>31,</w:t>
            </w:r>
          </w:p>
        </w:tc>
        <w:tc>
          <w:tcPr>
            <w:tcW w:w="860" w:type="dxa"/>
            <w:vAlign w:val="bottom"/>
            <w:gridSpan w:val="2"/>
          </w:tcPr>
          <w:p>
            <w:pPr>
              <w:jc w:val="right"/>
              <w:ind w:right="226"/>
              <w:spacing w:after="0" w:line="149"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2"/>
                <w:szCs w:val="12"/>
                <w:color w:val="auto"/>
              </w:rPr>
            </w:pPr>
          </w:p>
        </w:tc>
        <w:tc>
          <w:tcPr>
            <w:tcW w:w="760" w:type="dxa"/>
            <w:vAlign w:val="bottom"/>
          </w:tcPr>
          <w:p>
            <w:pPr>
              <w:jc w:val="right"/>
              <w:ind w:right="221"/>
              <w:spacing w:after="0" w:line="149" w:lineRule="exact"/>
              <w:rPr>
                <w:sz w:val="20"/>
                <w:szCs w:val="20"/>
                <w:color w:val="auto"/>
              </w:rPr>
            </w:pPr>
            <w:r>
              <w:rPr>
                <w:rFonts w:ascii="Calibri" w:cs="Calibri" w:eastAsia="Calibri" w:hAnsi="Calibri"/>
                <w:sz w:val="14"/>
                <w:szCs w:val="14"/>
                <w:b w:val="1"/>
                <w:bCs w:val="1"/>
                <w:color w:val="auto"/>
              </w:rPr>
              <w:t>($)</w:t>
            </w:r>
          </w:p>
        </w:tc>
        <w:tc>
          <w:tcPr>
            <w:tcW w:w="980" w:type="dxa"/>
            <w:vAlign w:val="bottom"/>
            <w:gridSpan w:val="2"/>
          </w:tcPr>
          <w:p>
            <w:pPr>
              <w:jc w:val="center"/>
              <w:ind w:left="100"/>
              <w:spacing w:after="0" w:line="149" w:lineRule="exact"/>
              <w:rPr>
                <w:sz w:val="20"/>
                <w:szCs w:val="20"/>
                <w:color w:val="auto"/>
              </w:rPr>
            </w:pPr>
            <w:r>
              <w:rPr>
                <w:rFonts w:ascii="Calibri" w:cs="Calibri" w:eastAsia="Calibri" w:hAnsi="Calibri"/>
                <w:sz w:val="14"/>
                <w:szCs w:val="14"/>
                <w:b w:val="1"/>
                <w:bCs w:val="1"/>
                <w:color w:val="auto"/>
              </w:rPr>
              <w:t>($)</w:t>
            </w:r>
          </w:p>
        </w:tc>
        <w:tc>
          <w:tcPr>
            <w:tcW w:w="1060" w:type="dxa"/>
            <w:vAlign w:val="bottom"/>
            <w:gridSpan w:val="2"/>
          </w:tcPr>
          <w:p>
            <w:pPr>
              <w:jc w:val="center"/>
              <w:ind w:left="181"/>
              <w:spacing w:after="0" w:line="149"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340"/>
              <w:spacing w:after="0" w:line="149"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2"/>
                <w:szCs w:val="12"/>
                <w:color w:val="auto"/>
              </w:rPr>
            </w:pPr>
          </w:p>
        </w:tc>
        <w:tc>
          <w:tcPr>
            <w:tcW w:w="800" w:type="dxa"/>
            <w:vAlign w:val="bottom"/>
          </w:tcPr>
          <w:p>
            <w:pPr>
              <w:jc w:val="right"/>
              <w:ind w:right="240"/>
              <w:spacing w:after="0" w:line="149"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2"/>
                <w:szCs w:val="12"/>
                <w:color w:val="auto"/>
              </w:rPr>
            </w:pPr>
          </w:p>
        </w:tc>
      </w:tr>
      <w:tr>
        <w:trPr>
          <w:trHeight w:val="21"/>
        </w:trPr>
        <w:tc>
          <w:tcPr>
            <w:tcW w:w="500" w:type="dxa"/>
            <w:vAlign w:val="bottom"/>
            <w:tcBorders>
              <w:top w:val="single" w:sz="8" w:color="auto"/>
              <w:bottom w:val="single" w:sz="8" w:color="CFF0FC"/>
            </w:tcBorders>
          </w:tcPr>
          <w:p>
            <w:pPr>
              <w:spacing w:after="0" w:line="20" w:lineRule="exact"/>
              <w:rPr>
                <w:sz w:val="1"/>
                <w:szCs w:val="1"/>
                <w:color w:val="auto"/>
              </w:rPr>
            </w:pPr>
          </w:p>
        </w:tc>
        <w:tc>
          <w:tcPr>
            <w:tcW w:w="24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87"/>
        </w:trPr>
        <w:tc>
          <w:tcPr>
            <w:tcW w:w="2980" w:type="dxa"/>
            <w:vAlign w:val="bottom"/>
            <w:gridSpan w:val="2"/>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center"/>
              <w:spacing w:after="0" w:line="187" w:lineRule="exact"/>
              <w:rPr>
                <w:sz w:val="20"/>
                <w:szCs w:val="20"/>
                <w:color w:val="auto"/>
              </w:rPr>
            </w:pPr>
            <w:r>
              <w:rPr>
                <w:rFonts w:ascii="Calibri" w:cs="Calibri" w:eastAsia="Calibri" w:hAnsi="Calibri"/>
                <w:sz w:val="16"/>
                <w:szCs w:val="16"/>
                <w:color w:val="auto"/>
                <w:w w:val="98"/>
              </w:rPr>
              <w:t>2022</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  900,000</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9"/>
              </w:rPr>
              <w:t>$ 4,000,000</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90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1,641,881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0"/>
              <w:spacing w:after="0" w:line="187" w:lineRule="exact"/>
              <w:rPr>
                <w:sz w:val="20"/>
                <w:szCs w:val="20"/>
                <w:color w:val="auto"/>
              </w:rPr>
            </w:pPr>
            <w:r>
              <w:rPr>
                <w:rFonts w:ascii="Calibri" w:cs="Calibri" w:eastAsia="Calibri" w:hAnsi="Calibri"/>
                <w:sz w:val="16"/>
                <w:szCs w:val="16"/>
                <w:color w:val="auto"/>
                <w:w w:val="73"/>
              </w:rPr>
              <w:t>$</w:t>
            </w:r>
          </w:p>
        </w:tc>
        <w:tc>
          <w:tcPr>
            <w:tcW w:w="84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93,869</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9"/>
              </w:rPr>
              <w:t>$ 6,635,750</w:t>
            </w:r>
          </w:p>
        </w:tc>
        <w:tc>
          <w:tcPr>
            <w:tcW w:w="100" w:type="dxa"/>
            <w:vAlign w:val="bottom"/>
            <w:shd w:val="clear" w:color="auto" w:fill="CFF0FC"/>
          </w:tcPr>
          <w:p>
            <w:pPr>
              <w:spacing w:after="0"/>
              <w:rPr>
                <w:sz w:val="16"/>
                <w:szCs w:val="16"/>
                <w:color w:val="auto"/>
              </w:rPr>
            </w:pPr>
          </w:p>
        </w:tc>
      </w:tr>
      <w:tr>
        <w:trPr>
          <w:trHeight w:val="211"/>
        </w:trPr>
        <w:tc>
          <w:tcPr>
            <w:tcW w:w="2980" w:type="dxa"/>
            <w:vAlign w:val="bottom"/>
            <w:gridSpan w:val="2"/>
            <w:shd w:val="clear" w:color="auto" w:fill="CFF0FC"/>
          </w:tcPr>
          <w:p>
            <w:pPr>
              <w:ind w:left="260"/>
              <w:spacing w:after="0"/>
              <w:rPr>
                <w:sz w:val="20"/>
                <w:szCs w:val="20"/>
                <w:color w:val="auto"/>
              </w:rPr>
            </w:pPr>
            <w:r>
              <w:rPr>
                <w:rFonts w:ascii="Calibri" w:cs="Calibri" w:eastAsia="Calibri" w:hAnsi="Calibri"/>
                <w:sz w:val="16"/>
                <w:szCs w:val="16"/>
                <w:i w:val="1"/>
                <w:iCs w:val="1"/>
                <w:color w:val="auto"/>
              </w:rPr>
              <w:t>President and Chief</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w w:val="98"/>
              </w:rPr>
              <w:t>2021</w:t>
            </w:r>
          </w:p>
        </w:tc>
        <w:tc>
          <w:tcPr>
            <w:tcW w:w="86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824,000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1,750,000</w:t>
            </w:r>
          </w:p>
        </w:tc>
        <w:tc>
          <w:tcPr>
            <w:tcW w:w="106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$ 1,750,000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1,350,000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87,074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5,761,074</w:t>
            </w:r>
          </w:p>
        </w:tc>
        <w:tc>
          <w:tcPr>
            <w:tcW w:w="100" w:type="dxa"/>
            <w:vAlign w:val="bottom"/>
            <w:shd w:val="clear" w:color="auto" w:fill="CFF0FC"/>
          </w:tcPr>
          <w:p>
            <w:pPr>
              <w:spacing w:after="0"/>
              <w:rPr>
                <w:sz w:val="18"/>
                <w:szCs w:val="18"/>
                <w:color w:val="auto"/>
              </w:rPr>
            </w:pPr>
          </w:p>
        </w:tc>
      </w:tr>
      <w:tr>
        <w:trPr>
          <w:trHeight w:val="216"/>
        </w:trPr>
        <w:tc>
          <w:tcPr>
            <w:tcW w:w="2980" w:type="dxa"/>
            <w:vAlign w:val="bottom"/>
            <w:gridSpan w:val="2"/>
            <w:shd w:val="clear" w:color="auto" w:fill="CFF0FC"/>
          </w:tcPr>
          <w:p>
            <w:pPr>
              <w:ind w:left="260"/>
              <w:spacing w:after="0"/>
              <w:rPr>
                <w:sz w:val="20"/>
                <w:szCs w:val="20"/>
                <w:color w:val="auto"/>
              </w:rPr>
            </w:pPr>
            <w:r>
              <w:rPr>
                <w:rFonts w:ascii="Calibri" w:cs="Calibri" w:eastAsia="Calibri" w:hAnsi="Calibri"/>
                <w:sz w:val="16"/>
                <w:szCs w:val="16"/>
                <w:i w:val="1"/>
                <w:iCs w:val="1"/>
                <w:color w:val="auto"/>
              </w:rPr>
              <w:t>Executve Ofcer</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w w:val="98"/>
              </w:rPr>
              <w:t>2020</w:t>
            </w:r>
          </w:p>
        </w:tc>
        <w:tc>
          <w:tcPr>
            <w:tcW w:w="86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800,000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  275,000</w:t>
            </w:r>
          </w:p>
        </w:tc>
        <w:tc>
          <w:tcPr>
            <w:tcW w:w="9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1,450,000</w:t>
            </w:r>
          </w:p>
        </w:tc>
        <w:tc>
          <w:tcPr>
            <w:tcW w:w="106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1,450,000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969,029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80,046</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5,024,075</w:t>
            </w:r>
          </w:p>
        </w:tc>
        <w:tc>
          <w:tcPr>
            <w:tcW w:w="100" w:type="dxa"/>
            <w:vAlign w:val="bottom"/>
            <w:shd w:val="clear" w:color="auto" w:fill="CFF0FC"/>
          </w:tcPr>
          <w:p>
            <w:pPr>
              <w:spacing w:after="0"/>
              <w:rPr>
                <w:sz w:val="18"/>
                <w:szCs w:val="18"/>
                <w:color w:val="auto"/>
              </w:rPr>
            </w:pPr>
          </w:p>
        </w:tc>
      </w:tr>
      <w:tr>
        <w:trPr>
          <w:trHeight w:val="176"/>
        </w:trPr>
        <w:tc>
          <w:tcPr>
            <w:tcW w:w="500" w:type="dxa"/>
            <w:vAlign w:val="bottom"/>
            <w:shd w:val="clear" w:color="auto" w:fill="CFF0FC"/>
          </w:tcPr>
          <w:p>
            <w:pPr>
              <w:spacing w:after="0"/>
              <w:rPr>
                <w:sz w:val="15"/>
                <w:szCs w:val="15"/>
                <w:color w:val="auto"/>
              </w:rPr>
            </w:pPr>
          </w:p>
        </w:tc>
        <w:tc>
          <w:tcPr>
            <w:tcW w:w="2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3"/>
        </w:trPr>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D. Craig Kesler</w:t>
            </w:r>
          </w:p>
        </w:tc>
        <w:tc>
          <w:tcPr>
            <w:tcW w:w="100" w:type="dxa"/>
            <w:vAlign w:val="bottom"/>
          </w:tcPr>
          <w:p>
            <w:pPr>
              <w:spacing w:after="0"/>
              <w:rPr>
                <w:sz w:val="16"/>
                <w:szCs w:val="16"/>
                <w:color w:val="auto"/>
              </w:rPr>
            </w:pPr>
          </w:p>
        </w:tc>
        <w:tc>
          <w:tcPr>
            <w:tcW w:w="78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2022</w:t>
            </w:r>
          </w:p>
        </w:tc>
        <w:tc>
          <w:tcPr>
            <w:tcW w:w="8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500,035</w:t>
            </w:r>
          </w:p>
        </w:tc>
        <w:tc>
          <w:tcPr>
            <w:tcW w:w="20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1,000,000</w:t>
            </w:r>
          </w:p>
        </w:tc>
        <w:tc>
          <w:tcPr>
            <w:tcW w:w="280" w:type="dxa"/>
            <w:vAlign w:val="bottom"/>
          </w:tcPr>
          <w:p>
            <w:pPr>
              <w:spacing w:after="0"/>
              <w:rPr>
                <w:sz w:val="16"/>
                <w:szCs w:val="16"/>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1,260,730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55,938</w:t>
            </w:r>
          </w:p>
        </w:tc>
        <w:tc>
          <w:tcPr>
            <w:tcW w:w="2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2,816,703</w:t>
            </w:r>
          </w:p>
        </w:tc>
        <w:tc>
          <w:tcPr>
            <w:tcW w:w="100" w:type="dxa"/>
            <w:vAlign w:val="bottom"/>
          </w:tcPr>
          <w:p>
            <w:pPr>
              <w:spacing w:after="0"/>
              <w:rPr>
                <w:sz w:val="16"/>
                <w:szCs w:val="16"/>
                <w:color w:val="auto"/>
              </w:rPr>
            </w:pPr>
          </w:p>
        </w:tc>
      </w:tr>
      <w:tr>
        <w:trPr>
          <w:trHeight w:val="211"/>
        </w:trPr>
        <w:tc>
          <w:tcPr>
            <w:tcW w:w="2980" w:type="dxa"/>
            <w:vAlign w:val="bottom"/>
            <w:gridSpan w:val="2"/>
          </w:tcPr>
          <w:p>
            <w:pPr>
              <w:ind w:left="260"/>
              <w:spacing w:after="0"/>
              <w:rPr>
                <w:sz w:val="20"/>
                <w:szCs w:val="20"/>
                <w:color w:val="auto"/>
              </w:rPr>
            </w:pPr>
            <w:r>
              <w:rPr>
                <w:rFonts w:ascii="Calibri" w:cs="Calibri" w:eastAsia="Calibri" w:hAnsi="Calibri"/>
                <w:sz w:val="16"/>
                <w:szCs w:val="16"/>
                <w:i w:val="1"/>
                <w:iCs w:val="1"/>
                <w:color w:val="auto"/>
              </w:rPr>
              <w:t>Executve Vice</w:t>
            </w:r>
          </w:p>
        </w:tc>
        <w:tc>
          <w:tcPr>
            <w:tcW w:w="880" w:type="dxa"/>
            <w:vAlign w:val="bottom"/>
            <w:gridSpan w:val="2"/>
          </w:tcPr>
          <w:p>
            <w:pPr>
              <w:jc w:val="center"/>
              <w:spacing w:after="0"/>
              <w:rPr>
                <w:sz w:val="20"/>
                <w:szCs w:val="20"/>
                <w:color w:val="auto"/>
              </w:rPr>
            </w:pPr>
            <w:r>
              <w:rPr>
                <w:rFonts w:ascii="Calibri" w:cs="Calibri" w:eastAsia="Calibri" w:hAnsi="Calibri"/>
                <w:sz w:val="16"/>
                <w:szCs w:val="16"/>
                <w:color w:val="auto"/>
                <w:w w:val="98"/>
              </w:rPr>
              <w:t>2021</w:t>
            </w:r>
          </w:p>
        </w:tc>
        <w:tc>
          <w:tcPr>
            <w:tcW w:w="860" w:type="dxa"/>
            <w:vAlign w:val="bottom"/>
            <w:gridSpan w:val="2"/>
          </w:tcPr>
          <w:p>
            <w:pPr>
              <w:jc w:val="right"/>
              <w:spacing w:after="0"/>
              <w:rPr>
                <w:sz w:val="20"/>
                <w:szCs w:val="20"/>
                <w:color w:val="auto"/>
              </w:rPr>
            </w:pPr>
            <w:r>
              <w:rPr>
                <w:rFonts w:ascii="Calibri" w:cs="Calibri" w:eastAsia="Calibri" w:hAnsi="Calibri"/>
                <w:sz w:val="16"/>
                <w:szCs w:val="16"/>
                <w:color w:val="auto"/>
              </w:rPr>
              <w:t>500,035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6"/>
                <w:szCs w:val="16"/>
                <w:color w:val="auto"/>
              </w:rPr>
              <w:t>500,000</w:t>
            </w:r>
          </w:p>
        </w:tc>
        <w:tc>
          <w:tcPr>
            <w:tcW w:w="1060" w:type="dxa"/>
            <w:vAlign w:val="bottom"/>
            <w:gridSpan w:val="2"/>
          </w:tcPr>
          <w:p>
            <w:pPr>
              <w:jc w:val="right"/>
              <w:spacing w:after="0"/>
              <w:rPr>
                <w:sz w:val="20"/>
                <w:szCs w:val="20"/>
                <w:color w:val="auto"/>
              </w:rPr>
            </w:pPr>
            <w:r>
              <w:rPr>
                <w:rFonts w:ascii="Calibri" w:cs="Calibri" w:eastAsia="Calibri" w:hAnsi="Calibri"/>
                <w:sz w:val="16"/>
                <w:szCs w:val="16"/>
                <w:color w:val="auto"/>
              </w:rPr>
              <w:t>500,000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Calibri" w:cs="Calibri" w:eastAsia="Calibri" w:hAnsi="Calibri"/>
                <w:sz w:val="16"/>
                <w:szCs w:val="16"/>
                <w:color w:val="auto"/>
              </w:rPr>
              <w:t>1,036,352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54,902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Calibri" w:cs="Calibri" w:eastAsia="Calibri" w:hAnsi="Calibri"/>
                <w:sz w:val="16"/>
                <w:szCs w:val="16"/>
                <w:color w:val="auto"/>
              </w:rPr>
              <w:t>2,591,289</w:t>
            </w:r>
          </w:p>
        </w:tc>
        <w:tc>
          <w:tcPr>
            <w:tcW w:w="100" w:type="dxa"/>
            <w:vAlign w:val="bottom"/>
          </w:tcPr>
          <w:p>
            <w:pPr>
              <w:spacing w:after="0"/>
              <w:rPr>
                <w:sz w:val="18"/>
                <w:szCs w:val="18"/>
                <w:color w:val="auto"/>
              </w:rPr>
            </w:pPr>
          </w:p>
        </w:tc>
      </w:tr>
      <w:tr>
        <w:trPr>
          <w:trHeight w:val="216"/>
        </w:trPr>
        <w:tc>
          <w:tcPr>
            <w:tcW w:w="2980" w:type="dxa"/>
            <w:vAlign w:val="bottom"/>
            <w:gridSpan w:val="2"/>
          </w:tcPr>
          <w:p>
            <w:pPr>
              <w:ind w:left="260"/>
              <w:spacing w:after="0"/>
              <w:rPr>
                <w:sz w:val="20"/>
                <w:szCs w:val="20"/>
                <w:color w:val="auto"/>
              </w:rPr>
            </w:pPr>
            <w:r>
              <w:rPr>
                <w:rFonts w:ascii="Calibri" w:cs="Calibri" w:eastAsia="Calibri" w:hAnsi="Calibri"/>
                <w:sz w:val="16"/>
                <w:szCs w:val="16"/>
                <w:i w:val="1"/>
                <w:iCs w:val="1"/>
                <w:color w:val="auto"/>
              </w:rPr>
              <w:t>President – Finance and</w:t>
            </w:r>
          </w:p>
        </w:tc>
        <w:tc>
          <w:tcPr>
            <w:tcW w:w="880" w:type="dxa"/>
            <w:vAlign w:val="bottom"/>
            <w:gridSpan w:val="2"/>
          </w:tcPr>
          <w:p>
            <w:pPr>
              <w:jc w:val="center"/>
              <w:spacing w:after="0"/>
              <w:rPr>
                <w:sz w:val="20"/>
                <w:szCs w:val="20"/>
                <w:color w:val="auto"/>
              </w:rPr>
            </w:pPr>
            <w:r>
              <w:rPr>
                <w:rFonts w:ascii="Calibri" w:cs="Calibri" w:eastAsia="Calibri" w:hAnsi="Calibri"/>
                <w:sz w:val="16"/>
                <w:szCs w:val="16"/>
                <w:color w:val="auto"/>
                <w:w w:val="98"/>
              </w:rPr>
              <w:t>2020</w:t>
            </w:r>
          </w:p>
        </w:tc>
        <w:tc>
          <w:tcPr>
            <w:tcW w:w="860" w:type="dxa"/>
            <w:vAlign w:val="bottom"/>
            <w:gridSpan w:val="2"/>
          </w:tcPr>
          <w:p>
            <w:pPr>
              <w:jc w:val="right"/>
              <w:spacing w:after="0"/>
              <w:rPr>
                <w:sz w:val="20"/>
                <w:szCs w:val="20"/>
                <w:color w:val="auto"/>
              </w:rPr>
            </w:pPr>
            <w:r>
              <w:rPr>
                <w:rFonts w:ascii="Calibri" w:cs="Calibri" w:eastAsia="Calibri" w:hAnsi="Calibri"/>
                <w:sz w:val="16"/>
                <w:szCs w:val="16"/>
                <w:color w:val="auto"/>
              </w:rPr>
              <w:t>485,000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Calibri" w:cs="Calibri" w:eastAsia="Calibri" w:hAnsi="Calibri"/>
                <w:sz w:val="16"/>
                <w:szCs w:val="16"/>
                <w:color w:val="auto"/>
              </w:rPr>
              <w:t>206,000</w:t>
            </w:r>
          </w:p>
        </w:tc>
        <w:tc>
          <w:tcPr>
            <w:tcW w:w="980" w:type="dxa"/>
            <w:vAlign w:val="bottom"/>
            <w:gridSpan w:val="2"/>
          </w:tcPr>
          <w:p>
            <w:pPr>
              <w:jc w:val="right"/>
              <w:spacing w:after="0"/>
              <w:rPr>
                <w:sz w:val="20"/>
                <w:szCs w:val="20"/>
                <w:color w:val="auto"/>
              </w:rPr>
            </w:pPr>
            <w:r>
              <w:rPr>
                <w:rFonts w:ascii="Calibri" w:cs="Calibri" w:eastAsia="Calibri" w:hAnsi="Calibri"/>
                <w:sz w:val="16"/>
                <w:szCs w:val="16"/>
                <w:color w:val="auto"/>
              </w:rPr>
              <w:t>500,000</w:t>
            </w:r>
          </w:p>
        </w:tc>
        <w:tc>
          <w:tcPr>
            <w:tcW w:w="1060" w:type="dxa"/>
            <w:vAlign w:val="bottom"/>
            <w:gridSpan w:val="2"/>
          </w:tcPr>
          <w:p>
            <w:pPr>
              <w:jc w:val="right"/>
              <w:spacing w:after="0"/>
              <w:rPr>
                <w:sz w:val="20"/>
                <w:szCs w:val="20"/>
                <w:color w:val="auto"/>
              </w:rPr>
            </w:pPr>
            <w:r>
              <w:rPr>
                <w:rFonts w:ascii="Calibri" w:cs="Calibri" w:eastAsia="Calibri" w:hAnsi="Calibri"/>
                <w:sz w:val="16"/>
                <w:szCs w:val="16"/>
                <w:color w:val="auto"/>
              </w:rPr>
              <w:t>500,000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Calibri" w:cs="Calibri" w:eastAsia="Calibri" w:hAnsi="Calibri"/>
                <w:sz w:val="16"/>
                <w:szCs w:val="16"/>
                <w:color w:val="auto"/>
              </w:rPr>
              <w:t>793,681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53,678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Calibri" w:cs="Calibri" w:eastAsia="Calibri" w:hAnsi="Calibri"/>
                <w:sz w:val="16"/>
                <w:szCs w:val="16"/>
                <w:color w:val="auto"/>
              </w:rPr>
              <w:t>2,538,359</w:t>
            </w:r>
          </w:p>
        </w:tc>
        <w:tc>
          <w:tcPr>
            <w:tcW w:w="100" w:type="dxa"/>
            <w:vAlign w:val="bottom"/>
          </w:tcPr>
          <w:p>
            <w:pPr>
              <w:spacing w:after="0"/>
              <w:rPr>
                <w:sz w:val="18"/>
                <w:szCs w:val="18"/>
                <w:color w:val="auto"/>
              </w:rPr>
            </w:pPr>
          </w:p>
        </w:tc>
      </w:tr>
      <w:tr>
        <w:trPr>
          <w:trHeight w:val="216"/>
        </w:trPr>
        <w:tc>
          <w:tcPr>
            <w:tcW w:w="2980" w:type="dxa"/>
            <w:vAlign w:val="bottom"/>
            <w:gridSpan w:val="2"/>
          </w:tcPr>
          <w:p>
            <w:pPr>
              <w:ind w:left="260"/>
              <w:spacing w:after="0"/>
              <w:rPr>
                <w:sz w:val="20"/>
                <w:szCs w:val="20"/>
                <w:color w:val="auto"/>
              </w:rPr>
            </w:pPr>
            <w:r>
              <w:rPr>
                <w:rFonts w:ascii="Calibri" w:cs="Calibri" w:eastAsia="Calibri" w:hAnsi="Calibri"/>
                <w:sz w:val="16"/>
                <w:szCs w:val="16"/>
                <w:i w:val="1"/>
                <w:iCs w:val="1"/>
                <w:color w:val="auto"/>
              </w:rPr>
              <w:t>Administraton &amp; CFO</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980" w:type="dxa"/>
            <w:vAlign w:val="bottom"/>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Robert S. Stewart</w:t>
            </w:r>
          </w:p>
        </w:tc>
        <w:tc>
          <w:tcPr>
            <w:tcW w:w="880" w:type="dxa"/>
            <w:vAlign w:val="bottom"/>
            <w:gridSpan w:val="2"/>
            <w:shd w:val="clear" w:color="auto" w:fill="CFF0FC"/>
          </w:tcPr>
          <w:p>
            <w:pPr>
              <w:jc w:val="center"/>
              <w:spacing w:after="0" w:line="193" w:lineRule="exact"/>
              <w:rPr>
                <w:sz w:val="20"/>
                <w:szCs w:val="20"/>
                <w:color w:val="auto"/>
              </w:rPr>
            </w:pPr>
            <w:r>
              <w:rPr>
                <w:rFonts w:ascii="Calibri" w:cs="Calibri" w:eastAsia="Calibri" w:hAnsi="Calibri"/>
                <w:sz w:val="16"/>
                <w:szCs w:val="16"/>
                <w:color w:val="auto"/>
                <w:w w:val="98"/>
              </w:rPr>
              <w:t>2022</w:t>
            </w:r>
          </w:p>
        </w:tc>
        <w:tc>
          <w:tcPr>
            <w:tcW w:w="8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480,420</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9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900,000</w:t>
            </w:r>
          </w:p>
        </w:tc>
        <w:tc>
          <w:tcPr>
            <w:tcW w:w="2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1,084,814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48,702</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2,513,936</w:t>
            </w:r>
          </w:p>
        </w:tc>
        <w:tc>
          <w:tcPr>
            <w:tcW w:w="100" w:type="dxa"/>
            <w:vAlign w:val="bottom"/>
            <w:shd w:val="clear" w:color="auto" w:fill="CFF0FC"/>
          </w:tcPr>
          <w:p>
            <w:pPr>
              <w:spacing w:after="0"/>
              <w:rPr>
                <w:sz w:val="16"/>
                <w:szCs w:val="16"/>
                <w:color w:val="auto"/>
              </w:rPr>
            </w:pPr>
          </w:p>
        </w:tc>
      </w:tr>
      <w:tr>
        <w:trPr>
          <w:trHeight w:val="211"/>
        </w:trPr>
        <w:tc>
          <w:tcPr>
            <w:tcW w:w="2980" w:type="dxa"/>
            <w:vAlign w:val="bottom"/>
            <w:gridSpan w:val="2"/>
            <w:shd w:val="clear" w:color="auto" w:fill="CFF0FC"/>
          </w:tcPr>
          <w:p>
            <w:pPr>
              <w:ind w:left="260"/>
              <w:spacing w:after="0"/>
              <w:rPr>
                <w:sz w:val="20"/>
                <w:szCs w:val="20"/>
                <w:color w:val="auto"/>
              </w:rPr>
            </w:pPr>
            <w:r>
              <w:rPr>
                <w:rFonts w:ascii="Calibri" w:cs="Calibri" w:eastAsia="Calibri" w:hAnsi="Calibri"/>
                <w:sz w:val="16"/>
                <w:szCs w:val="16"/>
                <w:i w:val="1"/>
                <w:iCs w:val="1"/>
                <w:color w:val="auto"/>
              </w:rPr>
              <w:t>Executve Vice</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w w:val="98"/>
              </w:rPr>
              <w:t>2021</w:t>
            </w:r>
          </w:p>
        </w:tc>
        <w:tc>
          <w:tcPr>
            <w:tcW w:w="86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480,420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900,000</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891,744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47,807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2,319,971</w:t>
            </w:r>
          </w:p>
        </w:tc>
        <w:tc>
          <w:tcPr>
            <w:tcW w:w="100" w:type="dxa"/>
            <w:vAlign w:val="bottom"/>
            <w:shd w:val="clear" w:color="auto" w:fill="CFF0FC"/>
          </w:tcPr>
          <w:p>
            <w:pPr>
              <w:spacing w:after="0"/>
              <w:rPr>
                <w:sz w:val="18"/>
                <w:szCs w:val="18"/>
                <w:color w:val="auto"/>
              </w:rPr>
            </w:pPr>
          </w:p>
        </w:tc>
      </w:tr>
      <w:tr>
        <w:trPr>
          <w:trHeight w:val="216"/>
        </w:trPr>
        <w:tc>
          <w:tcPr>
            <w:tcW w:w="2980" w:type="dxa"/>
            <w:vAlign w:val="bottom"/>
            <w:gridSpan w:val="2"/>
            <w:shd w:val="clear" w:color="auto" w:fill="CFF0FC"/>
          </w:tcPr>
          <w:p>
            <w:pPr>
              <w:ind w:left="260"/>
              <w:spacing w:after="0"/>
              <w:rPr>
                <w:sz w:val="20"/>
                <w:szCs w:val="20"/>
                <w:color w:val="auto"/>
              </w:rPr>
            </w:pPr>
            <w:r>
              <w:rPr>
                <w:rFonts w:ascii="Calibri" w:cs="Calibri" w:eastAsia="Calibri" w:hAnsi="Calibri"/>
                <w:sz w:val="16"/>
                <w:szCs w:val="16"/>
                <w:i w:val="1"/>
                <w:iCs w:val="1"/>
                <w:color w:val="auto"/>
              </w:rPr>
              <w:t>President – Strategy,</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w w:val="98"/>
              </w:rPr>
              <w:t>2020</w:t>
            </w:r>
          </w:p>
        </w:tc>
        <w:tc>
          <w:tcPr>
            <w:tcW w:w="86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471,000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75,000</w:t>
            </w:r>
          </w:p>
        </w:tc>
        <w:tc>
          <w:tcPr>
            <w:tcW w:w="9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900,000</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675,821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47,229</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2,169,050</w:t>
            </w:r>
          </w:p>
        </w:tc>
        <w:tc>
          <w:tcPr>
            <w:tcW w:w="100" w:type="dxa"/>
            <w:vAlign w:val="bottom"/>
            <w:shd w:val="clear" w:color="auto" w:fill="CFF0FC"/>
          </w:tcPr>
          <w:p>
            <w:pPr>
              <w:spacing w:after="0"/>
              <w:rPr>
                <w:sz w:val="18"/>
                <w:szCs w:val="18"/>
                <w:color w:val="auto"/>
              </w:rPr>
            </w:pPr>
          </w:p>
        </w:tc>
      </w:tr>
      <w:tr>
        <w:trPr>
          <w:trHeight w:val="216"/>
        </w:trPr>
        <w:tc>
          <w:tcPr>
            <w:tcW w:w="2980" w:type="dxa"/>
            <w:vAlign w:val="bottom"/>
            <w:gridSpan w:val="2"/>
            <w:shd w:val="clear" w:color="auto" w:fill="CFF0FC"/>
          </w:tcPr>
          <w:p>
            <w:pPr>
              <w:ind w:left="260"/>
              <w:spacing w:after="0"/>
              <w:rPr>
                <w:sz w:val="20"/>
                <w:szCs w:val="20"/>
                <w:color w:val="auto"/>
              </w:rPr>
            </w:pPr>
            <w:r>
              <w:rPr>
                <w:rFonts w:ascii="Calibri" w:cs="Calibri" w:eastAsia="Calibri" w:hAnsi="Calibri"/>
                <w:sz w:val="16"/>
                <w:szCs w:val="16"/>
                <w:i w:val="1"/>
                <w:iCs w:val="1"/>
                <w:color w:val="auto"/>
              </w:rPr>
              <w:t>Corporate Development and</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980" w:type="dxa"/>
            <w:vAlign w:val="bottom"/>
            <w:gridSpan w:val="2"/>
            <w:shd w:val="clear" w:color="auto" w:fill="CFF0FC"/>
          </w:tcPr>
          <w:p>
            <w:pPr>
              <w:ind w:left="260"/>
              <w:spacing w:after="0"/>
              <w:rPr>
                <w:sz w:val="20"/>
                <w:szCs w:val="20"/>
                <w:color w:val="auto"/>
              </w:rPr>
            </w:pPr>
            <w:r>
              <w:rPr>
                <w:rFonts w:ascii="Calibri" w:cs="Calibri" w:eastAsia="Calibri" w:hAnsi="Calibri"/>
                <w:sz w:val="16"/>
                <w:szCs w:val="16"/>
                <w:i w:val="1"/>
                <w:iCs w:val="1"/>
                <w:color w:val="auto"/>
              </w:rPr>
              <w:t>Communicatons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6"/>
        </w:trPr>
        <w:tc>
          <w:tcPr>
            <w:tcW w:w="500" w:type="dxa"/>
            <w:vAlign w:val="bottom"/>
            <w:shd w:val="clear" w:color="auto" w:fill="CFF0FC"/>
          </w:tcPr>
          <w:p>
            <w:pPr>
              <w:spacing w:after="0"/>
              <w:rPr>
                <w:sz w:val="15"/>
                <w:szCs w:val="15"/>
                <w:color w:val="auto"/>
              </w:rPr>
            </w:pPr>
          </w:p>
        </w:tc>
        <w:tc>
          <w:tcPr>
            <w:tcW w:w="2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3"/>
        </w:trPr>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James H. Graass</w:t>
            </w:r>
          </w:p>
        </w:tc>
        <w:tc>
          <w:tcPr>
            <w:tcW w:w="100" w:type="dxa"/>
            <w:vAlign w:val="bottom"/>
          </w:tcPr>
          <w:p>
            <w:pPr>
              <w:spacing w:after="0"/>
              <w:rPr>
                <w:sz w:val="16"/>
                <w:szCs w:val="16"/>
                <w:color w:val="auto"/>
              </w:rPr>
            </w:pPr>
          </w:p>
        </w:tc>
        <w:tc>
          <w:tcPr>
            <w:tcW w:w="78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2022</w:t>
            </w:r>
          </w:p>
        </w:tc>
        <w:tc>
          <w:tcPr>
            <w:tcW w:w="10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Calibri" w:cs="Calibri" w:eastAsia="Calibri" w:hAnsi="Calibri"/>
                <w:sz w:val="16"/>
                <w:szCs w:val="16"/>
                <w:color w:val="auto"/>
              </w:rPr>
              <w:t>451,000</w:t>
            </w:r>
          </w:p>
        </w:tc>
        <w:tc>
          <w:tcPr>
            <w:tcW w:w="20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800,000</w:t>
            </w:r>
          </w:p>
        </w:tc>
        <w:tc>
          <w:tcPr>
            <w:tcW w:w="280" w:type="dxa"/>
            <w:vAlign w:val="bottom"/>
          </w:tcPr>
          <w:p>
            <w:pPr>
              <w:spacing w:after="0"/>
              <w:rPr>
                <w:sz w:val="16"/>
                <w:szCs w:val="16"/>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1,084,814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47,693</w:t>
            </w:r>
          </w:p>
        </w:tc>
        <w:tc>
          <w:tcPr>
            <w:tcW w:w="2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2,383,507</w:t>
            </w:r>
          </w:p>
        </w:tc>
        <w:tc>
          <w:tcPr>
            <w:tcW w:w="100" w:type="dxa"/>
            <w:vAlign w:val="bottom"/>
          </w:tcPr>
          <w:p>
            <w:pPr>
              <w:spacing w:after="0"/>
              <w:rPr>
                <w:sz w:val="16"/>
                <w:szCs w:val="16"/>
                <w:color w:val="auto"/>
              </w:rPr>
            </w:pPr>
          </w:p>
        </w:tc>
      </w:tr>
      <w:tr>
        <w:trPr>
          <w:trHeight w:val="211"/>
        </w:trPr>
        <w:tc>
          <w:tcPr>
            <w:tcW w:w="2980" w:type="dxa"/>
            <w:vAlign w:val="bottom"/>
            <w:gridSpan w:val="2"/>
          </w:tcPr>
          <w:p>
            <w:pPr>
              <w:ind w:left="260"/>
              <w:spacing w:after="0"/>
              <w:rPr>
                <w:sz w:val="20"/>
                <w:szCs w:val="20"/>
                <w:color w:val="auto"/>
              </w:rPr>
            </w:pPr>
            <w:r>
              <w:rPr>
                <w:rFonts w:ascii="Calibri" w:cs="Calibri" w:eastAsia="Calibri" w:hAnsi="Calibri"/>
                <w:sz w:val="16"/>
                <w:szCs w:val="16"/>
                <w:i w:val="1"/>
                <w:iCs w:val="1"/>
                <w:color w:val="auto"/>
              </w:rPr>
              <w:t>Executve Vice President</w:t>
            </w:r>
          </w:p>
        </w:tc>
        <w:tc>
          <w:tcPr>
            <w:tcW w:w="880" w:type="dxa"/>
            <w:vAlign w:val="bottom"/>
            <w:gridSpan w:val="2"/>
          </w:tcPr>
          <w:p>
            <w:pPr>
              <w:jc w:val="center"/>
              <w:spacing w:after="0"/>
              <w:rPr>
                <w:sz w:val="20"/>
                <w:szCs w:val="20"/>
                <w:color w:val="auto"/>
              </w:rPr>
            </w:pPr>
            <w:r>
              <w:rPr>
                <w:rFonts w:ascii="Calibri" w:cs="Calibri" w:eastAsia="Calibri" w:hAnsi="Calibri"/>
                <w:sz w:val="16"/>
                <w:szCs w:val="16"/>
                <w:color w:val="auto"/>
                <w:w w:val="98"/>
              </w:rPr>
              <w:t>2021</w:t>
            </w:r>
          </w:p>
        </w:tc>
        <w:tc>
          <w:tcPr>
            <w:tcW w:w="860" w:type="dxa"/>
            <w:vAlign w:val="bottom"/>
            <w:gridSpan w:val="2"/>
          </w:tcPr>
          <w:p>
            <w:pPr>
              <w:jc w:val="right"/>
              <w:spacing w:after="0"/>
              <w:rPr>
                <w:sz w:val="20"/>
                <w:szCs w:val="20"/>
                <w:color w:val="auto"/>
              </w:rPr>
            </w:pPr>
            <w:r>
              <w:rPr>
                <w:rFonts w:ascii="Calibri" w:cs="Calibri" w:eastAsia="Calibri" w:hAnsi="Calibri"/>
                <w:sz w:val="16"/>
                <w:szCs w:val="16"/>
                <w:color w:val="auto"/>
              </w:rPr>
              <w:t>451,000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6"/>
                <w:szCs w:val="16"/>
                <w:color w:val="auto"/>
              </w:rPr>
              <w:t>800,000</w:t>
            </w: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Calibri" w:cs="Calibri" w:eastAsia="Calibri" w:hAnsi="Calibri"/>
                <w:sz w:val="16"/>
                <w:szCs w:val="16"/>
                <w:color w:val="auto"/>
              </w:rPr>
              <w:t>891,744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47,087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Calibri" w:cs="Calibri" w:eastAsia="Calibri" w:hAnsi="Calibri"/>
                <w:sz w:val="16"/>
                <w:szCs w:val="16"/>
                <w:color w:val="auto"/>
              </w:rPr>
              <w:t>2,189,831</w:t>
            </w:r>
          </w:p>
        </w:tc>
        <w:tc>
          <w:tcPr>
            <w:tcW w:w="100" w:type="dxa"/>
            <w:vAlign w:val="bottom"/>
          </w:tcPr>
          <w:p>
            <w:pPr>
              <w:spacing w:after="0"/>
              <w:rPr>
                <w:sz w:val="18"/>
                <w:szCs w:val="18"/>
                <w:color w:val="auto"/>
              </w:rPr>
            </w:pPr>
          </w:p>
        </w:tc>
      </w:tr>
      <w:tr>
        <w:trPr>
          <w:trHeight w:val="216"/>
        </w:trPr>
        <w:tc>
          <w:tcPr>
            <w:tcW w:w="2980" w:type="dxa"/>
            <w:vAlign w:val="bottom"/>
            <w:gridSpan w:val="2"/>
          </w:tcPr>
          <w:p>
            <w:pPr>
              <w:ind w:left="260"/>
              <w:spacing w:after="0"/>
              <w:rPr>
                <w:sz w:val="20"/>
                <w:szCs w:val="20"/>
                <w:color w:val="auto"/>
              </w:rPr>
            </w:pPr>
            <w:r>
              <w:rPr>
                <w:rFonts w:ascii="Calibri" w:cs="Calibri" w:eastAsia="Calibri" w:hAnsi="Calibri"/>
                <w:sz w:val="16"/>
                <w:szCs w:val="16"/>
                <w:i w:val="1"/>
                <w:iCs w:val="1"/>
                <w:color w:val="auto"/>
              </w:rPr>
              <w:t>General Counsel and</w:t>
            </w:r>
          </w:p>
        </w:tc>
        <w:tc>
          <w:tcPr>
            <w:tcW w:w="880" w:type="dxa"/>
            <w:vAlign w:val="bottom"/>
            <w:gridSpan w:val="2"/>
          </w:tcPr>
          <w:p>
            <w:pPr>
              <w:jc w:val="center"/>
              <w:spacing w:after="0"/>
              <w:rPr>
                <w:sz w:val="20"/>
                <w:szCs w:val="20"/>
                <w:color w:val="auto"/>
              </w:rPr>
            </w:pPr>
            <w:r>
              <w:rPr>
                <w:rFonts w:ascii="Calibri" w:cs="Calibri" w:eastAsia="Calibri" w:hAnsi="Calibri"/>
                <w:sz w:val="16"/>
                <w:szCs w:val="16"/>
                <w:color w:val="auto"/>
                <w:w w:val="98"/>
              </w:rPr>
              <w:t>2020</w:t>
            </w:r>
          </w:p>
        </w:tc>
        <w:tc>
          <w:tcPr>
            <w:tcW w:w="860" w:type="dxa"/>
            <w:vAlign w:val="bottom"/>
            <w:gridSpan w:val="2"/>
          </w:tcPr>
          <w:p>
            <w:pPr>
              <w:jc w:val="right"/>
              <w:spacing w:after="0"/>
              <w:rPr>
                <w:sz w:val="20"/>
                <w:szCs w:val="20"/>
                <w:color w:val="auto"/>
              </w:rPr>
            </w:pPr>
            <w:r>
              <w:rPr>
                <w:rFonts w:ascii="Calibri" w:cs="Calibri" w:eastAsia="Calibri" w:hAnsi="Calibri"/>
                <w:sz w:val="16"/>
                <w:szCs w:val="16"/>
                <w:color w:val="auto"/>
              </w:rPr>
              <w:t>440,000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Calibri" w:cs="Calibri" w:eastAsia="Calibri" w:hAnsi="Calibri"/>
                <w:sz w:val="16"/>
                <w:szCs w:val="16"/>
                <w:color w:val="auto"/>
              </w:rPr>
              <w:t>125,000</w:t>
            </w:r>
          </w:p>
        </w:tc>
        <w:tc>
          <w:tcPr>
            <w:tcW w:w="980" w:type="dxa"/>
            <w:vAlign w:val="bottom"/>
            <w:gridSpan w:val="2"/>
          </w:tcPr>
          <w:p>
            <w:pPr>
              <w:jc w:val="right"/>
              <w:spacing w:after="0"/>
              <w:rPr>
                <w:sz w:val="20"/>
                <w:szCs w:val="20"/>
                <w:color w:val="auto"/>
              </w:rPr>
            </w:pPr>
            <w:r>
              <w:rPr>
                <w:rFonts w:ascii="Calibri" w:cs="Calibri" w:eastAsia="Calibri" w:hAnsi="Calibri"/>
                <w:sz w:val="16"/>
                <w:szCs w:val="16"/>
                <w:color w:val="auto"/>
              </w:rPr>
              <w:t>800,000</w:t>
            </w: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Calibri" w:cs="Calibri" w:eastAsia="Calibri" w:hAnsi="Calibri"/>
                <w:sz w:val="16"/>
                <w:szCs w:val="16"/>
                <w:color w:val="auto"/>
              </w:rPr>
              <w:t>675,821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46,836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Calibri" w:cs="Calibri" w:eastAsia="Calibri" w:hAnsi="Calibri"/>
                <w:sz w:val="16"/>
                <w:szCs w:val="16"/>
                <w:color w:val="auto"/>
              </w:rPr>
              <w:t>2,087,657</w:t>
            </w:r>
          </w:p>
        </w:tc>
        <w:tc>
          <w:tcPr>
            <w:tcW w:w="100" w:type="dxa"/>
            <w:vAlign w:val="bottom"/>
          </w:tcPr>
          <w:p>
            <w:pPr>
              <w:spacing w:after="0"/>
              <w:rPr>
                <w:sz w:val="18"/>
                <w:szCs w:val="18"/>
                <w:color w:val="auto"/>
              </w:rPr>
            </w:pPr>
          </w:p>
        </w:tc>
      </w:tr>
      <w:tr>
        <w:trPr>
          <w:trHeight w:val="216"/>
        </w:trPr>
        <w:tc>
          <w:tcPr>
            <w:tcW w:w="2980" w:type="dxa"/>
            <w:vAlign w:val="bottom"/>
            <w:gridSpan w:val="2"/>
          </w:tcPr>
          <w:p>
            <w:pPr>
              <w:ind w:left="260"/>
              <w:spacing w:after="0"/>
              <w:rPr>
                <w:sz w:val="20"/>
                <w:szCs w:val="20"/>
                <w:color w:val="auto"/>
              </w:rPr>
            </w:pPr>
            <w:r>
              <w:rPr>
                <w:rFonts w:ascii="Calibri" w:cs="Calibri" w:eastAsia="Calibri" w:hAnsi="Calibri"/>
                <w:sz w:val="16"/>
                <w:szCs w:val="16"/>
                <w:i w:val="1"/>
                <w:iCs w:val="1"/>
                <w:color w:val="auto"/>
              </w:rPr>
              <w:t>Secretary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8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980" w:type="dxa"/>
            <w:vAlign w:val="bottom"/>
            <w:gridSpan w:val="2"/>
            <w:shd w:val="clear" w:color="auto" w:fill="CFF0FC"/>
          </w:tcPr>
          <w:p>
            <w:pPr>
              <w:spacing w:after="0" w:line="216" w:lineRule="exact"/>
              <w:rPr>
                <w:sz w:val="20"/>
                <w:szCs w:val="20"/>
                <w:color w:val="auto"/>
              </w:rPr>
            </w:pPr>
            <w:r>
              <w:rPr>
                <w:rFonts w:ascii="Calibri" w:cs="Calibri" w:eastAsia="Calibri" w:hAnsi="Calibri"/>
                <w:sz w:val="14"/>
                <w:szCs w:val="14"/>
                <w:color w:val="auto"/>
              </w:rPr>
              <w:t xml:space="preserve">Steven L. Wentzel </w:t>
            </w:r>
            <w:r>
              <w:rPr>
                <w:rFonts w:ascii="Calibri" w:cs="Calibri" w:eastAsia="Calibri" w:hAnsi="Calibri"/>
                <w:sz w:val="23"/>
                <w:szCs w:val="23"/>
                <w:color w:val="auto"/>
                <w:vertAlign w:val="superscript"/>
              </w:rPr>
              <w:t>(7)</w:t>
            </w:r>
          </w:p>
        </w:tc>
        <w:tc>
          <w:tcPr>
            <w:tcW w:w="880" w:type="dxa"/>
            <w:vAlign w:val="bottom"/>
            <w:gridSpan w:val="2"/>
            <w:shd w:val="clear" w:color="auto" w:fill="CFF0FC"/>
          </w:tcPr>
          <w:p>
            <w:pPr>
              <w:jc w:val="center"/>
              <w:spacing w:after="0" w:line="193" w:lineRule="exact"/>
              <w:rPr>
                <w:sz w:val="20"/>
                <w:szCs w:val="20"/>
                <w:color w:val="auto"/>
              </w:rPr>
            </w:pPr>
            <w:r>
              <w:rPr>
                <w:rFonts w:ascii="Calibri" w:cs="Calibri" w:eastAsia="Calibri" w:hAnsi="Calibri"/>
                <w:sz w:val="16"/>
                <w:szCs w:val="16"/>
                <w:color w:val="auto"/>
                <w:w w:val="98"/>
              </w:rPr>
              <w:t>2022</w:t>
            </w:r>
          </w:p>
        </w:tc>
        <w:tc>
          <w:tcPr>
            <w:tcW w:w="8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339,900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9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600,000</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672,047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36,862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1,648,809</w:t>
            </w:r>
          </w:p>
        </w:tc>
        <w:tc>
          <w:tcPr>
            <w:tcW w:w="100" w:type="dxa"/>
            <w:vAlign w:val="bottom"/>
            <w:shd w:val="clear" w:color="auto" w:fill="CFF0FC"/>
          </w:tcPr>
          <w:p>
            <w:pPr>
              <w:spacing w:after="0"/>
              <w:rPr>
                <w:sz w:val="18"/>
                <w:szCs w:val="18"/>
                <w:color w:val="auto"/>
              </w:rPr>
            </w:pPr>
          </w:p>
        </w:tc>
      </w:tr>
      <w:tr>
        <w:trPr>
          <w:trHeight w:val="194"/>
        </w:trPr>
        <w:tc>
          <w:tcPr>
            <w:tcW w:w="2980" w:type="dxa"/>
            <w:vAlign w:val="bottom"/>
            <w:gridSpan w:val="2"/>
            <w:shd w:val="clear" w:color="auto" w:fill="CFF0FC"/>
          </w:tcPr>
          <w:p>
            <w:pPr>
              <w:ind w:left="260"/>
              <w:spacing w:after="0" w:line="193" w:lineRule="exact"/>
              <w:rPr>
                <w:sz w:val="20"/>
                <w:szCs w:val="20"/>
                <w:color w:val="auto"/>
              </w:rPr>
            </w:pPr>
            <w:r>
              <w:rPr>
                <w:rFonts w:ascii="Calibri" w:cs="Calibri" w:eastAsia="Calibri" w:hAnsi="Calibri"/>
                <w:sz w:val="16"/>
                <w:szCs w:val="16"/>
                <w:i w:val="1"/>
                <w:iCs w:val="1"/>
                <w:color w:val="auto"/>
              </w:rPr>
              <w:t>President - American</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center"/>
              <w:spacing w:after="0" w:line="193" w:lineRule="exact"/>
              <w:rPr>
                <w:sz w:val="20"/>
                <w:szCs w:val="20"/>
                <w:color w:val="auto"/>
              </w:rPr>
            </w:pPr>
            <w:r>
              <w:rPr>
                <w:rFonts w:ascii="Calibri" w:cs="Calibri" w:eastAsia="Calibri" w:hAnsi="Calibri"/>
                <w:sz w:val="16"/>
                <w:szCs w:val="16"/>
                <w:color w:val="auto"/>
                <w:w w:val="98"/>
              </w:rPr>
              <w:t>2021</w:t>
            </w:r>
          </w:p>
        </w:tc>
        <w:tc>
          <w:tcPr>
            <w:tcW w:w="8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330,000</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9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600,000</w:t>
            </w:r>
          </w:p>
        </w:tc>
        <w:tc>
          <w:tcPr>
            <w:tcW w:w="2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606,038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34,125</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1,570,163</w:t>
            </w:r>
          </w:p>
        </w:tc>
        <w:tc>
          <w:tcPr>
            <w:tcW w:w="100" w:type="dxa"/>
            <w:vAlign w:val="bottom"/>
            <w:shd w:val="clear" w:color="auto" w:fill="CFF0FC"/>
          </w:tcPr>
          <w:p>
            <w:pPr>
              <w:spacing w:after="0"/>
              <w:rPr>
                <w:sz w:val="16"/>
                <w:szCs w:val="16"/>
                <w:color w:val="auto"/>
              </w:rPr>
            </w:pPr>
          </w:p>
        </w:tc>
      </w:tr>
      <w:tr>
        <w:trPr>
          <w:trHeight w:val="211"/>
        </w:trPr>
        <w:tc>
          <w:tcPr>
            <w:tcW w:w="2980" w:type="dxa"/>
            <w:vAlign w:val="bottom"/>
            <w:gridSpan w:val="2"/>
            <w:shd w:val="clear" w:color="auto" w:fill="CFF0FC"/>
          </w:tcPr>
          <w:p>
            <w:pPr>
              <w:ind w:left="260"/>
              <w:spacing w:after="0"/>
              <w:rPr>
                <w:sz w:val="20"/>
                <w:szCs w:val="20"/>
                <w:color w:val="auto"/>
              </w:rPr>
            </w:pPr>
            <w:r>
              <w:rPr>
                <w:rFonts w:ascii="Calibri" w:cs="Calibri" w:eastAsia="Calibri" w:hAnsi="Calibri"/>
                <w:sz w:val="16"/>
                <w:szCs w:val="16"/>
                <w:i w:val="1"/>
                <w:iCs w:val="1"/>
                <w:color w:val="auto"/>
              </w:rPr>
              <w:t>Gypsum Company LLC</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
        </w:trPr>
        <w:tc>
          <w:tcPr>
            <w:tcW w:w="500" w:type="dxa"/>
            <w:vAlign w:val="bottom"/>
            <w:shd w:val="clear" w:color="auto" w:fill="CFF0FC"/>
          </w:tcPr>
          <w:p>
            <w:pPr>
              <w:spacing w:after="0"/>
              <w:rPr>
                <w:sz w:val="2"/>
                <w:szCs w:val="2"/>
                <w:color w:val="auto"/>
              </w:rPr>
            </w:pPr>
          </w:p>
        </w:tc>
        <w:tc>
          <w:tcPr>
            <w:tcW w:w="24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196" w:lineRule="exact"/>
        <w:rPr>
          <w:sz w:val="20"/>
          <w:szCs w:val="20"/>
          <w:color w:val="auto"/>
        </w:rPr>
      </w:pPr>
    </w:p>
    <w:p>
      <w:pPr>
        <w:ind w:left="220" w:right="80" w:hanging="201"/>
        <w:spacing w:after="0" w:line="235" w:lineRule="auto"/>
        <w:rPr>
          <w:sz w:val="20"/>
          <w:szCs w:val="20"/>
          <w:color w:val="auto"/>
        </w:rPr>
      </w:pPr>
      <w:r>
        <w:rPr>
          <w:rFonts w:ascii="Calibri" w:cs="Calibri" w:eastAsia="Calibri" w:hAnsi="Calibri"/>
          <w:sz w:val="18"/>
          <w:szCs w:val="18"/>
          <w:color w:val="auto"/>
        </w:rPr>
        <w:t>(1)Includes amounts deferred on a pre-tax or afer-tax basis at the electon of the executve under our Retrement Plan, which is described in greater detail under “Retrement Plan” on page 30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22288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10712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ind w:left="220" w:hanging="201"/>
        <w:spacing w:after="0" w:line="235" w:lineRule="auto"/>
        <w:rPr>
          <w:sz w:val="20"/>
          <w:szCs w:val="20"/>
          <w:color w:val="auto"/>
        </w:rPr>
      </w:pPr>
      <w:r>
        <w:rPr>
          <w:rFonts w:ascii="Calibri" w:cs="Calibri" w:eastAsia="Calibri" w:hAnsi="Calibri"/>
          <w:sz w:val="18"/>
          <w:szCs w:val="18"/>
          <w:color w:val="auto"/>
        </w:rPr>
        <w:t>(2)The amounts in this column represent payments to the Named Executve Ofcer under the Company’s Special Situaton Program for the applicable fscal year.</w:t>
      </w:r>
    </w:p>
    <w:p>
      <w:pPr>
        <w:spacing w:after="0" w:line="3" w:lineRule="exact"/>
        <w:rPr>
          <w:sz w:val="20"/>
          <w:szCs w:val="20"/>
          <w:color w:val="auto"/>
        </w:rPr>
      </w:pPr>
    </w:p>
    <w:p>
      <w:pPr>
        <w:ind w:left="220" w:hanging="201"/>
        <w:spacing w:after="0" w:line="249" w:lineRule="auto"/>
        <w:rPr>
          <w:sz w:val="20"/>
          <w:szCs w:val="20"/>
          <w:color w:val="auto"/>
        </w:rPr>
      </w:pPr>
      <w:r>
        <w:rPr>
          <w:rFonts w:ascii="Calibri" w:cs="Calibri" w:eastAsia="Calibri" w:hAnsi="Calibri"/>
          <w:sz w:val="17"/>
          <w:szCs w:val="17"/>
          <w:color w:val="auto"/>
        </w:rPr>
        <w:t>(3)The amounts in this column refect the value of restricted stock awards made to the Named Executve Ofcer in each of the fscal years presented and are consistent with the grant date fair value of the award computed in accordance with FASB ASC Topic 718. For assumptons used in determining these values, refer to (a) footnote (L) to the Company’s audited fnancial statements for the fscal year ended March 31, 2022 included in the Fiscal 2022 Form 10-K; (b) footnote (L) to the Company’s audited fnancial statements for the fscal year ended March 31, 2021 included in the Fiscal 2021 Form 10-K; and (c) footnote (L) to the Company’s audited fnancial statements for the fscal year ended March 31, 2020 included in the Company’s Annual Report on Form 10-K, fled with the SEC on May 22, 2020, or “Fiscal 2020 Form 10-K.” The amounts in this column assume achievement of less than the highest level of performance conditons, and the following refects the amounts for this award assuming the highest level of performance conditons (i.e., the maximum amounts payable): Fiscal 2022: Mr. Haack - $4,400,000; Mr. Kesler - $1,100,000; Mr. Stewart - $990,000; Mr. Graass - $880,000; and Mr. Wentzel - $660,000. Fiscal 2021: Mr. Haack - $1,925,000;</w:t>
      </w:r>
    </w:p>
    <w:p>
      <w:pPr>
        <w:spacing w:after="0" w:line="13" w:lineRule="exact"/>
        <w:rPr>
          <w:sz w:val="20"/>
          <w:szCs w:val="20"/>
          <w:color w:val="auto"/>
        </w:rPr>
      </w:pPr>
    </w:p>
    <w:p>
      <w:pPr>
        <w:ind w:left="220" w:right="280"/>
        <w:spacing w:after="0" w:line="235" w:lineRule="auto"/>
        <w:rPr>
          <w:sz w:val="20"/>
          <w:szCs w:val="20"/>
          <w:color w:val="auto"/>
        </w:rPr>
      </w:pPr>
      <w:r>
        <w:rPr>
          <w:rFonts w:ascii="Calibri" w:cs="Calibri" w:eastAsia="Calibri" w:hAnsi="Calibri"/>
          <w:sz w:val="18"/>
          <w:szCs w:val="18"/>
          <w:color w:val="auto"/>
        </w:rPr>
        <w:t>Mr. Kesler - $550,000; Mr. Stewart - $990,000; Mr. Graass - $880,000; and Mr. Wentzel - $660,000. Fiscal 2020: Mr. Haack - $1,595,000; Mr. Kesler - $550,000; Mr. Stewart - $990,000; and Mr. Graass - $880,000.</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80" w:hanging="202"/>
        <w:spacing w:after="0" w:line="235" w:lineRule="auto"/>
        <w:rPr>
          <w:sz w:val="20"/>
          <w:szCs w:val="20"/>
          <w:color w:val="auto"/>
        </w:rPr>
      </w:pPr>
      <w:r>
        <w:rPr>
          <w:rFonts w:ascii="Calibri" w:cs="Calibri" w:eastAsia="Calibri" w:hAnsi="Calibri"/>
          <w:sz w:val="18"/>
          <w:szCs w:val="18"/>
          <w:color w:val="auto"/>
        </w:rPr>
        <w:t>(4)The amounts in this column refect the value of opton awards made to the Named Executve Ofcer in each of the fscal years presented and are consistent with the grant date fair value of the award computed in accordance with FASB ASC Topic 718. For assumptons used in determining these values, refer to (a) footnote (L) to the Company’s audited fnancial statements for the fscal year ended March 31, 2022 included in the Fiscal 2022 Form 10-K; (b) footnote (L) to the Company’s audited fnancial statements for the fscal year ended March 31, 2021 included in the Fiscal 2021 Form 10-K; and (c) footnote (L) to the Company’s audited fnancial statements for the fscal year ended March 31, 2020 included in the Fiscal 2020 Form 10-K. The amounts in this column assume achievement of less than the highest level of performance conditons, and the following refects the amounts for this award assuming the highest level of performance conditons (i.e., the maximum amounts payable): Fiscal 2021: Mr. Haack - $1,925,000; and Mr. Kesler -</w:t>
      </w:r>
    </w:p>
    <w:p>
      <w:pPr>
        <w:spacing w:after="0" w:line="2954" w:lineRule="exact"/>
        <w:rPr>
          <w:sz w:val="20"/>
          <w:szCs w:val="20"/>
          <w:color w:val="auto"/>
        </w:rPr>
      </w:pPr>
    </w:p>
    <w:p>
      <w:pPr>
        <w:sectPr>
          <w:pgSz w:w="11900" w:h="16838" w:orient="portrait"/>
          <w:cols w:equalWidth="0" w:num="2">
            <w:col w:w="5400" w:space="660"/>
            <w:col w:w="5180"/>
          </w:cols>
          <w:pgMar w:left="320" w:top="112" w:right="339" w:bottom="1440" w:gutter="0" w:footer="0" w:header="0"/>
          <w:type w:val="continuous"/>
        </w:sectPr>
      </w:pPr>
    </w:p>
    <w:p>
      <w:pPr>
        <w:ind w:left="4060"/>
        <w:spacing w:after="0" w:line="231" w:lineRule="auto"/>
        <w:rPr>
          <w:sz w:val="20"/>
          <w:szCs w:val="20"/>
          <w:color w:val="auto"/>
        </w:rPr>
      </w:pPr>
      <w:r>
        <w:rPr>
          <w:rFonts w:ascii="Calibri" w:cs="Calibri" w:eastAsia="Calibri" w:hAnsi="Calibri"/>
          <w:sz w:val="20"/>
          <w:szCs w:val="20"/>
          <w:color w:val="auto"/>
        </w:rPr>
        <w:t>_______________________________</w:t>
      </w:r>
    </w:p>
    <w:p>
      <w:pPr>
        <w:jc w:val="center"/>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39" w:name="page40"/>
    <w:bookmarkEnd w:id="39"/>
    <w:p>
      <w:pPr>
        <w:ind w:left="340"/>
        <w:spacing w:after="0"/>
        <w:rPr>
          <w:sz w:val="20"/>
          <w:szCs w:val="20"/>
          <w:color w:val="auto"/>
        </w:rPr>
      </w:pPr>
      <w:r>
        <w:rPr>
          <w:rFonts w:ascii="Calibri" w:cs="Calibri" w:eastAsia="Calibri" w:hAnsi="Calibri"/>
          <w:sz w:val="18"/>
          <w:szCs w:val="18"/>
          <w:color w:val="auto"/>
        </w:rPr>
        <w:t>$550,000. Fiscal 2020: Mr. Haack - $1,595,000; and Mr. Kesler - $550,000.</w:t>
      </w:r>
    </w:p>
    <w:p>
      <w:pPr>
        <w:spacing w:after="0" w:line="1" w:lineRule="exact"/>
        <w:rPr>
          <w:sz w:val="20"/>
          <w:szCs w:val="20"/>
          <w:color w:val="auto"/>
        </w:rPr>
      </w:pPr>
    </w:p>
    <w:p>
      <w:pPr>
        <w:ind w:left="340" w:right="260" w:hanging="332"/>
        <w:spacing w:after="0" w:line="235" w:lineRule="auto"/>
        <w:tabs>
          <w:tab w:leader="none" w:pos="3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amounts in this column represent payments to the Named Executve Ofcer under the applicable annual incentve compensaton program for the applicable fscal year.</w:t>
      </w:r>
    </w:p>
    <w:p>
      <w:pPr>
        <w:spacing w:after="0" w:line="236" w:lineRule="auto"/>
        <w:rPr>
          <w:sz w:val="20"/>
          <w:szCs w:val="20"/>
          <w:color w:val="auto"/>
        </w:rPr>
      </w:pPr>
      <w:r>
        <w:rPr>
          <w:rFonts w:ascii="Calibri" w:cs="Calibri" w:eastAsia="Calibri" w:hAnsi="Calibri"/>
          <w:sz w:val="18"/>
          <w:szCs w:val="18"/>
          <w:color w:val="auto"/>
        </w:rPr>
        <w:t>(6)The amounts shown in this column represent: (a) Company proft</w:t>
      </w:r>
    </w:p>
    <w:p>
      <w:pPr>
        <w:ind w:left="220"/>
        <w:spacing w:after="0" w:line="236" w:lineRule="auto"/>
        <w:rPr>
          <w:sz w:val="20"/>
          <w:szCs w:val="20"/>
          <w:color w:val="auto"/>
        </w:rPr>
      </w:pPr>
      <w:r>
        <w:rPr>
          <w:rFonts w:ascii="Calibri" w:cs="Calibri" w:eastAsia="Calibri" w:hAnsi="Calibri"/>
          <w:sz w:val="18"/>
          <w:szCs w:val="18"/>
          <w:color w:val="auto"/>
        </w:rPr>
        <w:t>sharing contributons to the account of the Named Executve Ofcer</w:t>
      </w:r>
    </w:p>
    <w:p>
      <w:pPr>
        <w:ind w:left="220"/>
        <w:spacing w:after="0" w:line="236" w:lineRule="auto"/>
        <w:rPr>
          <w:sz w:val="20"/>
          <w:szCs w:val="20"/>
          <w:color w:val="auto"/>
        </w:rPr>
      </w:pPr>
      <w:r>
        <w:rPr>
          <w:rFonts w:ascii="Calibri" w:cs="Calibri" w:eastAsia="Calibri" w:hAnsi="Calibri"/>
          <w:sz w:val="18"/>
          <w:szCs w:val="18"/>
          <w:color w:val="auto"/>
        </w:rPr>
        <w:t>under our Retrement Plan (the Retrement Plan is described in greater</w:t>
      </w:r>
    </w:p>
    <w:p>
      <w:pPr>
        <w:ind w:left="220"/>
        <w:spacing w:after="0" w:line="236" w:lineRule="auto"/>
        <w:rPr>
          <w:sz w:val="20"/>
          <w:szCs w:val="20"/>
          <w:color w:val="auto"/>
        </w:rPr>
      </w:pPr>
      <w:r>
        <w:rPr>
          <w:rFonts w:ascii="Calibri" w:cs="Calibri" w:eastAsia="Calibri" w:hAnsi="Calibri"/>
          <w:sz w:val="18"/>
          <w:szCs w:val="18"/>
          <w:color w:val="auto"/>
        </w:rPr>
        <w:t>detail under “Retrement Plan” on page 30 of this proxy statement); (b)</w:t>
      </w:r>
    </w:p>
    <w:p>
      <w:pPr>
        <w:ind w:left="220"/>
        <w:spacing w:after="0" w:line="236" w:lineRule="auto"/>
        <w:rPr>
          <w:sz w:val="20"/>
          <w:szCs w:val="20"/>
          <w:color w:val="auto"/>
        </w:rPr>
      </w:pPr>
      <w:r>
        <w:rPr>
          <w:rFonts w:ascii="Calibri" w:cs="Calibri" w:eastAsia="Calibri" w:hAnsi="Calibri"/>
          <w:sz w:val="18"/>
          <w:szCs w:val="18"/>
          <w:color w:val="auto"/>
        </w:rPr>
        <w:t>Company contributons to the account of the Named Executve Ofcer</w:t>
      </w:r>
    </w:p>
    <w:p>
      <w:pPr>
        <w:ind w:left="220"/>
        <w:spacing w:after="0" w:line="236" w:lineRule="auto"/>
        <w:rPr>
          <w:sz w:val="20"/>
          <w:szCs w:val="20"/>
          <w:color w:val="auto"/>
        </w:rPr>
      </w:pPr>
      <w:r>
        <w:rPr>
          <w:rFonts w:ascii="Calibri" w:cs="Calibri" w:eastAsia="Calibri" w:hAnsi="Calibri"/>
          <w:sz w:val="18"/>
          <w:szCs w:val="18"/>
          <w:color w:val="auto"/>
        </w:rPr>
        <w:t>under our SERP (the SERP is described in greater detail under “SERP” on</w:t>
      </w:r>
    </w:p>
    <w:p>
      <w:pPr>
        <w:ind w:left="220"/>
        <w:spacing w:after="0" w:line="236" w:lineRule="auto"/>
        <w:rPr>
          <w:sz w:val="20"/>
          <w:szCs w:val="20"/>
          <w:color w:val="auto"/>
        </w:rPr>
      </w:pPr>
      <w:r>
        <w:rPr>
          <w:rFonts w:ascii="Calibri" w:cs="Calibri" w:eastAsia="Calibri" w:hAnsi="Calibri"/>
          <w:sz w:val="18"/>
          <w:szCs w:val="18"/>
          <w:color w:val="auto"/>
        </w:rPr>
        <w:t>page 31 of this proxy statement); (c) premium costs to the Company of</w:t>
      </w:r>
    </w:p>
    <w:p>
      <w:pPr>
        <w:ind w:left="220"/>
        <w:spacing w:after="0" w:line="236" w:lineRule="auto"/>
        <w:rPr>
          <w:sz w:val="20"/>
          <w:szCs w:val="20"/>
          <w:color w:val="auto"/>
        </w:rPr>
      </w:pPr>
      <w:r>
        <w:rPr>
          <w:rFonts w:ascii="Calibri" w:cs="Calibri" w:eastAsia="Calibri" w:hAnsi="Calibri"/>
          <w:sz w:val="18"/>
          <w:szCs w:val="18"/>
          <w:color w:val="auto"/>
        </w:rPr>
        <w:t>life insurance policies obtained by the Company in connecton with our</w:t>
      </w:r>
    </w:p>
    <w:p>
      <w:pPr>
        <w:ind w:left="220"/>
        <w:spacing w:after="0" w:line="236" w:lineRule="auto"/>
        <w:rPr>
          <w:sz w:val="20"/>
          <w:szCs w:val="20"/>
          <w:color w:val="auto"/>
        </w:rPr>
      </w:pPr>
      <w:r>
        <w:rPr>
          <w:rFonts w:ascii="Calibri" w:cs="Calibri" w:eastAsia="Calibri" w:hAnsi="Calibri"/>
          <w:sz w:val="18"/>
          <w:szCs w:val="18"/>
          <w:color w:val="auto"/>
        </w:rPr>
        <w:t>SCP (the SCP is described in greater detail under “Salary Contnuaton</w:t>
      </w:r>
    </w:p>
    <w:p>
      <w:pPr>
        <w:ind w:left="220"/>
        <w:spacing w:after="0" w:line="235" w:lineRule="auto"/>
        <w:rPr>
          <w:sz w:val="20"/>
          <w:szCs w:val="20"/>
          <w:color w:val="auto"/>
        </w:rPr>
      </w:pPr>
      <w:r>
        <w:rPr>
          <w:rFonts w:ascii="Calibri" w:cs="Calibri" w:eastAsia="Calibri" w:hAnsi="Calibri"/>
          <w:sz w:val="18"/>
          <w:szCs w:val="18"/>
          <w:color w:val="auto"/>
        </w:rPr>
        <w:t>Plan” on page 31 of this proxy statement); and (d) wellness awards. The</w:t>
      </w:r>
    </w:p>
    <w:p>
      <w:pPr>
        <w:ind w:left="220"/>
        <w:spacing w:after="0" w:line="236" w:lineRule="auto"/>
        <w:rPr>
          <w:sz w:val="20"/>
          <w:szCs w:val="20"/>
          <w:color w:val="auto"/>
        </w:rPr>
      </w:pPr>
      <w:r>
        <w:rPr>
          <w:rFonts w:ascii="Calibri" w:cs="Calibri" w:eastAsia="Calibri" w:hAnsi="Calibri"/>
          <w:sz w:val="18"/>
          <w:szCs w:val="18"/>
          <w:color w:val="auto"/>
        </w:rPr>
        <w:t>table below provides further details of the amounts refected in the All</w:t>
      </w:r>
    </w:p>
    <w:p>
      <w:pPr>
        <w:ind w:left="220"/>
        <w:spacing w:after="0" w:line="236" w:lineRule="auto"/>
        <w:rPr>
          <w:sz w:val="20"/>
          <w:szCs w:val="20"/>
          <w:color w:val="auto"/>
        </w:rPr>
      </w:pPr>
      <w:r>
        <w:rPr>
          <w:rFonts w:ascii="Calibri" w:cs="Calibri" w:eastAsia="Calibri" w:hAnsi="Calibri"/>
          <w:sz w:val="18"/>
          <w:szCs w:val="18"/>
          <w:color w:val="auto"/>
        </w:rPr>
        <w:t>Other Compensaton column: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Insurance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Premiums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Fiscal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Proft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under Salary</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w w:val="98"/>
              </w:rPr>
              <w:t>Total of</w:t>
            </w:r>
          </w:p>
        </w:tc>
      </w:tr>
      <w:tr>
        <w:trPr>
          <w:trHeight w:val="175"/>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Year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Sharing Plan</w:t>
            </w:r>
          </w:p>
        </w:tc>
        <w:tc>
          <w:tcPr>
            <w:tcW w:w="100" w:type="dxa"/>
            <w:vAlign w:val="bottom"/>
          </w:tcPr>
          <w:p>
            <w:pPr>
              <w:spacing w:after="0"/>
              <w:rPr>
                <w:sz w:val="15"/>
                <w:szCs w:val="15"/>
                <w:color w:val="auto"/>
              </w:rPr>
            </w:pPr>
          </w:p>
        </w:tc>
        <w:tc>
          <w:tcPr>
            <w:tcW w:w="860" w:type="dxa"/>
            <w:vAlign w:val="bottom"/>
          </w:tcPr>
          <w:p>
            <w:pPr>
              <w:jc w:val="center"/>
              <w:ind w:right="41"/>
              <w:spacing w:after="0"/>
              <w:rPr>
                <w:sz w:val="20"/>
                <w:szCs w:val="20"/>
                <w:color w:val="auto"/>
              </w:rPr>
            </w:pPr>
            <w:r>
              <w:rPr>
                <w:rFonts w:ascii="Calibri" w:cs="Calibri" w:eastAsia="Calibri" w:hAnsi="Calibri"/>
                <w:sz w:val="14"/>
                <w:szCs w:val="14"/>
                <w:b w:val="1"/>
                <w:bCs w:val="1"/>
                <w:color w:val="auto"/>
              </w:rPr>
              <w:t>SERP</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Contnuaton</w:t>
            </w:r>
          </w:p>
        </w:tc>
        <w:tc>
          <w:tcPr>
            <w:tcW w:w="120" w:type="dxa"/>
            <w:vAlign w:val="bottom"/>
          </w:tcPr>
          <w:p>
            <w:pPr>
              <w:spacing w:after="0"/>
              <w:rPr>
                <w:sz w:val="15"/>
                <w:szCs w:val="15"/>
                <w:color w:val="auto"/>
              </w:rPr>
            </w:pPr>
          </w:p>
        </w:tc>
        <w:tc>
          <w:tcPr>
            <w:tcW w:w="84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Well-ness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All Other</w:t>
            </w:r>
          </w:p>
        </w:tc>
      </w:tr>
      <w:tr>
        <w:trPr>
          <w:trHeight w:val="176"/>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Ended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Contributon</w:t>
            </w:r>
          </w:p>
        </w:tc>
        <w:tc>
          <w:tcPr>
            <w:tcW w:w="100" w:type="dxa"/>
            <w:vAlign w:val="bottom"/>
          </w:tcPr>
          <w:p>
            <w:pPr>
              <w:spacing w:after="0"/>
              <w:rPr>
                <w:sz w:val="15"/>
                <w:szCs w:val="15"/>
                <w:color w:val="auto"/>
              </w:rPr>
            </w:pPr>
          </w:p>
        </w:tc>
        <w:tc>
          <w:tcPr>
            <w:tcW w:w="860" w:type="dxa"/>
            <w:vAlign w:val="bottom"/>
          </w:tcPr>
          <w:p>
            <w:pPr>
              <w:jc w:val="center"/>
              <w:ind w:right="21"/>
              <w:spacing w:after="0"/>
              <w:rPr>
                <w:sz w:val="20"/>
                <w:szCs w:val="20"/>
                <w:color w:val="auto"/>
              </w:rPr>
            </w:pPr>
            <w:r>
              <w:rPr>
                <w:rFonts w:ascii="Calibri" w:cs="Calibri" w:eastAsia="Calibri" w:hAnsi="Calibri"/>
                <w:sz w:val="14"/>
                <w:szCs w:val="14"/>
                <w:b w:val="1"/>
                <w:bCs w:val="1"/>
                <w:color w:val="auto"/>
              </w:rPr>
              <w:t>Contributon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Plan</w:t>
            </w:r>
          </w:p>
        </w:tc>
        <w:tc>
          <w:tcPr>
            <w:tcW w:w="120" w:type="dxa"/>
            <w:vAlign w:val="bottom"/>
          </w:tcPr>
          <w:p>
            <w:pPr>
              <w:spacing w:after="0"/>
              <w:rPr>
                <w:sz w:val="15"/>
                <w:szCs w:val="15"/>
                <w:color w:val="auto"/>
              </w:rPr>
            </w:pPr>
          </w:p>
        </w:tc>
        <w:tc>
          <w:tcPr>
            <w:tcW w:w="840" w:type="dxa"/>
            <w:vAlign w:val="bottom"/>
          </w:tcPr>
          <w:p>
            <w:pPr>
              <w:jc w:val="center"/>
              <w:ind w:right="81"/>
              <w:spacing w:after="0"/>
              <w:rPr>
                <w:sz w:val="20"/>
                <w:szCs w:val="20"/>
                <w:color w:val="auto"/>
              </w:rPr>
            </w:pPr>
            <w:r>
              <w:rPr>
                <w:rFonts w:ascii="Calibri" w:cs="Calibri" w:eastAsia="Calibri" w:hAnsi="Calibri"/>
                <w:sz w:val="14"/>
                <w:szCs w:val="14"/>
                <w:b w:val="1"/>
                <w:bCs w:val="1"/>
                <w:color w:val="auto"/>
              </w:rPr>
              <w:t>Award</w:t>
            </w:r>
          </w:p>
        </w:tc>
        <w:tc>
          <w:tcPr>
            <w:tcW w:w="200" w:type="dxa"/>
            <w:vAlign w:val="bottom"/>
          </w:tcPr>
          <w:p>
            <w:pPr>
              <w:spacing w:after="0"/>
              <w:rPr>
                <w:sz w:val="15"/>
                <w:szCs w:val="15"/>
                <w:color w:val="auto"/>
              </w:rPr>
            </w:pPr>
          </w:p>
        </w:tc>
        <w:tc>
          <w:tcPr>
            <w:tcW w:w="110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Compensaton</w:t>
            </w:r>
          </w:p>
        </w:tc>
      </w:tr>
      <w:tr>
        <w:trPr>
          <w:trHeight w:val="155"/>
        </w:trPr>
        <w:tc>
          <w:tcPr>
            <w:tcW w:w="4160" w:type="dxa"/>
            <w:vAlign w:val="bottom"/>
            <w:gridSpan w:val="3"/>
          </w:tcPr>
          <w:p>
            <w:pPr>
              <w:spacing w:after="0" w:line="155" w:lineRule="exact"/>
              <w:rPr>
                <w:sz w:val="20"/>
                <w:szCs w:val="20"/>
                <w:color w:val="auto"/>
              </w:rPr>
            </w:pPr>
            <w:r>
              <w:rPr>
                <w:rFonts w:ascii="Calibri" w:cs="Calibri" w:eastAsia="Calibri" w:hAnsi="Calibri"/>
                <w:sz w:val="14"/>
                <w:szCs w:val="14"/>
                <w:b w:val="1"/>
                <w:bCs w:val="1"/>
                <w:color w:val="auto"/>
              </w:rPr>
              <w:t>Name</w:t>
            </w:r>
          </w:p>
        </w:tc>
        <w:tc>
          <w:tcPr>
            <w:tcW w:w="12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March 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1"/>
              <w:spacing w:after="0" w:line="155"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1"/>
              <w:spacing w:after="0" w:line="155"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22"/>
              <w:spacing w:after="0" w:line="155"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81"/>
              <w:spacing w:after="0" w:line="155"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01"/>
              <w:spacing w:after="0" w:line="155" w:lineRule="exact"/>
              <w:rPr>
                <w:sz w:val="20"/>
                <w:szCs w:val="20"/>
                <w:color w:val="auto"/>
              </w:rPr>
            </w:pPr>
            <w:r>
              <w:rPr>
                <w:rFonts w:ascii="Calibri" w:cs="Calibri" w:eastAsia="Calibri" w:hAnsi="Calibri"/>
                <w:sz w:val="14"/>
                <w:szCs w:val="14"/>
                <w:b w:val="1"/>
                <w:bCs w:val="1"/>
                <w:color w:val="auto"/>
              </w:rPr>
              <w:t>($)</w:t>
            </w:r>
          </w:p>
        </w:tc>
        <w:tc>
          <w:tcPr>
            <w:tcW w:w="120" w:type="dxa"/>
            <w:vAlign w:val="bottom"/>
          </w:tcPr>
          <w:p>
            <w:pPr>
              <w:spacing w:after="0"/>
              <w:rPr>
                <w:sz w:val="13"/>
                <w:szCs w:val="13"/>
                <w:color w:val="auto"/>
              </w:rPr>
            </w:pPr>
          </w:p>
        </w:tc>
      </w:tr>
      <w:tr>
        <w:trPr>
          <w:trHeight w:val="20"/>
        </w:trPr>
        <w:tc>
          <w:tcPr>
            <w:tcW w:w="360" w:type="dxa"/>
            <w:vAlign w:val="bottom"/>
            <w:tcBorders>
              <w:top w:val="single" w:sz="8" w:color="auto"/>
              <w:bottom w:val="single" w:sz="8" w:color="CFF0FC"/>
            </w:tcBorders>
          </w:tcPr>
          <w:p>
            <w:pPr>
              <w:spacing w:after="0" w:line="20" w:lineRule="exact"/>
              <w:rPr>
                <w:sz w:val="1"/>
                <w:szCs w:val="1"/>
                <w:color w:val="auto"/>
              </w:rPr>
            </w:pPr>
          </w:p>
        </w:tc>
        <w:tc>
          <w:tcPr>
            <w:tcW w:w="316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87"/>
        </w:trPr>
        <w:tc>
          <w:tcPr>
            <w:tcW w:w="4160" w:type="dxa"/>
            <w:vAlign w:val="bottom"/>
            <w:gridSpan w:val="3"/>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center"/>
              <w:spacing w:after="0" w:line="187" w:lineRule="exact"/>
              <w:rPr>
                <w:sz w:val="20"/>
                <w:szCs w:val="20"/>
                <w:color w:val="auto"/>
              </w:rPr>
            </w:pPr>
            <w:r>
              <w:rPr>
                <w:rFonts w:ascii="Calibri" w:cs="Calibri" w:eastAsia="Calibri" w:hAnsi="Calibri"/>
                <w:sz w:val="16"/>
                <w:szCs w:val="16"/>
                <w:color w:val="auto"/>
              </w:rPr>
              <w:t>2022</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86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29,000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86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59,100</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88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5,274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84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495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line="187" w:lineRule="exact"/>
              <w:rPr>
                <w:sz w:val="20"/>
                <w:szCs w:val="20"/>
                <w:color w:val="auto"/>
              </w:rPr>
            </w:pPr>
            <w:r>
              <w:rPr>
                <w:rFonts w:ascii="Calibri" w:cs="Calibri" w:eastAsia="Calibri" w:hAnsi="Calibri"/>
                <w:sz w:val="16"/>
                <w:szCs w:val="16"/>
                <w:color w:val="auto"/>
                <w:w w:val="73"/>
              </w:rPr>
              <w:t>$</w:t>
            </w:r>
          </w:p>
        </w:tc>
        <w:tc>
          <w:tcPr>
            <w:tcW w:w="82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93,869</w:t>
            </w:r>
          </w:p>
        </w:tc>
        <w:tc>
          <w:tcPr>
            <w:tcW w:w="120" w:type="dxa"/>
            <w:vAlign w:val="bottom"/>
            <w:shd w:val="clear" w:color="auto" w:fill="CFF0FC"/>
          </w:tcPr>
          <w:p>
            <w:pPr>
              <w:spacing w:after="0"/>
              <w:rPr>
                <w:sz w:val="16"/>
                <w:szCs w:val="16"/>
                <w:color w:val="auto"/>
              </w:rPr>
            </w:pPr>
          </w:p>
        </w:tc>
      </w:tr>
      <w:tr>
        <w:trPr>
          <w:trHeight w:val="211"/>
        </w:trPr>
        <w:tc>
          <w:tcPr>
            <w:tcW w:w="360" w:type="dxa"/>
            <w:vAlign w:val="bottom"/>
            <w:shd w:val="clear" w:color="auto" w:fill="CFF0FC"/>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rPr>
              <w:t>2021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28,500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53,300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5,274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87,074</w:t>
            </w:r>
          </w:p>
        </w:tc>
        <w:tc>
          <w:tcPr>
            <w:tcW w:w="120" w:type="dxa"/>
            <w:vAlign w:val="bottom"/>
            <w:shd w:val="clear" w:color="auto" w:fill="CFF0FC"/>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rPr>
              <w:t>2020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28,000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46,375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5,274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397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80,046</w:t>
            </w:r>
          </w:p>
        </w:tc>
        <w:tc>
          <w:tcPr>
            <w:tcW w:w="120" w:type="dxa"/>
            <w:vAlign w:val="bottom"/>
            <w:shd w:val="clear" w:color="auto" w:fill="CFF0FC"/>
          </w:tcPr>
          <w:p>
            <w:pPr>
              <w:spacing w:after="0"/>
              <w:rPr>
                <w:sz w:val="18"/>
                <w:szCs w:val="18"/>
                <w:color w:val="auto"/>
              </w:rPr>
            </w:pPr>
          </w:p>
        </w:tc>
      </w:tr>
      <w:tr>
        <w:trPr>
          <w:trHeight w:val="243"/>
        </w:trPr>
        <w:tc>
          <w:tcPr>
            <w:tcW w:w="360" w:type="dxa"/>
            <w:vAlign w:val="bottom"/>
            <w:shd w:val="clear" w:color="auto" w:fill="CFF0FC"/>
          </w:tcPr>
          <w:p>
            <w:pPr>
              <w:spacing w:after="0"/>
              <w:rPr>
                <w:sz w:val="21"/>
                <w:szCs w:val="21"/>
                <w:color w:val="auto"/>
              </w:rPr>
            </w:pPr>
          </w:p>
        </w:tc>
        <w:tc>
          <w:tcPr>
            <w:tcW w:w="3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193"/>
        </w:trPr>
        <w:tc>
          <w:tcPr>
            <w:tcW w:w="4160" w:type="dxa"/>
            <w:vAlign w:val="bottom"/>
            <w:gridSpan w:val="3"/>
          </w:tcPr>
          <w:p>
            <w:pPr>
              <w:spacing w:after="0" w:line="193" w:lineRule="exact"/>
              <w:rPr>
                <w:sz w:val="20"/>
                <w:szCs w:val="20"/>
                <w:color w:val="auto"/>
              </w:rPr>
            </w:pPr>
            <w:r>
              <w:rPr>
                <w:rFonts w:ascii="Calibri" w:cs="Calibri" w:eastAsia="Calibri" w:hAnsi="Calibri"/>
                <w:sz w:val="16"/>
                <w:szCs w:val="16"/>
                <w:color w:val="auto"/>
              </w:rPr>
              <w:t>D. Craig Kesler</w:t>
            </w:r>
          </w:p>
        </w:tc>
        <w:tc>
          <w:tcPr>
            <w:tcW w:w="120" w:type="dxa"/>
            <w:vAlign w:val="bottom"/>
          </w:tcPr>
          <w:p>
            <w:pPr>
              <w:spacing w:after="0"/>
              <w:rPr>
                <w:sz w:val="16"/>
                <w:szCs w:val="16"/>
                <w:color w:val="auto"/>
              </w:rPr>
            </w:pPr>
          </w:p>
        </w:tc>
        <w:tc>
          <w:tcPr>
            <w:tcW w:w="1080" w:type="dxa"/>
            <w:vAlign w:val="bottom"/>
          </w:tcPr>
          <w:p>
            <w:pPr>
              <w:jc w:val="center"/>
              <w:spacing w:after="0" w:line="193" w:lineRule="exact"/>
              <w:rPr>
                <w:sz w:val="20"/>
                <w:szCs w:val="20"/>
                <w:color w:val="auto"/>
              </w:rPr>
            </w:pPr>
            <w:r>
              <w:rPr>
                <w:rFonts w:ascii="Calibri" w:cs="Calibri" w:eastAsia="Calibri" w:hAnsi="Calibri"/>
                <w:sz w:val="16"/>
                <w:szCs w:val="16"/>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Calibri" w:cs="Calibri" w:eastAsia="Calibri" w:hAnsi="Calibri"/>
                <w:sz w:val="16"/>
                <w:szCs w:val="16"/>
                <w:color w:val="auto"/>
              </w:rPr>
              <w:t>29,000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Calibri" w:cs="Calibri" w:eastAsia="Calibri" w:hAnsi="Calibri"/>
                <w:sz w:val="16"/>
                <w:szCs w:val="16"/>
                <w:color w:val="auto"/>
              </w:rPr>
              <w:t>21,004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color w:val="auto"/>
              </w:rPr>
              <w:t>5,274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660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Calibri" w:cs="Calibri" w:eastAsia="Calibri" w:hAnsi="Calibri"/>
                <w:sz w:val="16"/>
                <w:szCs w:val="16"/>
                <w:color w:val="auto"/>
              </w:rPr>
              <w:t>55,938</w:t>
            </w:r>
          </w:p>
        </w:tc>
        <w:tc>
          <w:tcPr>
            <w:tcW w:w="120" w:type="dxa"/>
            <w:vAlign w:val="bottom"/>
          </w:tcPr>
          <w:p>
            <w:pPr>
              <w:spacing w:after="0"/>
              <w:rPr>
                <w:sz w:val="16"/>
                <w:szCs w:val="16"/>
                <w:color w:val="auto"/>
              </w:rPr>
            </w:pPr>
          </w:p>
        </w:tc>
      </w:tr>
      <w:tr>
        <w:trPr>
          <w:trHeight w:val="211"/>
        </w:trPr>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Calibri" w:cs="Calibri" w:eastAsia="Calibri" w:hAnsi="Calibri"/>
                <w:sz w:val="16"/>
                <w:szCs w:val="16"/>
                <w:color w:val="auto"/>
              </w:rPr>
              <w:t>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28,500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21,128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5,274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54,902</w:t>
            </w:r>
          </w:p>
        </w:tc>
        <w:tc>
          <w:tcPr>
            <w:tcW w:w="1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Calibri" w:cs="Calibri" w:eastAsia="Calibri" w:hAnsi="Calibri"/>
                <w:sz w:val="16"/>
                <w:szCs w:val="16"/>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28,000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19,875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5,274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529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53,678</w:t>
            </w:r>
          </w:p>
        </w:tc>
        <w:tc>
          <w:tcPr>
            <w:tcW w:w="1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r>
      <w:tr>
        <w:trPr>
          <w:trHeight w:val="28"/>
        </w:trPr>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3"/>
        </w:trPr>
        <w:tc>
          <w:tcPr>
            <w:tcW w:w="4160" w:type="dxa"/>
            <w:vAlign w:val="bottom"/>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Robert S. Stewart</w:t>
            </w:r>
          </w:p>
        </w:tc>
        <w:tc>
          <w:tcPr>
            <w:tcW w:w="1200" w:type="dxa"/>
            <w:vAlign w:val="bottom"/>
            <w:gridSpan w:val="2"/>
            <w:shd w:val="clear" w:color="auto" w:fill="CFF0FC"/>
          </w:tcPr>
          <w:p>
            <w:pPr>
              <w:jc w:val="center"/>
              <w:ind w:left="19"/>
              <w:spacing w:after="0" w:line="193" w:lineRule="exact"/>
              <w:rPr>
                <w:sz w:val="20"/>
                <w:szCs w:val="20"/>
                <w:color w:val="auto"/>
              </w:rPr>
            </w:pPr>
            <w:r>
              <w:rPr>
                <w:rFonts w:ascii="Calibri" w:cs="Calibri" w:eastAsia="Calibri" w:hAnsi="Calibri"/>
                <w:sz w:val="16"/>
                <w:szCs w:val="16"/>
                <w:color w:val="auto"/>
              </w:rPr>
              <w:t>2022</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29,000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19,042</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660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48,702</w:t>
            </w:r>
          </w:p>
        </w:tc>
        <w:tc>
          <w:tcPr>
            <w:tcW w:w="120" w:type="dxa"/>
            <w:vAlign w:val="bottom"/>
            <w:shd w:val="clear" w:color="auto" w:fill="CFF0FC"/>
          </w:tcPr>
          <w:p>
            <w:pPr>
              <w:spacing w:after="0"/>
              <w:rPr>
                <w:sz w:val="16"/>
                <w:szCs w:val="16"/>
                <w:color w:val="auto"/>
              </w:rPr>
            </w:pPr>
          </w:p>
        </w:tc>
      </w:tr>
      <w:tr>
        <w:trPr>
          <w:trHeight w:val="211"/>
        </w:trPr>
        <w:tc>
          <w:tcPr>
            <w:tcW w:w="360" w:type="dxa"/>
            <w:vAlign w:val="bottom"/>
            <w:shd w:val="clear" w:color="auto" w:fill="CFF0FC"/>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rPr>
              <w:t>2021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28,500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19,307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47,807</w:t>
            </w:r>
          </w:p>
        </w:tc>
        <w:tc>
          <w:tcPr>
            <w:tcW w:w="120" w:type="dxa"/>
            <w:vAlign w:val="bottom"/>
            <w:shd w:val="clear" w:color="auto" w:fill="CFF0FC"/>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rPr>
              <w:t>2020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28,000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18,700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529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47,229</w:t>
            </w:r>
          </w:p>
        </w:tc>
        <w:tc>
          <w:tcPr>
            <w:tcW w:w="120" w:type="dxa"/>
            <w:vAlign w:val="bottom"/>
            <w:shd w:val="clear" w:color="auto" w:fill="CFF0FC"/>
          </w:tcPr>
          <w:p>
            <w:pPr>
              <w:spacing w:after="0"/>
              <w:rPr>
                <w:sz w:val="18"/>
                <w:szCs w:val="18"/>
                <w:color w:val="auto"/>
              </w:rPr>
            </w:pPr>
          </w:p>
        </w:tc>
      </w:tr>
      <w:tr>
        <w:trPr>
          <w:trHeight w:val="243"/>
        </w:trPr>
        <w:tc>
          <w:tcPr>
            <w:tcW w:w="360" w:type="dxa"/>
            <w:vAlign w:val="bottom"/>
            <w:shd w:val="clear" w:color="auto" w:fill="CFF0FC"/>
          </w:tcPr>
          <w:p>
            <w:pPr>
              <w:spacing w:after="0"/>
              <w:rPr>
                <w:sz w:val="21"/>
                <w:szCs w:val="21"/>
                <w:color w:val="auto"/>
              </w:rPr>
            </w:pPr>
          </w:p>
        </w:tc>
        <w:tc>
          <w:tcPr>
            <w:tcW w:w="3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194"/>
        </w:trPr>
        <w:tc>
          <w:tcPr>
            <w:tcW w:w="4160" w:type="dxa"/>
            <w:vAlign w:val="bottom"/>
            <w:gridSpan w:val="3"/>
          </w:tcPr>
          <w:p>
            <w:pPr>
              <w:spacing w:after="0" w:line="193" w:lineRule="exact"/>
              <w:rPr>
                <w:sz w:val="20"/>
                <w:szCs w:val="20"/>
                <w:color w:val="auto"/>
              </w:rPr>
            </w:pPr>
            <w:r>
              <w:rPr>
                <w:rFonts w:ascii="Calibri" w:cs="Calibri" w:eastAsia="Calibri" w:hAnsi="Calibri"/>
                <w:sz w:val="16"/>
                <w:szCs w:val="16"/>
                <w:color w:val="auto"/>
              </w:rPr>
              <w:t>James H. Graass</w:t>
            </w:r>
          </w:p>
        </w:tc>
        <w:tc>
          <w:tcPr>
            <w:tcW w:w="120" w:type="dxa"/>
            <w:vAlign w:val="bottom"/>
          </w:tcPr>
          <w:p>
            <w:pPr>
              <w:spacing w:after="0"/>
              <w:rPr>
                <w:sz w:val="16"/>
                <w:szCs w:val="16"/>
                <w:color w:val="auto"/>
              </w:rPr>
            </w:pPr>
          </w:p>
        </w:tc>
        <w:tc>
          <w:tcPr>
            <w:tcW w:w="1080" w:type="dxa"/>
            <w:vAlign w:val="bottom"/>
          </w:tcPr>
          <w:p>
            <w:pPr>
              <w:jc w:val="center"/>
              <w:spacing w:after="0" w:line="193" w:lineRule="exact"/>
              <w:rPr>
                <w:sz w:val="20"/>
                <w:szCs w:val="20"/>
                <w:color w:val="auto"/>
              </w:rPr>
            </w:pPr>
            <w:r>
              <w:rPr>
                <w:rFonts w:ascii="Calibri" w:cs="Calibri" w:eastAsia="Calibri" w:hAnsi="Calibri"/>
                <w:sz w:val="16"/>
                <w:szCs w:val="16"/>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Calibri" w:cs="Calibri" w:eastAsia="Calibri" w:hAnsi="Calibri"/>
                <w:sz w:val="16"/>
                <w:szCs w:val="16"/>
                <w:color w:val="auto"/>
              </w:rPr>
              <w:t>29,000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Calibri" w:cs="Calibri" w:eastAsia="Calibri" w:hAnsi="Calibri"/>
                <w:sz w:val="16"/>
                <w:szCs w:val="16"/>
                <w:color w:val="auto"/>
              </w:rPr>
              <w:t>16,101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color w:val="auto"/>
              </w:rPr>
              <w:t>2,262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330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Calibri" w:cs="Calibri" w:eastAsia="Calibri" w:hAnsi="Calibri"/>
                <w:sz w:val="16"/>
                <w:szCs w:val="16"/>
                <w:color w:val="auto"/>
              </w:rPr>
              <w:t>47,693</w:t>
            </w:r>
          </w:p>
        </w:tc>
        <w:tc>
          <w:tcPr>
            <w:tcW w:w="120" w:type="dxa"/>
            <w:vAlign w:val="bottom"/>
          </w:tcPr>
          <w:p>
            <w:pPr>
              <w:spacing w:after="0"/>
              <w:rPr>
                <w:sz w:val="16"/>
                <w:szCs w:val="16"/>
                <w:color w:val="auto"/>
              </w:rPr>
            </w:pPr>
          </w:p>
        </w:tc>
      </w:tr>
      <w:tr>
        <w:trPr>
          <w:trHeight w:val="211"/>
        </w:trPr>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Calibri" w:cs="Calibri" w:eastAsia="Calibri" w:hAnsi="Calibri"/>
                <w:sz w:val="16"/>
                <w:szCs w:val="16"/>
                <w:color w:val="auto"/>
              </w:rPr>
              <w:t>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28,500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16,325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2,262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47,087</w:t>
            </w:r>
          </w:p>
        </w:tc>
        <w:tc>
          <w:tcPr>
            <w:tcW w:w="1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Calibri" w:cs="Calibri" w:eastAsia="Calibri" w:hAnsi="Calibri"/>
                <w:sz w:val="16"/>
                <w:szCs w:val="16"/>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28,000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15,625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2,716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495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46,836</w:t>
            </w:r>
          </w:p>
        </w:tc>
        <w:tc>
          <w:tcPr>
            <w:tcW w:w="120" w:type="dxa"/>
            <w:vAlign w:val="bottom"/>
          </w:tcPr>
          <w:p>
            <w:pPr>
              <w:spacing w:after="0"/>
              <w:rPr>
                <w:sz w:val="18"/>
                <w:szCs w:val="18"/>
                <w:color w:val="auto"/>
              </w:rPr>
            </w:pPr>
          </w:p>
        </w:tc>
      </w:tr>
      <w:tr>
        <w:trPr>
          <w:trHeight w:val="244"/>
        </w:trPr>
        <w:tc>
          <w:tcPr>
            <w:tcW w:w="3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3"/>
        </w:trPr>
        <w:tc>
          <w:tcPr>
            <w:tcW w:w="4160" w:type="dxa"/>
            <w:vAlign w:val="bottom"/>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Steven L. Wentzel</w:t>
            </w:r>
          </w:p>
        </w:tc>
        <w:tc>
          <w:tcPr>
            <w:tcW w:w="1200" w:type="dxa"/>
            <w:vAlign w:val="bottom"/>
            <w:gridSpan w:val="2"/>
            <w:shd w:val="clear" w:color="auto" w:fill="CFF0FC"/>
          </w:tcPr>
          <w:p>
            <w:pPr>
              <w:jc w:val="center"/>
              <w:ind w:left="19"/>
              <w:spacing w:after="0" w:line="193" w:lineRule="exact"/>
              <w:rPr>
                <w:sz w:val="20"/>
                <w:szCs w:val="20"/>
                <w:color w:val="auto"/>
              </w:rPr>
            </w:pPr>
            <w:r>
              <w:rPr>
                <w:rFonts w:ascii="Calibri" w:cs="Calibri" w:eastAsia="Calibri" w:hAnsi="Calibri"/>
                <w:sz w:val="16"/>
                <w:szCs w:val="16"/>
                <w:color w:val="auto"/>
              </w:rPr>
              <w:t>2022</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29,000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4,743</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2,459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660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36,862</w:t>
            </w:r>
          </w:p>
        </w:tc>
        <w:tc>
          <w:tcPr>
            <w:tcW w:w="120" w:type="dxa"/>
            <w:vAlign w:val="bottom"/>
            <w:shd w:val="clear" w:color="auto" w:fill="CFF0FC"/>
          </w:tcPr>
          <w:p>
            <w:pPr>
              <w:spacing w:after="0"/>
              <w:rPr>
                <w:sz w:val="16"/>
                <w:szCs w:val="16"/>
                <w:color w:val="auto"/>
              </w:rPr>
            </w:pPr>
          </w:p>
        </w:tc>
      </w:tr>
      <w:tr>
        <w:trPr>
          <w:trHeight w:val="218"/>
        </w:trPr>
        <w:tc>
          <w:tcPr>
            <w:tcW w:w="360" w:type="dxa"/>
            <w:vAlign w:val="bottom"/>
            <w:tcBorders>
              <w:bottom w:val="single" w:sz="8" w:color="CFF0FC"/>
            </w:tcBorders>
            <w:shd w:val="clear" w:color="auto" w:fill="CFF0FC"/>
          </w:tcPr>
          <w:p>
            <w:pPr>
              <w:spacing w:after="0"/>
              <w:rPr>
                <w:sz w:val="19"/>
                <w:szCs w:val="19"/>
                <w:color w:val="auto"/>
              </w:rPr>
            </w:pPr>
          </w:p>
        </w:tc>
        <w:tc>
          <w:tcPr>
            <w:tcW w:w="3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center"/>
              <w:ind w:left="19"/>
              <w:spacing w:after="0"/>
              <w:rPr>
                <w:sz w:val="20"/>
                <w:szCs w:val="20"/>
                <w:color w:val="auto"/>
              </w:rPr>
            </w:pPr>
            <w:r>
              <w:rPr>
                <w:rFonts w:ascii="Calibri" w:cs="Calibri" w:eastAsia="Calibri" w:hAnsi="Calibri"/>
                <w:sz w:val="16"/>
                <w:szCs w:val="16"/>
                <w:color w:val="auto"/>
              </w:rPr>
              <w:t>2021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28,500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3,075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2,285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265</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34,125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351" w:lineRule="exact"/>
        <w:rPr>
          <w:sz w:val="20"/>
          <w:szCs w:val="20"/>
          <w:color w:val="auto"/>
        </w:rPr>
      </w:pPr>
    </w:p>
    <w:p>
      <w:pPr>
        <w:spacing w:after="0"/>
        <w:rPr>
          <w:sz w:val="20"/>
          <w:szCs w:val="20"/>
          <w:color w:val="auto"/>
        </w:rPr>
      </w:pPr>
      <w:r>
        <w:rPr>
          <w:rFonts w:ascii="Calibri" w:cs="Calibri" w:eastAsia="Calibri" w:hAnsi="Calibri"/>
          <w:sz w:val="18"/>
          <w:szCs w:val="18"/>
          <w:color w:val="auto"/>
        </w:rPr>
        <w:t>(7)Mr. Wentzel was not a Named Executve Ofcer in fscal year 2020. In</w:t>
      </w:r>
    </w:p>
    <w:p>
      <w:pPr>
        <w:ind w:left="220"/>
        <w:spacing w:after="0" w:line="235" w:lineRule="auto"/>
        <w:rPr>
          <w:sz w:val="20"/>
          <w:szCs w:val="20"/>
          <w:color w:val="auto"/>
        </w:rPr>
      </w:pPr>
      <w:r>
        <w:rPr>
          <w:rFonts w:ascii="Calibri" w:cs="Calibri" w:eastAsia="Calibri" w:hAnsi="Calibri"/>
          <w:sz w:val="18"/>
          <w:szCs w:val="18"/>
          <w:color w:val="auto"/>
        </w:rPr>
        <w:t>accordance with SEC disclosure requirements, his compensaton</w:t>
      </w:r>
    </w:p>
    <w:p>
      <w:pPr>
        <w:ind w:left="220"/>
        <w:spacing w:after="0" w:line="236" w:lineRule="auto"/>
        <w:rPr>
          <w:sz w:val="20"/>
          <w:szCs w:val="20"/>
          <w:color w:val="auto"/>
        </w:rPr>
      </w:pPr>
      <w:r>
        <w:rPr>
          <w:rFonts w:ascii="Calibri" w:cs="Calibri" w:eastAsia="Calibri" w:hAnsi="Calibri"/>
          <w:sz w:val="18"/>
          <w:szCs w:val="18"/>
          <w:color w:val="auto"/>
        </w:rPr>
        <w:t>disclosure is provided only for the fscal years in which he served as a</w:t>
      </w:r>
    </w:p>
    <w:p>
      <w:pPr>
        <w:ind w:left="220"/>
        <w:spacing w:after="0" w:line="236" w:lineRule="auto"/>
        <w:rPr>
          <w:sz w:val="20"/>
          <w:szCs w:val="20"/>
          <w:color w:val="auto"/>
        </w:rPr>
      </w:pPr>
      <w:r>
        <w:rPr>
          <w:rFonts w:ascii="Calibri" w:cs="Calibri" w:eastAsia="Calibri" w:hAnsi="Calibri"/>
          <w:sz w:val="18"/>
          <w:szCs w:val="18"/>
          <w:color w:val="auto"/>
        </w:rPr>
        <w:t>Named Executve Ofcer.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jc w:val="center"/>
        <w:spacing w:after="0"/>
        <w:rPr>
          <w:sz w:val="20"/>
          <w:szCs w:val="20"/>
          <w:color w:val="auto"/>
        </w:rPr>
      </w:pPr>
      <w:r>
        <w:rPr>
          <w:rFonts w:ascii="Calibri" w:cs="Calibri" w:eastAsia="Calibri" w:hAnsi="Calibri"/>
          <w:sz w:val="18"/>
          <w:szCs w:val="18"/>
          <w:b w:val="1"/>
          <w:bCs w:val="1"/>
          <w:color w:val="auto"/>
        </w:rPr>
        <w:t>Grants of Plan-Based Awards</w:t>
      </w:r>
    </w:p>
    <w:p>
      <w:pPr>
        <w:spacing w:after="0" w:line="32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The following table sets forth the grants of plan-based awards made during fscal 2022 to the Named Executve Ofcers.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Exercise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3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6"/>
          </w:tcPr>
          <w:p>
            <w:pPr>
              <w:ind w:left="560"/>
              <w:spacing w:after="0"/>
              <w:rPr>
                <w:sz w:val="20"/>
                <w:szCs w:val="20"/>
                <w:color w:val="auto"/>
              </w:rPr>
            </w:pPr>
            <w:r>
              <w:rPr>
                <w:rFonts w:ascii="Calibri" w:cs="Calibri" w:eastAsia="Calibri" w:hAnsi="Calibri"/>
                <w:sz w:val="14"/>
                <w:szCs w:val="14"/>
                <w:b w:val="1"/>
                <w:bCs w:val="1"/>
                <w:color w:val="auto"/>
              </w:rPr>
              <w:t>Estmated Future Payouts</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540"/>
              <w:spacing w:after="0"/>
              <w:rPr>
                <w:sz w:val="20"/>
                <w:szCs w:val="20"/>
                <w:color w:val="auto"/>
              </w:rPr>
            </w:pPr>
            <w:r>
              <w:rPr>
                <w:rFonts w:ascii="Calibri" w:cs="Calibri" w:eastAsia="Calibri" w:hAnsi="Calibri"/>
                <w:sz w:val="14"/>
                <w:szCs w:val="14"/>
                <w:b w:val="1"/>
                <w:bCs w:val="1"/>
                <w:color w:val="auto"/>
              </w:rPr>
              <w:t>Estmated Future Payouts</w:t>
            </w:r>
          </w:p>
        </w:tc>
        <w:tc>
          <w:tcPr>
            <w:tcW w:w="28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or Base</w:t>
            </w:r>
          </w:p>
        </w:tc>
        <w:tc>
          <w:tcPr>
            <w:tcW w:w="92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w w:val="99"/>
              </w:rPr>
              <w:t>Grant Date</w:t>
            </w:r>
          </w:p>
        </w:tc>
      </w:tr>
      <w:tr>
        <w:trPr>
          <w:trHeight w:val="175"/>
        </w:trPr>
        <w:tc>
          <w:tcPr>
            <w:tcW w:w="3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6"/>
          </w:tcPr>
          <w:p>
            <w:pPr>
              <w:jc w:val="center"/>
              <w:ind w:left="361"/>
              <w:spacing w:after="0"/>
              <w:rPr>
                <w:sz w:val="20"/>
                <w:szCs w:val="20"/>
                <w:color w:val="auto"/>
              </w:rPr>
            </w:pPr>
            <w:r>
              <w:rPr>
                <w:rFonts w:ascii="Calibri" w:cs="Calibri" w:eastAsia="Calibri" w:hAnsi="Calibri"/>
                <w:sz w:val="14"/>
                <w:szCs w:val="14"/>
                <w:b w:val="1"/>
                <w:bCs w:val="1"/>
                <w:color w:val="auto"/>
              </w:rPr>
              <w:t>Under Non-Equity Incentve</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460"/>
              <w:spacing w:after="0"/>
              <w:rPr>
                <w:sz w:val="20"/>
                <w:szCs w:val="20"/>
                <w:color w:val="auto"/>
              </w:rPr>
            </w:pPr>
            <w:r>
              <w:rPr>
                <w:rFonts w:ascii="Calibri" w:cs="Calibri" w:eastAsia="Calibri" w:hAnsi="Calibri"/>
                <w:sz w:val="14"/>
                <w:szCs w:val="14"/>
                <w:b w:val="1"/>
                <w:bCs w:val="1"/>
                <w:color w:val="auto"/>
              </w:rPr>
              <w:t>Under Equity Incentve Plan</w:t>
            </w:r>
          </w:p>
        </w:tc>
        <w:tc>
          <w:tcPr>
            <w:tcW w:w="2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Price of</w:t>
            </w:r>
          </w:p>
        </w:tc>
        <w:tc>
          <w:tcPr>
            <w:tcW w:w="92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Fair Value</w:t>
            </w:r>
          </w:p>
        </w:tc>
      </w:tr>
      <w:tr>
        <w:trPr>
          <w:trHeight w:val="189"/>
        </w:trPr>
        <w:tc>
          <w:tcPr>
            <w:tcW w:w="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4"/>
                <w:szCs w:val="14"/>
                <w:b w:val="1"/>
                <w:bCs w:val="1"/>
                <w:color w:val="auto"/>
              </w:rPr>
              <w:t>Plan Awards</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
              <w:spacing w:after="0"/>
              <w:rPr>
                <w:sz w:val="20"/>
                <w:szCs w:val="20"/>
                <w:color w:val="auto"/>
              </w:rPr>
            </w:pPr>
            <w:r>
              <w:rPr>
                <w:rFonts w:ascii="Calibri" w:cs="Calibri" w:eastAsia="Calibri" w:hAnsi="Calibri"/>
                <w:sz w:val="14"/>
                <w:szCs w:val="14"/>
                <w:b w:val="1"/>
                <w:bCs w:val="1"/>
                <w:color w:val="auto"/>
              </w:rPr>
              <w:t>Awards</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Opton</w:t>
            </w:r>
          </w:p>
        </w:tc>
        <w:tc>
          <w:tcPr>
            <w:tcW w:w="92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of Stock</w:t>
            </w:r>
          </w:p>
        </w:tc>
      </w:tr>
      <w:tr>
        <w:trPr>
          <w:trHeight w:val="168"/>
        </w:trPr>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Grant</w:t>
            </w:r>
          </w:p>
        </w:tc>
        <w:tc>
          <w:tcPr>
            <w:tcW w:w="700" w:type="dxa"/>
            <w:vAlign w:val="bottom"/>
          </w:tcPr>
          <w:p>
            <w:pPr>
              <w:ind w:left="40"/>
              <w:spacing w:after="0" w:line="168" w:lineRule="exact"/>
              <w:rPr>
                <w:sz w:val="20"/>
                <w:szCs w:val="20"/>
                <w:color w:val="auto"/>
              </w:rPr>
            </w:pPr>
            <w:r>
              <w:rPr>
                <w:rFonts w:ascii="Calibri" w:cs="Calibri" w:eastAsia="Calibri" w:hAnsi="Calibri"/>
                <w:sz w:val="14"/>
                <w:szCs w:val="14"/>
                <w:b w:val="1"/>
                <w:bCs w:val="1"/>
                <w:color w:val="auto"/>
              </w:rPr>
              <w:t>Threshold</w:t>
            </w:r>
          </w:p>
        </w:tc>
        <w:tc>
          <w:tcPr>
            <w:tcW w:w="180" w:type="dxa"/>
            <w:vAlign w:val="bottom"/>
          </w:tcPr>
          <w:p>
            <w:pPr>
              <w:spacing w:after="0"/>
              <w:rPr>
                <w:sz w:val="14"/>
                <w:szCs w:val="14"/>
                <w:color w:val="auto"/>
              </w:rPr>
            </w:pPr>
          </w:p>
        </w:tc>
        <w:tc>
          <w:tcPr>
            <w:tcW w:w="860" w:type="dxa"/>
            <w:vAlign w:val="bottom"/>
            <w:gridSpan w:val="2"/>
          </w:tcPr>
          <w:p>
            <w:pPr>
              <w:ind w:left="200"/>
              <w:spacing w:after="0" w:line="168" w:lineRule="exact"/>
              <w:rPr>
                <w:sz w:val="20"/>
                <w:szCs w:val="20"/>
                <w:color w:val="auto"/>
              </w:rPr>
            </w:pPr>
            <w:r>
              <w:rPr>
                <w:rFonts w:ascii="Calibri" w:cs="Calibri" w:eastAsia="Calibri" w:hAnsi="Calibri"/>
                <w:sz w:val="14"/>
                <w:szCs w:val="14"/>
                <w:b w:val="1"/>
                <w:bCs w:val="1"/>
                <w:color w:val="auto"/>
              </w:rPr>
              <w:t>Target</w:t>
            </w:r>
          </w:p>
        </w:tc>
        <w:tc>
          <w:tcPr>
            <w:tcW w:w="220" w:type="dxa"/>
            <w:vAlign w:val="bottom"/>
          </w:tcPr>
          <w:p>
            <w:pPr>
              <w:spacing w:after="0"/>
              <w:rPr>
                <w:sz w:val="14"/>
                <w:szCs w:val="14"/>
                <w:color w:val="auto"/>
              </w:rPr>
            </w:pPr>
          </w:p>
        </w:tc>
        <w:tc>
          <w:tcPr>
            <w:tcW w:w="700" w:type="dxa"/>
            <w:vAlign w:val="bottom"/>
            <w:gridSpan w:val="2"/>
          </w:tcPr>
          <w:p>
            <w:pPr>
              <w:ind w:left="40"/>
              <w:spacing w:after="0" w:line="168" w:lineRule="exact"/>
              <w:rPr>
                <w:sz w:val="20"/>
                <w:szCs w:val="20"/>
                <w:color w:val="auto"/>
              </w:rPr>
            </w:pPr>
            <w:r>
              <w:rPr>
                <w:rFonts w:ascii="Calibri" w:cs="Calibri" w:eastAsia="Calibri" w:hAnsi="Calibri"/>
                <w:sz w:val="14"/>
                <w:szCs w:val="14"/>
                <w:b w:val="1"/>
                <w:bCs w:val="1"/>
                <w:color w:val="auto"/>
              </w:rPr>
              <w:t>Maximum</w:t>
            </w:r>
          </w:p>
        </w:tc>
        <w:tc>
          <w:tcPr>
            <w:tcW w:w="180" w:type="dxa"/>
            <w:vAlign w:val="bottom"/>
          </w:tcPr>
          <w:p>
            <w:pPr>
              <w:spacing w:after="0"/>
              <w:rPr>
                <w:sz w:val="14"/>
                <w:szCs w:val="14"/>
                <w:color w:val="auto"/>
              </w:rPr>
            </w:pPr>
          </w:p>
        </w:tc>
        <w:tc>
          <w:tcPr>
            <w:tcW w:w="900" w:type="dxa"/>
            <w:vAlign w:val="bottom"/>
            <w:gridSpan w:val="2"/>
          </w:tcPr>
          <w:p>
            <w:pPr>
              <w:ind w:left="40"/>
              <w:spacing w:after="0" w:line="168" w:lineRule="exact"/>
              <w:rPr>
                <w:sz w:val="20"/>
                <w:szCs w:val="20"/>
                <w:color w:val="auto"/>
              </w:rPr>
            </w:pPr>
            <w:r>
              <w:rPr>
                <w:rFonts w:ascii="Calibri" w:cs="Calibri" w:eastAsia="Calibri" w:hAnsi="Calibri"/>
                <w:sz w:val="14"/>
                <w:szCs w:val="14"/>
                <w:b w:val="1"/>
                <w:bCs w:val="1"/>
                <w:color w:val="auto"/>
              </w:rPr>
              <w:t>Threshold</w:t>
            </w:r>
          </w:p>
        </w:tc>
        <w:tc>
          <w:tcPr>
            <w:tcW w:w="700" w:type="dxa"/>
            <w:vAlign w:val="bottom"/>
          </w:tcPr>
          <w:p>
            <w:pPr>
              <w:jc w:val="right"/>
              <w:ind w:right="101"/>
              <w:spacing w:after="0" w:line="168" w:lineRule="exact"/>
              <w:rPr>
                <w:sz w:val="20"/>
                <w:szCs w:val="20"/>
                <w:color w:val="auto"/>
              </w:rPr>
            </w:pPr>
            <w:r>
              <w:rPr>
                <w:rFonts w:ascii="Calibri" w:cs="Calibri" w:eastAsia="Calibri" w:hAnsi="Calibri"/>
                <w:sz w:val="14"/>
                <w:szCs w:val="14"/>
                <w:b w:val="1"/>
                <w:bCs w:val="1"/>
                <w:color w:val="auto"/>
              </w:rPr>
              <w:t>Target</w:t>
            </w:r>
          </w:p>
        </w:tc>
        <w:tc>
          <w:tcPr>
            <w:tcW w:w="28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alibri" w:cs="Calibri" w:eastAsia="Calibri" w:hAnsi="Calibri"/>
                <w:sz w:val="14"/>
                <w:szCs w:val="14"/>
                <w:b w:val="1"/>
                <w:bCs w:val="1"/>
                <w:color w:val="auto"/>
              </w:rPr>
              <w:t>Maximum</w:t>
            </w:r>
          </w:p>
        </w:tc>
        <w:tc>
          <w:tcPr>
            <w:tcW w:w="280" w:type="dxa"/>
            <w:vAlign w:val="bottom"/>
          </w:tcPr>
          <w:p>
            <w:pPr>
              <w:spacing w:after="0"/>
              <w:rPr>
                <w:sz w:val="14"/>
                <w:szCs w:val="14"/>
                <w:color w:val="auto"/>
              </w:rPr>
            </w:pPr>
          </w:p>
        </w:tc>
        <w:tc>
          <w:tcPr>
            <w:tcW w:w="900" w:type="dxa"/>
            <w:vAlign w:val="bottom"/>
            <w:gridSpan w:val="2"/>
          </w:tcPr>
          <w:p>
            <w:pPr>
              <w:jc w:val="center"/>
              <w:ind w:right="200"/>
              <w:spacing w:after="0" w:line="168" w:lineRule="exact"/>
              <w:rPr>
                <w:sz w:val="20"/>
                <w:szCs w:val="20"/>
                <w:color w:val="auto"/>
              </w:rPr>
            </w:pPr>
            <w:r>
              <w:rPr>
                <w:rFonts w:ascii="Calibri" w:cs="Calibri" w:eastAsia="Calibri" w:hAnsi="Calibri"/>
                <w:sz w:val="14"/>
                <w:szCs w:val="14"/>
                <w:b w:val="1"/>
                <w:bCs w:val="1"/>
                <w:color w:val="auto"/>
              </w:rPr>
              <w:t>Awards</w:t>
            </w:r>
          </w:p>
        </w:tc>
        <w:tc>
          <w:tcPr>
            <w:tcW w:w="920" w:type="dxa"/>
            <w:vAlign w:val="bottom"/>
            <w:gridSpan w:val="2"/>
          </w:tcPr>
          <w:p>
            <w:pPr>
              <w:jc w:val="center"/>
              <w:ind w:right="120"/>
              <w:spacing w:after="0" w:line="168" w:lineRule="exact"/>
              <w:rPr>
                <w:sz w:val="20"/>
                <w:szCs w:val="20"/>
                <w:color w:val="auto"/>
              </w:rPr>
            </w:pPr>
            <w:r>
              <w:rPr>
                <w:rFonts w:ascii="Calibri" w:cs="Calibri" w:eastAsia="Calibri" w:hAnsi="Calibri"/>
                <w:sz w:val="14"/>
                <w:szCs w:val="14"/>
                <w:b w:val="1"/>
                <w:bCs w:val="1"/>
                <w:color w:val="auto"/>
              </w:rPr>
              <w:t>and Opton</w:t>
            </w:r>
          </w:p>
        </w:tc>
      </w:tr>
      <w:tr>
        <w:trPr>
          <w:trHeight w:val="156"/>
        </w:trPr>
        <w:tc>
          <w:tcPr>
            <w:tcW w:w="2700" w:type="dxa"/>
            <w:vAlign w:val="bottom"/>
            <w:gridSpan w:val="2"/>
          </w:tcPr>
          <w:p>
            <w:pPr>
              <w:spacing w:after="0" w:line="156" w:lineRule="exact"/>
              <w:rPr>
                <w:sz w:val="20"/>
                <w:szCs w:val="20"/>
                <w:color w:val="auto"/>
              </w:rPr>
            </w:pPr>
            <w:r>
              <w:rPr>
                <w:rFonts w:ascii="Calibri" w:cs="Calibri" w:eastAsia="Calibri" w:hAnsi="Calibri"/>
                <w:sz w:val="14"/>
                <w:szCs w:val="14"/>
                <w:b w:val="1"/>
                <w:bCs w:val="1"/>
                <w:color w:val="auto"/>
              </w:rPr>
              <w:t>Name</w:t>
            </w:r>
          </w:p>
        </w:tc>
        <w:tc>
          <w:tcPr>
            <w:tcW w:w="80" w:type="dxa"/>
            <w:vAlign w:val="bottom"/>
          </w:tcPr>
          <w:p>
            <w:pPr>
              <w:spacing w:after="0"/>
              <w:rPr>
                <w:sz w:val="13"/>
                <w:szCs w:val="13"/>
                <w:color w:val="auto"/>
              </w:rPr>
            </w:pPr>
          </w:p>
        </w:tc>
        <w:tc>
          <w:tcPr>
            <w:tcW w:w="920" w:type="dxa"/>
            <w:vAlign w:val="bottom"/>
            <w:gridSpan w:val="2"/>
          </w:tcPr>
          <w:p>
            <w:pPr>
              <w:jc w:val="center"/>
              <w:ind w:right="80"/>
              <w:spacing w:after="0" w:line="156" w:lineRule="exact"/>
              <w:rPr>
                <w:sz w:val="20"/>
                <w:szCs w:val="20"/>
                <w:color w:val="auto"/>
              </w:rPr>
            </w:pPr>
            <w:r>
              <w:rPr>
                <w:rFonts w:ascii="Calibri" w:cs="Calibri" w:eastAsia="Calibri" w:hAnsi="Calibri"/>
                <w:sz w:val="14"/>
                <w:szCs w:val="14"/>
                <w:b w:val="1"/>
                <w:bCs w:val="1"/>
                <w:color w:val="auto"/>
              </w:rPr>
              <w:t>Date</w:t>
            </w:r>
          </w:p>
        </w:tc>
        <w:tc>
          <w:tcPr>
            <w:tcW w:w="700" w:type="dxa"/>
            <w:vAlign w:val="bottom"/>
          </w:tcPr>
          <w:p>
            <w:pPr>
              <w:ind w:left="260"/>
              <w:spacing w:after="0" w:line="156" w:lineRule="exact"/>
              <w:rPr>
                <w:sz w:val="20"/>
                <w:szCs w:val="20"/>
                <w:color w:val="auto"/>
              </w:rPr>
            </w:pPr>
            <w:r>
              <w:rPr>
                <w:rFonts w:ascii="Calibri" w:cs="Calibri" w:eastAsia="Calibri" w:hAnsi="Calibri"/>
                <w:sz w:val="14"/>
                <w:szCs w:val="14"/>
                <w:b w:val="1"/>
                <w:bCs w:val="1"/>
                <w:color w:val="auto"/>
              </w:rPr>
              <w:t>($)</w:t>
            </w:r>
          </w:p>
        </w:tc>
        <w:tc>
          <w:tcPr>
            <w:tcW w:w="960" w:type="dxa"/>
            <w:vAlign w:val="bottom"/>
            <w:gridSpan w:val="2"/>
          </w:tcPr>
          <w:p>
            <w:pPr>
              <w:jc w:val="right"/>
              <w:ind w:right="220"/>
              <w:spacing w:after="0" w:line="156" w:lineRule="exact"/>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ind w:left="40"/>
              <w:spacing w:after="0" w:line="156" w:lineRule="exact"/>
              <w:rPr>
                <w:sz w:val="20"/>
                <w:szCs w:val="20"/>
                <w:color w:val="auto"/>
              </w:rPr>
            </w:pPr>
            <w:r>
              <w:rPr>
                <w:rFonts w:ascii="Calibri" w:cs="Calibri" w:eastAsia="Calibri" w:hAnsi="Calibri"/>
                <w:sz w:val="14"/>
                <w:szCs w:val="14"/>
                <w:b w:val="1"/>
                <w:bCs w:val="1"/>
                <w:color w:val="auto"/>
              </w:rPr>
              <w:t>($)</w:t>
            </w:r>
          </w:p>
        </w:tc>
        <w:tc>
          <w:tcPr>
            <w:tcW w:w="180" w:type="dxa"/>
            <w:vAlign w:val="bottom"/>
          </w:tcPr>
          <w:p>
            <w:pPr>
              <w:spacing w:after="0"/>
              <w:rPr>
                <w:sz w:val="13"/>
                <w:szCs w:val="13"/>
                <w:color w:val="auto"/>
              </w:rPr>
            </w:pPr>
          </w:p>
        </w:tc>
        <w:tc>
          <w:tcPr>
            <w:tcW w:w="700" w:type="dxa"/>
            <w:vAlign w:val="bottom"/>
          </w:tcPr>
          <w:p>
            <w:pPr>
              <w:ind w:left="260"/>
              <w:spacing w:after="0" w:line="156"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700" w:type="dxa"/>
            <w:vAlign w:val="bottom"/>
          </w:tcPr>
          <w:p>
            <w:pPr>
              <w:jc w:val="right"/>
              <w:ind w:right="201"/>
              <w:spacing w:after="0" w:line="156" w:lineRule="exact"/>
              <w:rPr>
                <w:sz w:val="20"/>
                <w:szCs w:val="20"/>
                <w:color w:val="auto"/>
              </w:rPr>
            </w:pPr>
            <w:r>
              <w:rPr>
                <w:rFonts w:ascii="Calibri" w:cs="Calibri" w:eastAsia="Calibri" w:hAnsi="Calibri"/>
                <w:sz w:val="14"/>
                <w:szCs w:val="14"/>
                <w:b w:val="1"/>
                <w:bCs w:val="1"/>
                <w:color w:val="auto"/>
              </w:rPr>
              <w:t>(#)</w:t>
            </w:r>
          </w:p>
        </w:tc>
        <w:tc>
          <w:tcPr>
            <w:tcW w:w="280" w:type="dxa"/>
            <w:vAlign w:val="bottom"/>
          </w:tcPr>
          <w:p>
            <w:pPr>
              <w:spacing w:after="0"/>
              <w:rPr>
                <w:sz w:val="13"/>
                <w:szCs w:val="13"/>
                <w:color w:val="auto"/>
              </w:rPr>
            </w:pPr>
          </w:p>
        </w:tc>
        <w:tc>
          <w:tcPr>
            <w:tcW w:w="720" w:type="dxa"/>
            <w:vAlign w:val="bottom"/>
          </w:tcPr>
          <w:p>
            <w:pPr>
              <w:jc w:val="right"/>
              <w:ind w:right="200"/>
              <w:spacing w:after="0" w:line="156" w:lineRule="exact"/>
              <w:rPr>
                <w:sz w:val="20"/>
                <w:szCs w:val="20"/>
                <w:color w:val="auto"/>
              </w:rPr>
            </w:pPr>
            <w:r>
              <w:rPr>
                <w:rFonts w:ascii="Calibri" w:cs="Calibri" w:eastAsia="Calibri" w:hAnsi="Calibri"/>
                <w:sz w:val="14"/>
                <w:szCs w:val="14"/>
                <w:b w:val="1"/>
                <w:bCs w:val="1"/>
                <w:color w:val="auto"/>
              </w:rPr>
              <w:t>(#)</w:t>
            </w:r>
          </w:p>
        </w:tc>
        <w:tc>
          <w:tcPr>
            <w:tcW w:w="280" w:type="dxa"/>
            <w:vAlign w:val="bottom"/>
          </w:tcPr>
          <w:p>
            <w:pPr>
              <w:spacing w:after="0"/>
              <w:rPr>
                <w:sz w:val="13"/>
                <w:szCs w:val="13"/>
                <w:color w:val="auto"/>
              </w:rPr>
            </w:pPr>
          </w:p>
        </w:tc>
        <w:tc>
          <w:tcPr>
            <w:tcW w:w="900" w:type="dxa"/>
            <w:vAlign w:val="bottom"/>
            <w:gridSpan w:val="2"/>
          </w:tcPr>
          <w:p>
            <w:pPr>
              <w:jc w:val="center"/>
              <w:ind w:right="200"/>
              <w:spacing w:after="0" w:line="156" w:lineRule="exact"/>
              <w:rPr>
                <w:sz w:val="20"/>
                <w:szCs w:val="20"/>
                <w:color w:val="auto"/>
              </w:rPr>
            </w:pPr>
            <w:r>
              <w:rPr>
                <w:rFonts w:ascii="Calibri" w:cs="Calibri" w:eastAsia="Calibri" w:hAnsi="Calibri"/>
                <w:sz w:val="14"/>
                <w:szCs w:val="14"/>
                <w:b w:val="1"/>
                <w:bCs w:val="1"/>
                <w:color w:val="auto"/>
                <w:w w:val="97"/>
              </w:rPr>
              <w:t>($/sh)</w:t>
            </w:r>
          </w:p>
        </w:tc>
        <w:tc>
          <w:tcPr>
            <w:tcW w:w="920" w:type="dxa"/>
            <w:vAlign w:val="bottom"/>
            <w:gridSpan w:val="2"/>
          </w:tcPr>
          <w:p>
            <w:pPr>
              <w:jc w:val="center"/>
              <w:ind w:right="120"/>
              <w:spacing w:after="0" w:line="156" w:lineRule="exact"/>
              <w:rPr>
                <w:sz w:val="20"/>
                <w:szCs w:val="20"/>
                <w:color w:val="auto"/>
              </w:rPr>
            </w:pPr>
            <w:r>
              <w:rPr>
                <w:rFonts w:ascii="Calibri" w:cs="Calibri" w:eastAsia="Calibri" w:hAnsi="Calibri"/>
                <w:sz w:val="11"/>
                <w:szCs w:val="11"/>
                <w:b w:val="1"/>
                <w:bCs w:val="1"/>
                <w:color w:val="auto"/>
              </w:rPr>
              <w:t>Awards</w:t>
            </w:r>
            <w:r>
              <w:rPr>
                <w:rFonts w:ascii="Calibri" w:cs="Calibri" w:eastAsia="Calibri" w:hAnsi="Calibri"/>
                <w:sz w:val="17"/>
                <w:szCs w:val="17"/>
                <w:b w:val="1"/>
                <w:bCs w:val="1"/>
                <w:color w:val="auto"/>
                <w:vertAlign w:val="superscript"/>
              </w:rPr>
              <w:t>(1)</w:t>
            </w:r>
          </w:p>
        </w:tc>
      </w:tr>
      <w:tr>
        <w:trPr>
          <w:trHeight w:val="20"/>
        </w:trPr>
        <w:tc>
          <w:tcPr>
            <w:tcW w:w="360" w:type="dxa"/>
            <w:vAlign w:val="bottom"/>
            <w:tcBorders>
              <w:top w:val="single" w:sz="8" w:color="auto"/>
              <w:bottom w:val="single" w:sz="8" w:color="CFF0FC"/>
            </w:tcBorders>
          </w:tcPr>
          <w:p>
            <w:pPr>
              <w:spacing w:after="0" w:line="20" w:lineRule="exact"/>
              <w:rPr>
                <w:sz w:val="1"/>
                <w:szCs w:val="1"/>
                <w:color w:val="auto"/>
              </w:rPr>
            </w:pPr>
          </w:p>
        </w:tc>
        <w:tc>
          <w:tcPr>
            <w:tcW w:w="23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90"/>
        </w:trPr>
        <w:tc>
          <w:tcPr>
            <w:tcW w:w="2700" w:type="dxa"/>
            <w:vAlign w:val="bottom"/>
            <w:gridSpan w:val="2"/>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center"/>
              <w:spacing w:after="0" w:line="189" w:lineRule="exact"/>
              <w:rPr>
                <w:sz w:val="20"/>
                <w:szCs w:val="20"/>
                <w:color w:val="auto"/>
              </w:rPr>
            </w:pPr>
            <w:r>
              <w:rPr>
                <w:rFonts w:ascii="Calibri" w:cs="Calibri" w:eastAsia="Calibri" w:hAnsi="Calibri"/>
                <w:sz w:val="16"/>
                <w:szCs w:val="16"/>
                <w:color w:val="auto"/>
              </w:rPr>
              <w:t>5/17/21</w:t>
            </w: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ind w:left="540"/>
              <w:spacing w:after="0" w:line="189" w:lineRule="exact"/>
              <w:rPr>
                <w:sz w:val="20"/>
                <w:szCs w:val="20"/>
                <w:color w:val="auto"/>
              </w:rPr>
            </w:pPr>
            <w:r>
              <w:rPr>
                <w:rFonts w:ascii="Calibri" w:cs="Calibri" w:eastAsia="Calibri" w:hAnsi="Calibri"/>
                <w:sz w:val="16"/>
                <w:szCs w:val="16"/>
                <w:color w:val="auto"/>
                <w:w w:val="96"/>
              </w:rPr>
              <w:t>—</w:t>
            </w: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Calibri" w:cs="Calibri" w:eastAsia="Calibri" w:hAnsi="Calibri"/>
                <w:sz w:val="16"/>
                <w:szCs w:val="16"/>
                <w:color w:val="auto"/>
                <w:w w:val="99"/>
              </w:rPr>
              <w:t>$ 1,728,296</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w:t>
            </w: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ind w:left="320"/>
              <w:spacing w:after="0" w:line="189" w:lineRule="exact"/>
              <w:rPr>
                <w:sz w:val="20"/>
                <w:szCs w:val="20"/>
                <w:color w:val="auto"/>
              </w:rPr>
            </w:pPr>
            <w:r>
              <w:rPr>
                <w:rFonts w:ascii="Calibri" w:cs="Calibri" w:eastAsia="Calibri" w:hAnsi="Calibri"/>
                <w:sz w:val="16"/>
                <w:szCs w:val="16"/>
                <w:color w:val="auto"/>
                <w:w w:val="96"/>
              </w:rPr>
              <w:t>—</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ind w:left="540"/>
              <w:spacing w:after="0" w:line="189" w:lineRule="exact"/>
              <w:rPr>
                <w:sz w:val="20"/>
                <w:szCs w:val="20"/>
                <w:color w:val="auto"/>
              </w:rPr>
            </w:pPr>
            <w:r>
              <w:rPr>
                <w:rFonts w:ascii="Calibri" w:cs="Calibri" w:eastAsia="Calibri" w:hAnsi="Calibri"/>
                <w:sz w:val="16"/>
                <w:szCs w:val="16"/>
                <w:color w:val="auto"/>
                <w:w w:val="96"/>
              </w:rPr>
              <w:t>—</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Calibri" w:cs="Calibri" w:eastAsia="Calibri" w:hAnsi="Calibri"/>
                <w:sz w:val="16"/>
                <w:szCs w:val="16"/>
                <w:color w:val="auto"/>
              </w:rPr>
              <w:t>—</w:t>
            </w: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Calibri" w:cs="Calibri" w:eastAsia="Calibri" w:hAnsi="Calibri"/>
                <w:sz w:val="16"/>
                <w:szCs w:val="16"/>
                <w:color w:val="auto"/>
              </w:rPr>
              <w:t>—</w:t>
            </w: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line="189" w:lineRule="exact"/>
              <w:rPr>
                <w:sz w:val="20"/>
                <w:szCs w:val="20"/>
                <w:color w:val="auto"/>
              </w:rPr>
            </w:pPr>
            <w:r>
              <w:rPr>
                <w:rFonts w:ascii="Calibri" w:cs="Calibri" w:eastAsia="Calibri" w:hAnsi="Calibri"/>
                <w:sz w:val="16"/>
                <w:szCs w:val="16"/>
                <w:color w:val="auto"/>
                <w:w w:val="96"/>
              </w:rPr>
              <w: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Calibri" w:cs="Calibri" w:eastAsia="Calibri" w:hAnsi="Calibri"/>
                <w:sz w:val="16"/>
                <w:szCs w:val="16"/>
                <w:color w:val="auto"/>
              </w:rPr>
              <w:t>—</w:t>
            </w:r>
          </w:p>
        </w:tc>
        <w:tc>
          <w:tcPr>
            <w:tcW w:w="100" w:type="dxa"/>
            <w:vAlign w:val="bottom"/>
            <w:shd w:val="clear" w:color="auto" w:fill="CFF0FC"/>
          </w:tcPr>
          <w:p>
            <w:pPr>
              <w:spacing w:after="0"/>
              <w:rPr>
                <w:sz w:val="16"/>
                <w:szCs w:val="16"/>
                <w:color w:val="auto"/>
              </w:rPr>
            </w:pPr>
          </w:p>
        </w:tc>
      </w:tr>
      <w:tr>
        <w:trPr>
          <w:trHeight w:val="216"/>
        </w:trPr>
        <w:tc>
          <w:tcPr>
            <w:tcW w:w="3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gridSpan w:val="2"/>
            <w:shd w:val="clear" w:color="auto" w:fill="CFF0FC"/>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14,363</w:t>
            </w:r>
          </w:p>
        </w:tc>
        <w:tc>
          <w:tcPr>
            <w:tcW w:w="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w:t>
            </w:r>
          </w:p>
        </w:tc>
        <w:tc>
          <w:tcPr>
            <w:tcW w:w="900" w:type="dxa"/>
            <w:vAlign w:val="bottom"/>
            <w:gridSpan w:val="2"/>
            <w:shd w:val="clear" w:color="auto" w:fill="CFF0FC"/>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$ 2,000,000</w:t>
            </w:r>
          </w:p>
        </w:tc>
        <w:tc>
          <w:tcPr>
            <w:tcW w:w="100" w:type="dxa"/>
            <w:vAlign w:val="bottom"/>
            <w:shd w:val="clear" w:color="auto" w:fill="CFF0FC"/>
          </w:tcPr>
          <w:p>
            <w:pPr>
              <w:spacing w:after="0"/>
              <w:rPr>
                <w:sz w:val="18"/>
                <w:szCs w:val="18"/>
                <w:color w:val="auto"/>
              </w:rPr>
            </w:pPr>
          </w:p>
        </w:tc>
      </w:tr>
      <w:tr>
        <w:trPr>
          <w:trHeight w:val="216"/>
        </w:trPr>
        <w:tc>
          <w:tcPr>
            <w:tcW w:w="360" w:type="dxa"/>
            <w:vAlign w:val="bottom"/>
            <w:tcBorders>
              <w:bottom w:val="single" w:sz="8" w:color="CFF0FC"/>
            </w:tcBorders>
            <w:shd w:val="clear" w:color="auto" w:fill="CFF0FC"/>
          </w:tcPr>
          <w:p>
            <w:pPr>
              <w:spacing w:after="0"/>
              <w:rPr>
                <w:sz w:val="18"/>
                <w:szCs w:val="18"/>
                <w:color w:val="auto"/>
              </w:rPr>
            </w:pPr>
          </w:p>
        </w:tc>
        <w:tc>
          <w:tcPr>
            <w:tcW w:w="23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gridSpan w:val="2"/>
            <w:shd w:val="clear" w:color="auto" w:fill="CFF0FC"/>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tcBorders>
              <w:bottom w:val="single" w:sz="8" w:color="CFF0FC"/>
            </w:tcBorders>
            <w:gridSpan w:val="2"/>
            <w:shd w:val="clear" w:color="auto" w:fill="CFF0FC"/>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14,363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17,236</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900" w:type="dxa"/>
            <w:vAlign w:val="bottom"/>
            <w:tcBorders>
              <w:bottom w:val="single" w:sz="8" w:color="CFF0FC"/>
            </w:tcBorders>
            <w:gridSpan w:val="2"/>
            <w:shd w:val="clear" w:color="auto" w:fill="CFF0FC"/>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2,000,000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2700" w:type="dxa"/>
            <w:vAlign w:val="bottom"/>
            <w:gridSpan w:val="2"/>
          </w:tcPr>
          <w:p>
            <w:pPr>
              <w:spacing w:after="0" w:line="193" w:lineRule="exact"/>
              <w:rPr>
                <w:sz w:val="20"/>
                <w:szCs w:val="20"/>
                <w:color w:val="auto"/>
              </w:rPr>
            </w:pPr>
            <w:r>
              <w:rPr>
                <w:rFonts w:ascii="Calibri" w:cs="Calibri" w:eastAsia="Calibri" w:hAnsi="Calibri"/>
                <w:sz w:val="16"/>
                <w:szCs w:val="16"/>
                <w:color w:val="auto"/>
              </w:rPr>
              <w:t>D. Craig Kesler</w:t>
            </w:r>
          </w:p>
        </w:tc>
        <w:tc>
          <w:tcPr>
            <w:tcW w:w="80" w:type="dxa"/>
            <w:vAlign w:val="bottom"/>
          </w:tcPr>
          <w:p>
            <w:pPr>
              <w:spacing w:after="0"/>
              <w:rPr>
                <w:sz w:val="17"/>
                <w:szCs w:val="17"/>
                <w:color w:val="auto"/>
              </w:rPr>
            </w:pPr>
          </w:p>
        </w:tc>
        <w:tc>
          <w:tcPr>
            <w:tcW w:w="840" w:type="dxa"/>
            <w:vAlign w:val="bottom"/>
          </w:tcPr>
          <w:p>
            <w:pPr>
              <w:jc w:val="center"/>
              <w:spacing w:after="0" w:line="193" w:lineRule="exact"/>
              <w:rPr>
                <w:sz w:val="20"/>
                <w:szCs w:val="20"/>
                <w:color w:val="auto"/>
              </w:rPr>
            </w:pPr>
            <w:r>
              <w:rPr>
                <w:rFonts w:ascii="Calibri" w:cs="Calibri" w:eastAsia="Calibri" w:hAnsi="Calibri"/>
                <w:sz w:val="16"/>
                <w:szCs w:val="16"/>
                <w:color w:val="auto"/>
              </w:rPr>
              <w:t>5/17/21</w:t>
            </w:r>
          </w:p>
        </w:tc>
        <w:tc>
          <w:tcPr>
            <w:tcW w:w="80" w:type="dxa"/>
            <w:vAlign w:val="bottom"/>
          </w:tcPr>
          <w:p>
            <w:pPr>
              <w:spacing w:after="0"/>
              <w:rPr>
                <w:sz w:val="17"/>
                <w:szCs w:val="17"/>
                <w:color w:val="auto"/>
              </w:rPr>
            </w:pPr>
          </w:p>
        </w:tc>
        <w:tc>
          <w:tcPr>
            <w:tcW w:w="700" w:type="dxa"/>
            <w:vAlign w:val="bottom"/>
          </w:tcPr>
          <w:p>
            <w:pPr>
              <w:ind w:left="540"/>
              <w:spacing w:after="0" w:line="193" w:lineRule="exact"/>
              <w:rPr>
                <w:sz w:val="20"/>
                <w:szCs w:val="20"/>
                <w:color w:val="auto"/>
              </w:rPr>
            </w:pPr>
            <w:r>
              <w:rPr>
                <w:rFonts w:ascii="Calibri" w:cs="Calibri" w:eastAsia="Calibri" w:hAnsi="Calibri"/>
                <w:sz w:val="16"/>
                <w:szCs w:val="16"/>
                <w:color w:val="auto"/>
                <w:w w:val="96"/>
              </w:rPr>
              <w:t>—</w:t>
            </w:r>
          </w:p>
        </w:tc>
        <w:tc>
          <w:tcPr>
            <w:tcW w:w="9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1,327,084</w:t>
            </w:r>
          </w:p>
        </w:tc>
        <w:tc>
          <w:tcPr>
            <w:tcW w:w="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alibri" w:cs="Calibri" w:eastAsia="Calibri" w:hAnsi="Calibri"/>
                <w:sz w:val="14"/>
                <w:szCs w:val="14"/>
                <w:color w:val="auto"/>
              </w:rPr>
              <w:t>(2)</w:t>
            </w:r>
          </w:p>
        </w:tc>
        <w:tc>
          <w:tcPr>
            <w:tcW w:w="220" w:type="dxa"/>
            <w:vAlign w:val="bottom"/>
          </w:tcPr>
          <w:p>
            <w:pPr>
              <w:spacing w:after="0"/>
              <w:rPr>
                <w:sz w:val="17"/>
                <w:szCs w:val="17"/>
                <w:color w:val="auto"/>
              </w:rPr>
            </w:pPr>
          </w:p>
        </w:tc>
        <w:tc>
          <w:tcPr>
            <w:tcW w:w="660" w:type="dxa"/>
            <w:vAlign w:val="bottom"/>
            <w:gridSpan w:val="2"/>
          </w:tcPr>
          <w:p>
            <w:pPr>
              <w:ind w:left="320"/>
              <w:spacing w:after="0" w:line="193" w:lineRule="exact"/>
              <w:rPr>
                <w:sz w:val="20"/>
                <w:szCs w:val="20"/>
                <w:color w:val="auto"/>
              </w:rPr>
            </w:pPr>
            <w:r>
              <w:rPr>
                <w:rFonts w:ascii="Calibri" w:cs="Calibri" w:eastAsia="Calibri" w:hAnsi="Calibri"/>
                <w:sz w:val="16"/>
                <w:szCs w:val="16"/>
                <w:color w:val="auto"/>
              </w:rPr>
              <w:t>—</w:t>
            </w:r>
          </w:p>
        </w:tc>
        <w:tc>
          <w:tcPr>
            <w:tcW w:w="900" w:type="dxa"/>
            <w:vAlign w:val="bottom"/>
            <w:gridSpan w:val="2"/>
          </w:tcPr>
          <w:p>
            <w:pPr>
              <w:ind w:left="540"/>
              <w:spacing w:after="0" w:line="193" w:lineRule="exact"/>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7"/>
                <w:szCs w:val="17"/>
                <w:color w:val="auto"/>
              </w:rPr>
            </w:pP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ind w:left="560"/>
              <w:spacing w:after="0" w:line="193" w:lineRule="exact"/>
              <w:rPr>
                <w:sz w:val="20"/>
                <w:szCs w:val="20"/>
                <w:color w:val="auto"/>
              </w:rPr>
            </w:pPr>
            <w:r>
              <w:rPr>
                <w:rFonts w:ascii="Calibri" w:cs="Calibri" w:eastAsia="Calibri" w:hAnsi="Calibri"/>
                <w:sz w:val="16"/>
                <w:szCs w:val="16"/>
                <w:color w:val="auto"/>
              </w:rPr>
              <w:t>—</w:t>
            </w:r>
          </w:p>
        </w:tc>
        <w:tc>
          <w:tcPr>
            <w:tcW w:w="920" w:type="dxa"/>
            <w:vAlign w:val="bottom"/>
            <w:gridSpan w:val="2"/>
          </w:tcPr>
          <w:p>
            <w:pPr>
              <w:jc w:val="right"/>
              <w:ind w:right="120"/>
              <w:spacing w:after="0" w:line="193" w:lineRule="exact"/>
              <w:rPr>
                <w:sz w:val="20"/>
                <w:szCs w:val="20"/>
                <w:color w:val="auto"/>
              </w:rPr>
            </w:pPr>
            <w:r>
              <w:rPr>
                <w:rFonts w:ascii="Calibri" w:cs="Calibri" w:eastAsia="Calibri" w:hAnsi="Calibri"/>
                <w:sz w:val="16"/>
                <w:szCs w:val="16"/>
                <w:color w:val="auto"/>
              </w:rPr>
              <w:t>—</w:t>
            </w:r>
          </w:p>
        </w:tc>
      </w:tr>
      <w:tr>
        <w:trPr>
          <w:trHeight w:val="216"/>
        </w:trPr>
        <w:tc>
          <w:tcPr>
            <w:tcW w:w="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gridSpan w:val="2"/>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auto"/>
              </w:rPr>
              <w:t>3,591</w:t>
            </w:r>
          </w:p>
        </w:tc>
        <w:tc>
          <w:tcPr>
            <w:tcW w:w="280" w:type="dxa"/>
            <w:vAlign w:val="bottom"/>
          </w:tcPr>
          <w:p>
            <w:pPr>
              <w:jc w:val="right"/>
              <w:spacing w:after="0"/>
              <w:rPr>
                <w:sz w:val="20"/>
                <w:szCs w:val="20"/>
                <w:color w:val="auto"/>
              </w:rPr>
            </w:pPr>
            <w:r>
              <w:rPr>
                <w:rFonts w:ascii="Calibri" w:cs="Calibri" w:eastAsia="Calibri" w:hAnsi="Calibri"/>
                <w:sz w:val="14"/>
                <w:szCs w:val="14"/>
                <w:color w:val="auto"/>
              </w:rPr>
              <w:t>(3)</w:t>
            </w:r>
          </w:p>
        </w:tc>
        <w:tc>
          <w:tcPr>
            <w:tcW w:w="900" w:type="dxa"/>
            <w:vAlign w:val="bottom"/>
            <w:gridSpan w:val="2"/>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500,000</w:t>
            </w:r>
          </w:p>
        </w:tc>
        <w:tc>
          <w:tcPr>
            <w:tcW w:w="100" w:type="dxa"/>
            <w:vAlign w:val="bottom"/>
          </w:tcPr>
          <w:p>
            <w:pPr>
              <w:spacing w:after="0"/>
              <w:rPr>
                <w:sz w:val="18"/>
                <w:szCs w:val="18"/>
                <w:color w:val="auto"/>
              </w:rPr>
            </w:pPr>
          </w:p>
        </w:tc>
      </w:tr>
      <w:tr>
        <w:trPr>
          <w:trHeight w:val="226"/>
        </w:trPr>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gridSpan w:val="2"/>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3,591</w:t>
            </w:r>
          </w:p>
        </w:tc>
        <w:tc>
          <w:tcPr>
            <w:tcW w:w="280" w:type="dxa"/>
            <w:vAlign w:val="bottom"/>
          </w:tcPr>
          <w:p>
            <w:pPr>
              <w:jc w:val="right"/>
              <w:spacing w:after="0"/>
              <w:rPr>
                <w:sz w:val="20"/>
                <w:szCs w:val="20"/>
                <w:color w:val="auto"/>
              </w:rPr>
            </w:pPr>
            <w:r>
              <w:rPr>
                <w:rFonts w:ascii="Calibri" w:cs="Calibri" w:eastAsia="Calibri" w:hAnsi="Calibri"/>
                <w:sz w:val="14"/>
                <w:szCs w:val="14"/>
                <w:color w:val="auto"/>
              </w:rPr>
              <w:t>(4)</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4,309</w:t>
            </w:r>
          </w:p>
        </w:tc>
        <w:tc>
          <w:tcPr>
            <w:tcW w:w="280" w:type="dxa"/>
            <w:vAlign w:val="bottom"/>
          </w:tcPr>
          <w:p>
            <w:pPr>
              <w:jc w:val="right"/>
              <w:spacing w:after="0"/>
              <w:rPr>
                <w:sz w:val="20"/>
                <w:szCs w:val="20"/>
                <w:color w:val="auto"/>
              </w:rPr>
            </w:pPr>
            <w:r>
              <w:rPr>
                <w:rFonts w:ascii="Calibri" w:cs="Calibri" w:eastAsia="Calibri" w:hAnsi="Calibri"/>
                <w:sz w:val="14"/>
                <w:szCs w:val="14"/>
                <w:color w:val="auto"/>
              </w:rPr>
              <w:t>(4)</w:t>
            </w:r>
          </w:p>
        </w:tc>
        <w:tc>
          <w:tcPr>
            <w:tcW w:w="900" w:type="dxa"/>
            <w:vAlign w:val="bottom"/>
            <w:gridSpan w:val="2"/>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500,000</w:t>
            </w:r>
          </w:p>
        </w:tc>
        <w:tc>
          <w:tcPr>
            <w:tcW w:w="100" w:type="dxa"/>
            <w:vAlign w:val="bottom"/>
          </w:tcPr>
          <w:p>
            <w:pPr>
              <w:spacing w:after="0"/>
              <w:rPr>
                <w:sz w:val="19"/>
                <w:szCs w:val="19"/>
                <w:color w:val="auto"/>
              </w:rPr>
            </w:pPr>
          </w:p>
        </w:tc>
      </w:tr>
      <w:tr>
        <w:trPr>
          <w:trHeight w:val="206"/>
        </w:trPr>
        <w:tc>
          <w:tcPr>
            <w:tcW w:w="2700" w:type="dxa"/>
            <w:vAlign w:val="bottom"/>
            <w:gridSpan w:val="2"/>
            <w:shd w:val="clear" w:color="auto" w:fill="CFF0FC"/>
          </w:tcPr>
          <w:p>
            <w:pPr>
              <w:spacing w:after="0"/>
              <w:rPr>
                <w:sz w:val="20"/>
                <w:szCs w:val="20"/>
                <w:color w:val="auto"/>
              </w:rPr>
            </w:pPr>
            <w:r>
              <w:rPr>
                <w:rFonts w:ascii="Calibri" w:cs="Calibri" w:eastAsia="Calibri" w:hAnsi="Calibri"/>
                <w:sz w:val="16"/>
                <w:szCs w:val="16"/>
                <w:color w:val="auto"/>
              </w:rPr>
              <w:t>Robert S. Stewart</w:t>
            </w:r>
          </w:p>
        </w:tc>
        <w:tc>
          <w:tcPr>
            <w:tcW w:w="920" w:type="dxa"/>
            <w:vAlign w:val="bottom"/>
            <w:gridSpan w:val="2"/>
            <w:shd w:val="clear" w:color="auto" w:fill="CFF0FC"/>
          </w:tcPr>
          <w:p>
            <w:pPr>
              <w:jc w:val="center"/>
              <w:spacing w:after="0"/>
              <w:rPr>
                <w:sz w:val="20"/>
                <w:szCs w:val="20"/>
                <w:color w:val="auto"/>
              </w:rPr>
            </w:pPr>
            <w:r>
              <w:rPr>
                <w:rFonts w:ascii="Calibri" w:cs="Calibri" w:eastAsia="Calibri" w:hAnsi="Calibri"/>
                <w:sz w:val="16"/>
                <w:szCs w:val="16"/>
                <w:color w:val="auto"/>
              </w:rPr>
              <w:t>5/17/21</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ind w:left="540"/>
              <w:spacing w:after="0"/>
              <w:rPr>
                <w:sz w:val="20"/>
                <w:szCs w:val="20"/>
                <w:color w:val="auto"/>
              </w:rPr>
            </w:pPr>
            <w:r>
              <w:rPr>
                <w:rFonts w:ascii="Calibri" w:cs="Calibri" w:eastAsia="Calibri" w:hAnsi="Calibri"/>
                <w:sz w:val="16"/>
                <w:szCs w:val="16"/>
                <w:color w:val="auto"/>
                <w:w w:val="96"/>
              </w:rPr>
              <w:t>—</w:t>
            </w:r>
          </w:p>
        </w:tc>
        <w:tc>
          <w:tcPr>
            <w:tcW w:w="96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1,141,910</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ind w:left="560"/>
              <w:spacing w:after="0"/>
              <w:rPr>
                <w:sz w:val="20"/>
                <w:szCs w:val="20"/>
                <w:color w:val="auto"/>
              </w:rPr>
            </w:pPr>
            <w:r>
              <w:rPr>
                <w:rFonts w:ascii="Calibri" w:cs="Calibri" w:eastAsia="Calibri" w:hAnsi="Calibri"/>
                <w:sz w:val="16"/>
                <w:szCs w:val="16"/>
                <w:color w:val="auto"/>
              </w:rPr>
              <w:t>—</w:t>
            </w:r>
          </w:p>
        </w:tc>
        <w:tc>
          <w:tcPr>
            <w:tcW w:w="9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r>
      <w:tr>
        <w:trPr>
          <w:trHeight w:val="216"/>
        </w:trPr>
        <w:tc>
          <w:tcPr>
            <w:tcW w:w="3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gridSpan w:val="2"/>
            <w:shd w:val="clear" w:color="auto" w:fill="CFF0FC"/>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3,232</w:t>
            </w:r>
          </w:p>
        </w:tc>
        <w:tc>
          <w:tcPr>
            <w:tcW w:w="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w:t>
            </w:r>
          </w:p>
        </w:tc>
        <w:tc>
          <w:tcPr>
            <w:tcW w:w="900" w:type="dxa"/>
            <w:vAlign w:val="bottom"/>
            <w:gridSpan w:val="2"/>
            <w:shd w:val="clear" w:color="auto" w:fill="CFF0FC"/>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450,000</w:t>
            </w:r>
          </w:p>
        </w:tc>
        <w:tc>
          <w:tcPr>
            <w:tcW w:w="100" w:type="dxa"/>
            <w:vAlign w:val="bottom"/>
            <w:shd w:val="clear" w:color="auto" w:fill="CFF0FC"/>
          </w:tcPr>
          <w:p>
            <w:pPr>
              <w:spacing w:after="0"/>
              <w:rPr>
                <w:sz w:val="18"/>
                <w:szCs w:val="18"/>
                <w:color w:val="auto"/>
              </w:rPr>
            </w:pPr>
          </w:p>
        </w:tc>
      </w:tr>
      <w:tr>
        <w:trPr>
          <w:trHeight w:val="216"/>
        </w:trPr>
        <w:tc>
          <w:tcPr>
            <w:tcW w:w="360" w:type="dxa"/>
            <w:vAlign w:val="bottom"/>
            <w:tcBorders>
              <w:bottom w:val="single" w:sz="8" w:color="CFF0FC"/>
            </w:tcBorders>
            <w:shd w:val="clear" w:color="auto" w:fill="CFF0FC"/>
          </w:tcPr>
          <w:p>
            <w:pPr>
              <w:spacing w:after="0"/>
              <w:rPr>
                <w:sz w:val="18"/>
                <w:szCs w:val="18"/>
                <w:color w:val="auto"/>
              </w:rPr>
            </w:pPr>
          </w:p>
        </w:tc>
        <w:tc>
          <w:tcPr>
            <w:tcW w:w="23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gridSpan w:val="2"/>
            <w:shd w:val="clear" w:color="auto" w:fill="CFF0FC"/>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tcBorders>
              <w:bottom w:val="single" w:sz="8" w:color="CFF0FC"/>
            </w:tcBorders>
            <w:gridSpan w:val="2"/>
            <w:shd w:val="clear" w:color="auto" w:fill="CFF0FC"/>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3,232</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3,878</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900" w:type="dxa"/>
            <w:vAlign w:val="bottom"/>
            <w:tcBorders>
              <w:bottom w:val="single" w:sz="8" w:color="CFF0FC"/>
            </w:tcBorders>
            <w:gridSpan w:val="2"/>
            <w:shd w:val="clear" w:color="auto" w:fill="CFF0FC"/>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450,000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2700" w:type="dxa"/>
            <w:vAlign w:val="bottom"/>
            <w:gridSpan w:val="2"/>
          </w:tcPr>
          <w:p>
            <w:pPr>
              <w:spacing w:after="0" w:line="193" w:lineRule="exact"/>
              <w:rPr>
                <w:sz w:val="20"/>
                <w:szCs w:val="20"/>
                <w:color w:val="auto"/>
              </w:rPr>
            </w:pPr>
            <w:r>
              <w:rPr>
                <w:rFonts w:ascii="Calibri" w:cs="Calibri" w:eastAsia="Calibri" w:hAnsi="Calibri"/>
                <w:sz w:val="16"/>
                <w:szCs w:val="16"/>
                <w:color w:val="auto"/>
              </w:rPr>
              <w:t>James H. Graass</w:t>
            </w:r>
          </w:p>
        </w:tc>
        <w:tc>
          <w:tcPr>
            <w:tcW w:w="80" w:type="dxa"/>
            <w:vAlign w:val="bottom"/>
          </w:tcPr>
          <w:p>
            <w:pPr>
              <w:spacing w:after="0"/>
              <w:rPr>
                <w:sz w:val="17"/>
                <w:szCs w:val="17"/>
                <w:color w:val="auto"/>
              </w:rPr>
            </w:pPr>
          </w:p>
        </w:tc>
        <w:tc>
          <w:tcPr>
            <w:tcW w:w="840" w:type="dxa"/>
            <w:vAlign w:val="bottom"/>
          </w:tcPr>
          <w:p>
            <w:pPr>
              <w:jc w:val="center"/>
              <w:spacing w:after="0" w:line="193" w:lineRule="exact"/>
              <w:rPr>
                <w:sz w:val="20"/>
                <w:szCs w:val="20"/>
                <w:color w:val="auto"/>
              </w:rPr>
            </w:pPr>
            <w:r>
              <w:rPr>
                <w:rFonts w:ascii="Calibri" w:cs="Calibri" w:eastAsia="Calibri" w:hAnsi="Calibri"/>
                <w:sz w:val="16"/>
                <w:szCs w:val="16"/>
                <w:color w:val="auto"/>
              </w:rPr>
              <w:t>5/17/21</w:t>
            </w:r>
          </w:p>
        </w:tc>
        <w:tc>
          <w:tcPr>
            <w:tcW w:w="80" w:type="dxa"/>
            <w:vAlign w:val="bottom"/>
          </w:tcPr>
          <w:p>
            <w:pPr>
              <w:spacing w:after="0"/>
              <w:rPr>
                <w:sz w:val="17"/>
                <w:szCs w:val="17"/>
                <w:color w:val="auto"/>
              </w:rPr>
            </w:pPr>
          </w:p>
        </w:tc>
        <w:tc>
          <w:tcPr>
            <w:tcW w:w="700" w:type="dxa"/>
            <w:vAlign w:val="bottom"/>
          </w:tcPr>
          <w:p>
            <w:pPr>
              <w:ind w:left="540"/>
              <w:spacing w:after="0" w:line="193" w:lineRule="exact"/>
              <w:rPr>
                <w:sz w:val="20"/>
                <w:szCs w:val="20"/>
                <w:color w:val="auto"/>
              </w:rPr>
            </w:pPr>
            <w:r>
              <w:rPr>
                <w:rFonts w:ascii="Calibri" w:cs="Calibri" w:eastAsia="Calibri" w:hAnsi="Calibri"/>
                <w:sz w:val="16"/>
                <w:szCs w:val="16"/>
                <w:color w:val="auto"/>
                <w:w w:val="96"/>
              </w:rPr>
              <w:t>—</w:t>
            </w:r>
          </w:p>
        </w:tc>
        <w:tc>
          <w:tcPr>
            <w:tcW w:w="9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1,141,910</w:t>
            </w:r>
          </w:p>
        </w:tc>
        <w:tc>
          <w:tcPr>
            <w:tcW w:w="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alibri" w:cs="Calibri" w:eastAsia="Calibri" w:hAnsi="Calibri"/>
                <w:sz w:val="14"/>
                <w:szCs w:val="14"/>
                <w:color w:val="auto"/>
              </w:rPr>
              <w:t>(2)</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540"/>
              <w:spacing w:after="0" w:line="193" w:lineRule="exact"/>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7"/>
                <w:szCs w:val="17"/>
                <w:color w:val="auto"/>
              </w:rPr>
            </w:pP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ind w:left="560"/>
              <w:spacing w:after="0" w:line="193" w:lineRule="exact"/>
              <w:rPr>
                <w:sz w:val="20"/>
                <w:szCs w:val="20"/>
                <w:color w:val="auto"/>
              </w:rPr>
            </w:pPr>
            <w:r>
              <w:rPr>
                <w:rFonts w:ascii="Calibri" w:cs="Calibri" w:eastAsia="Calibri" w:hAnsi="Calibri"/>
                <w:sz w:val="16"/>
                <w:szCs w:val="16"/>
                <w:color w:val="auto"/>
              </w:rPr>
              <w:t>—</w:t>
            </w:r>
          </w:p>
        </w:tc>
        <w:tc>
          <w:tcPr>
            <w:tcW w:w="920" w:type="dxa"/>
            <w:vAlign w:val="bottom"/>
            <w:gridSpan w:val="2"/>
          </w:tcPr>
          <w:p>
            <w:pPr>
              <w:jc w:val="right"/>
              <w:ind w:right="120"/>
              <w:spacing w:after="0" w:line="193" w:lineRule="exact"/>
              <w:rPr>
                <w:sz w:val="20"/>
                <w:szCs w:val="20"/>
                <w:color w:val="auto"/>
              </w:rPr>
            </w:pPr>
            <w:r>
              <w:rPr>
                <w:rFonts w:ascii="Calibri" w:cs="Calibri" w:eastAsia="Calibri" w:hAnsi="Calibri"/>
                <w:sz w:val="16"/>
                <w:szCs w:val="16"/>
                <w:color w:val="auto"/>
              </w:rPr>
              <w:t>—</w:t>
            </w:r>
          </w:p>
        </w:tc>
      </w:tr>
      <w:tr>
        <w:trPr>
          <w:trHeight w:val="216"/>
        </w:trPr>
        <w:tc>
          <w:tcPr>
            <w:tcW w:w="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gridSpan w:val="2"/>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auto"/>
              </w:rPr>
              <w:t>2,873</w:t>
            </w:r>
          </w:p>
        </w:tc>
        <w:tc>
          <w:tcPr>
            <w:tcW w:w="280" w:type="dxa"/>
            <w:vAlign w:val="bottom"/>
          </w:tcPr>
          <w:p>
            <w:pPr>
              <w:jc w:val="right"/>
              <w:spacing w:after="0"/>
              <w:rPr>
                <w:sz w:val="20"/>
                <w:szCs w:val="20"/>
                <w:color w:val="auto"/>
              </w:rPr>
            </w:pPr>
            <w:r>
              <w:rPr>
                <w:rFonts w:ascii="Calibri" w:cs="Calibri" w:eastAsia="Calibri" w:hAnsi="Calibri"/>
                <w:sz w:val="14"/>
                <w:szCs w:val="14"/>
                <w:color w:val="auto"/>
              </w:rPr>
              <w:t>(3)</w:t>
            </w:r>
          </w:p>
        </w:tc>
        <w:tc>
          <w:tcPr>
            <w:tcW w:w="900" w:type="dxa"/>
            <w:vAlign w:val="bottom"/>
            <w:gridSpan w:val="2"/>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400,000</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gridSpan w:val="2"/>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2,873</w:t>
            </w:r>
          </w:p>
        </w:tc>
        <w:tc>
          <w:tcPr>
            <w:tcW w:w="280" w:type="dxa"/>
            <w:vAlign w:val="bottom"/>
          </w:tcPr>
          <w:p>
            <w:pPr>
              <w:jc w:val="right"/>
              <w:spacing w:after="0"/>
              <w:rPr>
                <w:sz w:val="20"/>
                <w:szCs w:val="20"/>
                <w:color w:val="auto"/>
              </w:rPr>
            </w:pPr>
            <w:r>
              <w:rPr>
                <w:rFonts w:ascii="Calibri" w:cs="Calibri" w:eastAsia="Calibri" w:hAnsi="Calibri"/>
                <w:sz w:val="14"/>
                <w:szCs w:val="14"/>
                <w:color w:val="auto"/>
              </w:rPr>
              <w:t>(4)</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3,448</w:t>
            </w:r>
          </w:p>
        </w:tc>
        <w:tc>
          <w:tcPr>
            <w:tcW w:w="280" w:type="dxa"/>
            <w:vAlign w:val="bottom"/>
          </w:tcPr>
          <w:p>
            <w:pPr>
              <w:jc w:val="right"/>
              <w:spacing w:after="0"/>
              <w:rPr>
                <w:sz w:val="20"/>
                <w:szCs w:val="20"/>
                <w:color w:val="auto"/>
              </w:rPr>
            </w:pPr>
            <w:r>
              <w:rPr>
                <w:rFonts w:ascii="Calibri" w:cs="Calibri" w:eastAsia="Calibri" w:hAnsi="Calibri"/>
                <w:sz w:val="14"/>
                <w:szCs w:val="14"/>
                <w:color w:val="auto"/>
              </w:rPr>
              <w:t>(4)</w:t>
            </w:r>
          </w:p>
        </w:tc>
        <w:tc>
          <w:tcPr>
            <w:tcW w:w="900" w:type="dxa"/>
            <w:vAlign w:val="bottom"/>
            <w:gridSpan w:val="2"/>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400,000</w:t>
            </w:r>
          </w:p>
        </w:tc>
        <w:tc>
          <w:tcPr>
            <w:tcW w:w="10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700" w:type="dxa"/>
            <w:vAlign w:val="bottom"/>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Steven L. Wentzel</w:t>
            </w:r>
          </w:p>
        </w:tc>
        <w:tc>
          <w:tcPr>
            <w:tcW w:w="920" w:type="dxa"/>
            <w:vAlign w:val="bottom"/>
            <w:gridSpan w:val="2"/>
            <w:shd w:val="clear" w:color="auto" w:fill="CFF0FC"/>
          </w:tcPr>
          <w:p>
            <w:pPr>
              <w:jc w:val="center"/>
              <w:spacing w:after="0" w:line="193" w:lineRule="exact"/>
              <w:rPr>
                <w:sz w:val="20"/>
                <w:szCs w:val="20"/>
                <w:color w:val="auto"/>
              </w:rPr>
            </w:pPr>
            <w:r>
              <w:rPr>
                <w:rFonts w:ascii="Calibri" w:cs="Calibri" w:eastAsia="Calibri" w:hAnsi="Calibri"/>
                <w:sz w:val="16"/>
                <w:szCs w:val="16"/>
                <w:color w:val="auto"/>
              </w:rPr>
              <w:t>5/17/21</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ind w:left="540"/>
              <w:spacing w:after="0" w:line="193" w:lineRule="exact"/>
              <w:rPr>
                <w:sz w:val="20"/>
                <w:szCs w:val="20"/>
                <w:color w:val="auto"/>
              </w:rPr>
            </w:pPr>
            <w:r>
              <w:rPr>
                <w:rFonts w:ascii="Calibri" w:cs="Calibri" w:eastAsia="Calibri" w:hAnsi="Calibri"/>
                <w:sz w:val="16"/>
                <w:szCs w:val="16"/>
                <w:color w:val="auto"/>
                <w:w w:val="96"/>
              </w:rPr>
              <w:t>—</w:t>
            </w:r>
          </w:p>
        </w:tc>
        <w:tc>
          <w:tcPr>
            <w:tcW w:w="9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714,944</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w:t>
            </w:r>
          </w:p>
        </w:tc>
        <w:tc>
          <w:tcPr>
            <w:tcW w:w="2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ind w:left="320"/>
              <w:spacing w:after="0" w:line="193" w:lineRule="exact"/>
              <w:rPr>
                <w:sz w:val="20"/>
                <w:szCs w:val="20"/>
                <w:color w:val="auto"/>
              </w:rPr>
            </w:pPr>
            <w:r>
              <w:rPr>
                <w:rFonts w:ascii="Calibri" w:cs="Calibri" w:eastAsia="Calibri" w:hAnsi="Calibri"/>
                <w:sz w:val="16"/>
                <w:szCs w:val="16"/>
                <w:color w:val="auto"/>
              </w:rPr>
              <w:t>—</w:t>
            </w:r>
          </w:p>
        </w:tc>
        <w:tc>
          <w:tcPr>
            <w:tcW w:w="900" w:type="dxa"/>
            <w:vAlign w:val="bottom"/>
            <w:gridSpan w:val="2"/>
            <w:shd w:val="clear" w:color="auto" w:fill="CFF0FC"/>
          </w:tcPr>
          <w:p>
            <w:pPr>
              <w:ind w:left="540"/>
              <w:spacing w:after="0" w:line="193" w:lineRule="exact"/>
              <w:rPr>
                <w:sz w:val="20"/>
                <w:szCs w:val="20"/>
                <w:color w:val="auto"/>
              </w:rPr>
            </w:pPr>
            <w:r>
              <w:rPr>
                <w:rFonts w:ascii="Calibri" w:cs="Calibri" w:eastAsia="Calibri" w:hAnsi="Calibri"/>
                <w:sz w:val="16"/>
                <w:szCs w:val="16"/>
                <w:color w:val="auto"/>
              </w:rPr>
              <w:t>—</w:t>
            </w:r>
          </w:p>
        </w:tc>
        <w:tc>
          <w:tcPr>
            <w:tcW w:w="7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ind w:left="560"/>
              <w:spacing w:after="0" w:line="193" w:lineRule="exact"/>
              <w:rPr>
                <w:sz w:val="20"/>
                <w:szCs w:val="20"/>
                <w:color w:val="auto"/>
              </w:rPr>
            </w:pPr>
            <w:r>
              <w:rPr>
                <w:rFonts w:ascii="Calibri" w:cs="Calibri" w:eastAsia="Calibri" w:hAnsi="Calibri"/>
                <w:sz w:val="16"/>
                <w:szCs w:val="16"/>
                <w:color w:val="auto"/>
              </w:rPr>
              <w:t>—</w:t>
            </w:r>
          </w:p>
        </w:tc>
        <w:tc>
          <w:tcPr>
            <w:tcW w:w="920" w:type="dxa"/>
            <w:vAlign w:val="bottom"/>
            <w:gridSpan w:val="2"/>
            <w:shd w:val="clear" w:color="auto" w:fill="CFF0FC"/>
          </w:tcPr>
          <w:p>
            <w:pPr>
              <w:jc w:val="right"/>
              <w:ind w:right="120"/>
              <w:spacing w:after="0" w:line="193" w:lineRule="exact"/>
              <w:rPr>
                <w:sz w:val="20"/>
                <w:szCs w:val="20"/>
                <w:color w:val="auto"/>
              </w:rPr>
            </w:pPr>
            <w:r>
              <w:rPr>
                <w:rFonts w:ascii="Calibri" w:cs="Calibri" w:eastAsia="Calibri" w:hAnsi="Calibri"/>
                <w:sz w:val="16"/>
                <w:szCs w:val="16"/>
                <w:color w:val="auto"/>
              </w:rPr>
              <w:t>—</w:t>
            </w:r>
          </w:p>
        </w:tc>
      </w:tr>
      <w:tr>
        <w:trPr>
          <w:trHeight w:val="216"/>
        </w:trPr>
        <w:tc>
          <w:tcPr>
            <w:tcW w:w="3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gridSpan w:val="2"/>
            <w:shd w:val="clear" w:color="auto" w:fill="CFF0FC"/>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2,155</w:t>
            </w:r>
          </w:p>
        </w:tc>
        <w:tc>
          <w:tcPr>
            <w:tcW w:w="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w:t>
            </w:r>
          </w:p>
        </w:tc>
        <w:tc>
          <w:tcPr>
            <w:tcW w:w="900" w:type="dxa"/>
            <w:vAlign w:val="bottom"/>
            <w:gridSpan w:val="2"/>
            <w:shd w:val="clear" w:color="auto" w:fill="CFF0FC"/>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300,000</w:t>
            </w:r>
          </w:p>
        </w:tc>
        <w:tc>
          <w:tcPr>
            <w:tcW w:w="100" w:type="dxa"/>
            <w:vAlign w:val="bottom"/>
            <w:shd w:val="clear" w:color="auto" w:fill="CFF0FC"/>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rPr>
              <w:t>5/19/21</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ind w:left="540"/>
              <w:spacing w:after="0"/>
              <w:rPr>
                <w:sz w:val="20"/>
                <w:szCs w:val="20"/>
                <w:color w:val="auto"/>
              </w:rPr>
            </w:pPr>
            <w:r>
              <w:rPr>
                <w:rFonts w:ascii="Calibri" w:cs="Calibri" w:eastAsia="Calibri" w:hAnsi="Calibri"/>
                <w:sz w:val="16"/>
                <w:szCs w:val="16"/>
                <w:color w:val="auto"/>
                <w:w w:val="96"/>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ind w:left="320"/>
              <w:spacing w:after="0"/>
              <w:rPr>
                <w:sz w:val="20"/>
                <w:szCs w:val="20"/>
                <w:color w:val="auto"/>
              </w:rPr>
            </w:pPr>
            <w:r>
              <w:rPr>
                <w:rFonts w:ascii="Calibri" w:cs="Calibri" w:eastAsia="Calibri" w:hAnsi="Calibri"/>
                <w:sz w:val="16"/>
                <w:szCs w:val="16"/>
                <w:color w:val="auto"/>
              </w:rPr>
              <w:t>—</w:t>
            </w:r>
          </w:p>
        </w:tc>
        <w:tc>
          <w:tcPr>
            <w:tcW w:w="900" w:type="dxa"/>
            <w:vAlign w:val="bottom"/>
            <w:gridSpan w:val="2"/>
            <w:shd w:val="clear" w:color="auto" w:fill="CFF0FC"/>
          </w:tcPr>
          <w:p>
            <w:pPr>
              <w:ind w:left="540"/>
              <w:spacing w:after="0"/>
              <w:rPr>
                <w:sz w:val="20"/>
                <w:szCs w:val="20"/>
                <w:color w:val="auto"/>
              </w:rPr>
            </w:pPr>
            <w:r>
              <w:rPr>
                <w:rFonts w:ascii="Calibri" w:cs="Calibri" w:eastAsia="Calibri" w:hAnsi="Calibri"/>
                <w:sz w:val="16"/>
                <w:szCs w:val="16"/>
                <w:color w:val="auto"/>
              </w:rPr>
              <w:t>—</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2,155</w:t>
            </w:r>
          </w:p>
        </w:tc>
        <w:tc>
          <w:tcPr>
            <w:tcW w:w="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7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2,586</w:t>
            </w:r>
          </w:p>
        </w:tc>
        <w:tc>
          <w:tcPr>
            <w:tcW w:w="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900" w:type="dxa"/>
            <w:vAlign w:val="bottom"/>
            <w:gridSpan w:val="2"/>
            <w:shd w:val="clear" w:color="auto" w:fill="CFF0FC"/>
          </w:tcPr>
          <w:p>
            <w:pPr>
              <w:ind w:left="560"/>
              <w:spacing w:after="0"/>
              <w:rPr>
                <w:sz w:val="20"/>
                <w:szCs w:val="20"/>
                <w:color w:val="auto"/>
              </w:rPr>
            </w:pPr>
            <w:r>
              <w:rPr>
                <w:rFonts w:ascii="Calibri" w:cs="Calibri" w:eastAsia="Calibri" w:hAnsi="Calibri"/>
                <w:sz w:val="16"/>
                <w:szCs w:val="16"/>
                <w:color w:val="auto"/>
              </w:rPr>
              <w:t>—</w:t>
            </w:r>
          </w:p>
        </w:tc>
        <w:tc>
          <w:tcPr>
            <w:tcW w:w="8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300,000</w:t>
            </w:r>
          </w:p>
        </w:tc>
        <w:tc>
          <w:tcPr>
            <w:tcW w:w="100" w:type="dxa"/>
            <w:vAlign w:val="bottom"/>
            <w:shd w:val="clear" w:color="auto" w:fill="CFF0FC"/>
          </w:tcPr>
          <w:p>
            <w:pPr>
              <w:spacing w:after="0"/>
              <w:rPr>
                <w:sz w:val="18"/>
                <w:szCs w:val="18"/>
                <w:color w:val="auto"/>
              </w:rPr>
            </w:pPr>
          </w:p>
        </w:tc>
      </w:tr>
      <w:tr>
        <w:trPr>
          <w:trHeight w:val="20"/>
        </w:trPr>
        <w:tc>
          <w:tcPr>
            <w:tcW w:w="36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2" w:right="339" w:bottom="1440" w:gutter="0" w:footer="0" w:header="0"/>
        </w:sectPr>
      </w:pPr>
    </w:p>
    <w:p>
      <w:pPr>
        <w:spacing w:after="0" w:line="183" w:lineRule="exact"/>
        <w:rPr>
          <w:sz w:val="20"/>
          <w:szCs w:val="20"/>
          <w:color w:val="auto"/>
        </w:rPr>
      </w:pPr>
    </w:p>
    <w:p>
      <w:pPr>
        <w:ind w:left="220" w:hanging="201"/>
        <w:spacing w:after="0" w:line="235" w:lineRule="auto"/>
        <w:rPr>
          <w:sz w:val="20"/>
          <w:szCs w:val="20"/>
          <w:color w:val="auto"/>
        </w:rPr>
      </w:pPr>
      <w:r>
        <w:rPr>
          <w:rFonts w:ascii="Calibri" w:cs="Calibri" w:eastAsia="Calibri" w:hAnsi="Calibri"/>
          <w:sz w:val="18"/>
          <w:szCs w:val="18"/>
          <w:color w:val="auto"/>
        </w:rPr>
        <w:t>(1)The amounts included in this column refect the grant date fair value of the award computed in accordance with FASB ASC Topic 718. Assumptons used in the calculaton of these amounts are included in footnote (L) to the Company’s audited fnancial statements for the fscal year ended March 31, 2022 included in the Fiscal 2022 Form 10-K.</w:t>
      </w:r>
    </w:p>
    <w:p>
      <w:pPr>
        <w:spacing w:after="0" w:line="40" w:lineRule="exact"/>
        <w:rPr>
          <w:sz w:val="20"/>
          <w:szCs w:val="20"/>
          <w:color w:val="auto"/>
        </w:rPr>
      </w:pPr>
    </w:p>
    <w:p>
      <w:pPr>
        <w:spacing w:after="0"/>
        <w:rPr>
          <w:sz w:val="20"/>
          <w:szCs w:val="20"/>
          <w:color w:val="auto"/>
        </w:rPr>
      </w:pPr>
      <w:r>
        <w:rPr>
          <w:rFonts w:ascii="Calibri" w:cs="Calibri" w:eastAsia="Calibri" w:hAnsi="Calibri"/>
          <w:sz w:val="18"/>
          <w:szCs w:val="18"/>
          <w:color w:val="auto"/>
        </w:rPr>
        <w:t>(2)These amounts represent the maximum annual incentve payments</w:t>
      </w:r>
    </w:p>
    <w:p>
      <w:pPr>
        <w:ind w:left="220"/>
        <w:spacing w:after="0" w:line="235" w:lineRule="auto"/>
        <w:rPr>
          <w:sz w:val="20"/>
          <w:szCs w:val="20"/>
          <w:color w:val="auto"/>
        </w:rPr>
      </w:pPr>
      <w:r>
        <w:rPr>
          <w:rFonts w:ascii="Calibri" w:cs="Calibri" w:eastAsia="Calibri" w:hAnsi="Calibri"/>
          <w:sz w:val="18"/>
          <w:szCs w:val="18"/>
          <w:color w:val="auto"/>
        </w:rPr>
        <w:t>potentally payable to the Named Executve Ofcers pursuant to the Eagle</w:t>
      </w:r>
    </w:p>
    <w:p>
      <w:pPr>
        <w:ind w:left="220"/>
        <w:spacing w:after="0" w:line="236" w:lineRule="auto"/>
        <w:rPr>
          <w:sz w:val="20"/>
          <w:szCs w:val="20"/>
          <w:color w:val="auto"/>
        </w:rPr>
      </w:pPr>
      <w:r>
        <w:rPr>
          <w:rFonts w:ascii="Calibri" w:cs="Calibri" w:eastAsia="Calibri" w:hAnsi="Calibri"/>
          <w:sz w:val="18"/>
          <w:szCs w:val="18"/>
          <w:color w:val="auto"/>
        </w:rPr>
        <w:t>Annual Incentve Program or the Divisional Annual Incentve Bonus</w:t>
      </w:r>
    </w:p>
    <w:p>
      <w:pPr>
        <w:ind w:left="220"/>
        <w:spacing w:after="0" w:line="236" w:lineRule="auto"/>
        <w:rPr>
          <w:sz w:val="20"/>
          <w:szCs w:val="20"/>
          <w:color w:val="auto"/>
        </w:rPr>
      </w:pPr>
      <w:r>
        <w:rPr>
          <w:rFonts w:ascii="Calibri" w:cs="Calibri" w:eastAsia="Calibri" w:hAnsi="Calibri"/>
          <w:sz w:val="18"/>
          <w:szCs w:val="18"/>
          <w:color w:val="auto"/>
        </w:rPr>
        <w:t>Programs, as applicable, for fscal 2022. There are no thresholds or</w:t>
      </w:r>
    </w:p>
    <w:p>
      <w:pPr>
        <w:ind w:left="220"/>
        <w:spacing w:after="0" w:line="236" w:lineRule="auto"/>
        <w:rPr>
          <w:sz w:val="20"/>
          <w:szCs w:val="20"/>
          <w:color w:val="auto"/>
        </w:rPr>
      </w:pPr>
      <w:r>
        <w:rPr>
          <w:rFonts w:ascii="Calibri" w:cs="Calibri" w:eastAsia="Calibri" w:hAnsi="Calibri"/>
          <w:sz w:val="18"/>
          <w:szCs w:val="18"/>
          <w:color w:val="auto"/>
        </w:rPr>
        <w:t>maximums for these awards—they are merely a functon of multplying</w:t>
      </w:r>
    </w:p>
    <w:p>
      <w:pPr>
        <w:ind w:left="220"/>
        <w:spacing w:after="0" w:line="236" w:lineRule="auto"/>
        <w:rPr>
          <w:sz w:val="20"/>
          <w:szCs w:val="20"/>
          <w:color w:val="auto"/>
        </w:rPr>
      </w:pPr>
      <w:r>
        <w:rPr>
          <w:rFonts w:ascii="Calibri" w:cs="Calibri" w:eastAsia="Calibri" w:hAnsi="Calibri"/>
          <w:sz w:val="18"/>
          <w:szCs w:val="18"/>
          <w:color w:val="auto"/>
        </w:rPr>
        <w:t>the pre-determined percentage by the operatng earnings for the fscal</w:t>
      </w:r>
    </w:p>
    <w:p>
      <w:pPr>
        <w:spacing w:after="0" w:line="2" w:lineRule="exact"/>
        <w:rPr>
          <w:sz w:val="20"/>
          <w:szCs w:val="20"/>
          <w:color w:val="auto"/>
        </w:rPr>
      </w:pPr>
    </w:p>
    <w:p>
      <w:pPr>
        <w:ind w:left="220"/>
        <w:spacing w:after="0"/>
        <w:rPr>
          <w:sz w:val="20"/>
          <w:szCs w:val="20"/>
          <w:color w:val="auto"/>
        </w:rPr>
      </w:pPr>
      <w:r>
        <w:rPr>
          <w:rFonts w:ascii="Calibri" w:cs="Calibri" w:eastAsia="Calibri" w:hAnsi="Calibri"/>
          <w:sz w:val="17"/>
          <w:szCs w:val="17"/>
          <w:color w:val="auto"/>
        </w:rPr>
        <w:t>year; provided, however, our Incentve Plan does provide an absolute cap</w:t>
      </w:r>
    </w:p>
    <w:p>
      <w:pPr>
        <w:spacing w:after="0" w:line="4"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on cash that any employee may receive in any fscal year under such</w:t>
      </w:r>
    </w:p>
    <w:p>
      <w:pPr>
        <w:ind w:left="220"/>
        <w:spacing w:after="0" w:line="235" w:lineRule="auto"/>
        <w:rPr>
          <w:sz w:val="20"/>
          <w:szCs w:val="20"/>
          <w:color w:val="auto"/>
        </w:rPr>
      </w:pPr>
      <w:r>
        <w:rPr>
          <w:rFonts w:ascii="Calibri" w:cs="Calibri" w:eastAsia="Calibri" w:hAnsi="Calibri"/>
          <w:sz w:val="18"/>
          <w:szCs w:val="18"/>
          <w:color w:val="auto"/>
        </w:rPr>
        <w:t>programs ($5 million). The actual pay-outs to the Named Executve</w:t>
      </w:r>
    </w:p>
    <w:p>
      <w:pPr>
        <w:spacing w:after="0" w:line="2" w:lineRule="exact"/>
        <w:rPr>
          <w:sz w:val="20"/>
          <w:szCs w:val="20"/>
          <w:color w:val="auto"/>
        </w:rPr>
      </w:pPr>
    </w:p>
    <w:p>
      <w:pPr>
        <w:ind w:left="220"/>
        <w:spacing w:after="0"/>
        <w:rPr>
          <w:sz w:val="20"/>
          <w:szCs w:val="20"/>
          <w:color w:val="auto"/>
        </w:rPr>
      </w:pPr>
      <w:r>
        <w:rPr>
          <w:rFonts w:ascii="Calibri" w:cs="Calibri" w:eastAsia="Calibri" w:hAnsi="Calibri"/>
          <w:sz w:val="17"/>
          <w:szCs w:val="17"/>
          <w:color w:val="auto"/>
        </w:rPr>
        <w:t>Ofcers were as follows: Mr. Haack - $1,641,881; Mr. Kesler - $1,260,730;</w:t>
      </w:r>
    </w:p>
    <w:p>
      <w:pPr>
        <w:spacing w:after="0" w:line="4"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Mr. Stewart - $1,084,814; Mr. Graass - $1,084,814; and Mr. Wentzel -</w:t>
      </w:r>
    </w:p>
    <w:p>
      <w:pPr>
        <w:spacing w:after="0" w:line="1" w:lineRule="exact"/>
        <w:rPr>
          <w:sz w:val="20"/>
          <w:szCs w:val="20"/>
          <w:color w:val="auto"/>
        </w:rPr>
      </w:pPr>
    </w:p>
    <w:p>
      <w:pPr>
        <w:ind w:left="220"/>
        <w:spacing w:after="0"/>
        <w:rPr>
          <w:sz w:val="20"/>
          <w:szCs w:val="20"/>
          <w:color w:val="auto"/>
        </w:rPr>
      </w:pPr>
      <w:r>
        <w:rPr>
          <w:rFonts w:ascii="Calibri" w:cs="Calibri" w:eastAsia="Calibri" w:hAnsi="Calibri"/>
          <w:sz w:val="17"/>
          <w:szCs w:val="17"/>
          <w:color w:val="auto"/>
        </w:rPr>
        <w:t>$672,047. These incentve programs are described in greater detail under</w:t>
      </w:r>
    </w:p>
    <w:p>
      <w:pPr>
        <w:spacing w:after="0" w:line="4"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“Annual Incentve Bonus” beginning on page 26 of this proxy statement.</w:t>
      </w:r>
    </w:p>
    <w:p>
      <w:pPr>
        <w:spacing w:after="0" w:line="42" w:lineRule="exact"/>
        <w:rPr>
          <w:sz w:val="20"/>
          <w:szCs w:val="20"/>
          <w:color w:val="auto"/>
        </w:rPr>
      </w:pPr>
    </w:p>
    <w:p>
      <w:pPr>
        <w:ind w:left="220" w:right="60" w:hanging="201"/>
        <w:spacing w:after="0" w:line="235" w:lineRule="auto"/>
        <w:rPr>
          <w:sz w:val="20"/>
          <w:szCs w:val="20"/>
          <w:color w:val="auto"/>
        </w:rPr>
      </w:pPr>
      <w:r>
        <w:rPr>
          <w:rFonts w:ascii="Calibri" w:cs="Calibri" w:eastAsia="Calibri" w:hAnsi="Calibri"/>
          <w:sz w:val="18"/>
          <w:szCs w:val="18"/>
          <w:color w:val="auto"/>
        </w:rPr>
        <w:t>(3)These amounts represent grants of tme-vestng restricted stock made on May 19, 2021 under our Incentve Plan. One-fourth of the restricted stock vested on March 31, 2022, and restrictons on the remaining restricted stock will lapse ratably on March 31 of 2023, 2024 and 2025. These restricted stock grants are described in greater detail under “Long-Term Incentve Compensaton—Fiscal 2022 Grants” beginning on page 29 of this proxy statement.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180" w:hanging="202"/>
        <w:spacing w:after="0" w:line="250" w:lineRule="auto"/>
        <w:rPr>
          <w:sz w:val="20"/>
          <w:szCs w:val="20"/>
          <w:color w:val="auto"/>
        </w:rPr>
      </w:pPr>
      <w:r>
        <w:rPr>
          <w:rFonts w:ascii="Calibri" w:cs="Calibri" w:eastAsia="Calibri" w:hAnsi="Calibri"/>
          <w:sz w:val="17"/>
          <w:szCs w:val="17"/>
          <w:color w:val="auto"/>
        </w:rPr>
        <w:t>(4)These amounts represent grants of performance-based restricted stock made on May 19, 2021 under our Incentve Plan. The vestng of the restricted stock was subject to performance vestng criteria. On May 6, 2022, the Compensaton Commitee determined that 100% of the maximum award (or 120% of the target award) had been earned. One-fourth of the earned restricted stock vested on May 17, 2022, and restrictons on the remaining earned restricted shares will lapse on March 31 of 2023, 2024 and 2025. These restricted stock grants are described in greater detail under “Long-Term Incentve Compensaton— Fiscal 2022 Grants” beginning on page 29 of this proxy statement.</w:t>
      </w:r>
    </w:p>
    <w:p>
      <w:pPr>
        <w:spacing w:after="0" w:line="3314" w:lineRule="exact"/>
        <w:rPr>
          <w:sz w:val="20"/>
          <w:szCs w:val="20"/>
          <w:color w:val="auto"/>
        </w:rPr>
      </w:pPr>
    </w:p>
    <w:p>
      <w:pPr>
        <w:sectPr>
          <w:pgSz w:w="11900" w:h="16838" w:orient="portrait"/>
          <w:cols w:equalWidth="0" w:num="2">
            <w:col w:w="5500" w:space="440"/>
            <w:col w:w="5300"/>
          </w:cols>
          <w:pgMar w:left="320" w:top="342" w:right="339" w:bottom="1440" w:gutter="0" w:footer="0" w:header="0"/>
          <w:type w:val="continuous"/>
        </w:sectPr>
      </w:pPr>
    </w:p>
    <w:p>
      <w:pPr>
        <w:ind w:left="4060"/>
        <w:spacing w:after="0" w:line="234" w:lineRule="auto"/>
        <w:rPr>
          <w:sz w:val="20"/>
          <w:szCs w:val="20"/>
          <w:color w:val="auto"/>
        </w:rPr>
      </w:pPr>
      <w:r>
        <w:rPr>
          <w:rFonts w:ascii="Calibri" w:cs="Calibri" w:eastAsia="Calibri" w:hAnsi="Calibri"/>
          <w:sz w:val="20"/>
          <w:szCs w:val="20"/>
          <w:color w:val="auto"/>
        </w:rPr>
        <w:t>_______________________________</w:t>
      </w:r>
    </w:p>
    <w:p>
      <w:pPr>
        <w:jc w:val="center"/>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41" w:name="page42"/>
    <w:bookmarkEnd w:id="41"/>
    <w:p>
      <w:pPr>
        <w:jc w:val="center"/>
        <w:ind w:right="-19"/>
        <w:spacing w:after="0"/>
        <w:rPr>
          <w:sz w:val="20"/>
          <w:szCs w:val="20"/>
          <w:color w:val="auto"/>
        </w:rPr>
      </w:pPr>
      <w:r>
        <w:rPr>
          <w:rFonts w:ascii="Calibri" w:cs="Calibri" w:eastAsia="Calibri" w:hAnsi="Calibri"/>
          <w:sz w:val="18"/>
          <w:szCs w:val="18"/>
          <w:b w:val="1"/>
          <w:bCs w:val="1"/>
          <w:color w:val="auto"/>
        </w:rPr>
        <w:t>Outstanding Equity Awards at Fiscal Year-End</w:t>
      </w:r>
    </w:p>
    <w:p>
      <w:pPr>
        <w:spacing w:after="0" w:line="212"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The following table summarizes stock-based compensaton awards outstanding at the end of fscal 2022 for each of the Named Executve Ofcers.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20"/>
              <w:spacing w:after="0"/>
              <w:rPr>
                <w:sz w:val="20"/>
                <w:szCs w:val="20"/>
                <w:color w:val="auto"/>
              </w:rPr>
            </w:pPr>
            <w:r>
              <w:rPr>
                <w:rFonts w:ascii="Calibri" w:cs="Calibri" w:eastAsia="Calibri" w:hAnsi="Calibri"/>
                <w:sz w:val="14"/>
                <w:szCs w:val="14"/>
                <w:b w:val="1"/>
                <w:bCs w:val="1"/>
                <w:color w:val="auto"/>
              </w:rPr>
              <w:t>Opton Awards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440"/>
              <w:spacing w:after="0"/>
              <w:rPr>
                <w:sz w:val="20"/>
                <w:szCs w:val="20"/>
                <w:color w:val="auto"/>
              </w:rPr>
            </w:pPr>
            <w:r>
              <w:rPr>
                <w:rFonts w:ascii="Calibri" w:cs="Calibri" w:eastAsia="Calibri" w:hAnsi="Calibri"/>
                <w:sz w:val="14"/>
                <w:szCs w:val="14"/>
                <w:b w:val="1"/>
                <w:bCs w:val="1"/>
                <w:color w:val="auto"/>
              </w:rPr>
              <w:t>Stock Awards</w:t>
            </w:r>
          </w:p>
        </w:tc>
        <w:tc>
          <w:tcPr>
            <w:tcW w:w="920" w:type="dxa"/>
            <w:vAlign w:val="bottom"/>
            <w:tcBorders>
              <w:bottom w:val="single" w:sz="8" w:color="auto"/>
            </w:tcBorders>
          </w:tcPr>
          <w:p>
            <w:pPr>
              <w:spacing w:after="0"/>
              <w:rPr>
                <w:sz w:val="16"/>
                <w:szCs w:val="16"/>
                <w:color w:val="auto"/>
              </w:rPr>
            </w:pPr>
          </w:p>
        </w:tc>
      </w:tr>
      <w:tr>
        <w:trPr>
          <w:trHeight w:val="170"/>
        </w:trPr>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Equity</w:t>
            </w:r>
          </w:p>
        </w:tc>
      </w:tr>
      <w:tr>
        <w:trPr>
          <w:trHeight w:val="175"/>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Incentve</w:t>
            </w:r>
          </w:p>
        </w:tc>
      </w:tr>
      <w:tr>
        <w:trPr>
          <w:trHeight w:val="176"/>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Plan</w:t>
            </w:r>
          </w:p>
        </w:tc>
      </w:tr>
      <w:tr>
        <w:trPr>
          <w:trHeight w:val="175"/>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Equity</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Awards:</w:t>
            </w:r>
          </w:p>
        </w:tc>
      </w:tr>
      <w:tr>
        <w:trPr>
          <w:trHeight w:val="176"/>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Incentve</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Market or</w:t>
            </w:r>
          </w:p>
        </w:tc>
      </w:tr>
      <w:tr>
        <w:trPr>
          <w:trHeight w:val="175"/>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Equity</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Plan</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Payout</w:t>
            </w:r>
          </w:p>
        </w:tc>
      </w:tr>
      <w:tr>
        <w:trPr>
          <w:trHeight w:val="176"/>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Incentve</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Awards:</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Value of</w:t>
            </w:r>
          </w:p>
        </w:tc>
      </w:tr>
      <w:tr>
        <w:trPr>
          <w:trHeight w:val="176"/>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Plan</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Market</w:t>
            </w: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Number of</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Unearned</w:t>
            </w:r>
          </w:p>
        </w:tc>
      </w:tr>
      <w:tr>
        <w:trPr>
          <w:trHeight w:val="175"/>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Awards: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w w:val="99"/>
              </w:rPr>
              <w:t>Value of</w:t>
            </w: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Unearned</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Shares,</w:t>
            </w:r>
          </w:p>
        </w:tc>
      </w:tr>
      <w:tr>
        <w:trPr>
          <w:trHeight w:val="176"/>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Number of</w:t>
            </w:r>
          </w:p>
        </w:tc>
        <w:tc>
          <w:tcPr>
            <w:tcW w:w="2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Number of</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Number of</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Number of</w:t>
            </w:r>
          </w:p>
        </w:tc>
        <w:tc>
          <w:tcPr>
            <w:tcW w:w="4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Shares or</w:t>
            </w: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9"/>
              </w:rPr>
              <w:t>Shares,</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Units</w:t>
            </w:r>
          </w:p>
        </w:tc>
      </w:tr>
      <w:tr>
        <w:trPr>
          <w:trHeight w:val="175"/>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Securites</w:t>
            </w:r>
          </w:p>
        </w:tc>
        <w:tc>
          <w:tcPr>
            <w:tcW w:w="2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Securites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Securites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Shares or</w:t>
            </w:r>
          </w:p>
        </w:tc>
        <w:tc>
          <w:tcPr>
            <w:tcW w:w="4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Units of</w:t>
            </w: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8"/>
              </w:rPr>
              <w:t>Units</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or Other</w:t>
            </w:r>
          </w:p>
        </w:tc>
      </w:tr>
      <w:tr>
        <w:trPr>
          <w:trHeight w:val="176"/>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Underlying</w:t>
            </w:r>
          </w:p>
        </w:tc>
        <w:tc>
          <w:tcPr>
            <w:tcW w:w="2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Underlying</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Underlying</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Units of</w:t>
            </w:r>
          </w:p>
        </w:tc>
        <w:tc>
          <w:tcPr>
            <w:tcW w:w="4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Stock</w:t>
            </w: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or Other</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Rights</w:t>
            </w:r>
          </w:p>
        </w:tc>
      </w:tr>
      <w:tr>
        <w:trPr>
          <w:trHeight w:val="175"/>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Unexercised</w:t>
            </w:r>
          </w:p>
        </w:tc>
        <w:tc>
          <w:tcPr>
            <w:tcW w:w="2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Unexercised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Unexercised</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Opton</w:t>
            </w:r>
          </w:p>
        </w:tc>
        <w:tc>
          <w:tcPr>
            <w:tcW w:w="9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Stock That</w:t>
            </w:r>
          </w:p>
        </w:tc>
        <w:tc>
          <w:tcPr>
            <w:tcW w:w="4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8"/>
              </w:rPr>
              <w:t>That</w:t>
            </w: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Rights That</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That</w:t>
            </w:r>
          </w:p>
        </w:tc>
      </w:tr>
      <w:tr>
        <w:trPr>
          <w:trHeight w:val="176"/>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Optons</w:t>
            </w:r>
          </w:p>
        </w:tc>
        <w:tc>
          <w:tcPr>
            <w:tcW w:w="2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Optons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Unearned</w:t>
            </w:r>
          </w:p>
        </w:tc>
        <w:tc>
          <w:tcPr>
            <w:tcW w:w="12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Exercise</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b w:val="1"/>
                <w:bCs w:val="1"/>
                <w:color w:val="auto"/>
              </w:rPr>
              <w:t>Opton</w:t>
            </w: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Have Not</w:t>
            </w:r>
          </w:p>
        </w:tc>
        <w:tc>
          <w:tcPr>
            <w:tcW w:w="4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Have Not</w:t>
            </w: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9"/>
              </w:rPr>
              <w:t>Have Not</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Have Not</w:t>
            </w:r>
          </w:p>
        </w:tc>
      </w:tr>
      <w:tr>
        <w:trPr>
          <w:trHeight w:val="176"/>
        </w:trPr>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Exercisable</w:t>
            </w:r>
          </w:p>
        </w:tc>
        <w:tc>
          <w:tcPr>
            <w:tcW w:w="1040" w:type="dxa"/>
            <w:vAlign w:val="bottom"/>
            <w:gridSpan w:val="3"/>
          </w:tcPr>
          <w:p>
            <w:pPr>
              <w:jc w:val="center"/>
              <w:ind w:left="121"/>
              <w:spacing w:after="0"/>
              <w:rPr>
                <w:sz w:val="20"/>
                <w:szCs w:val="20"/>
                <w:color w:val="auto"/>
              </w:rPr>
            </w:pPr>
            <w:r>
              <w:rPr>
                <w:rFonts w:ascii="Calibri" w:cs="Calibri" w:eastAsia="Calibri" w:hAnsi="Calibri"/>
                <w:sz w:val="14"/>
                <w:szCs w:val="14"/>
                <w:b w:val="1"/>
                <w:bCs w:val="1"/>
                <w:color w:val="auto"/>
              </w:rPr>
              <w:t>Unexercisable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Optons</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Price</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b w:val="1"/>
                <w:bCs w:val="1"/>
                <w:color w:val="auto"/>
              </w:rPr>
              <w:t>Expiraton</w:t>
            </w: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Vested</w:t>
            </w:r>
          </w:p>
        </w:tc>
        <w:tc>
          <w:tcPr>
            <w:tcW w:w="4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w w:val="99"/>
              </w:rPr>
              <w:t>Vested</w:t>
            </w:r>
          </w:p>
        </w:tc>
        <w:tc>
          <w:tcPr>
            <w:tcW w:w="10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Vested</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Vested</w:t>
            </w:r>
          </w:p>
        </w:tc>
      </w:tr>
      <w:tr>
        <w:trPr>
          <w:trHeight w:val="155"/>
        </w:trPr>
        <w:tc>
          <w:tcPr>
            <w:tcW w:w="1880" w:type="dxa"/>
            <w:vAlign w:val="bottom"/>
            <w:gridSpan w:val="2"/>
          </w:tcPr>
          <w:p>
            <w:pPr>
              <w:spacing w:after="0" w:line="155" w:lineRule="exact"/>
              <w:rPr>
                <w:sz w:val="20"/>
                <w:szCs w:val="20"/>
                <w:color w:val="auto"/>
              </w:rPr>
            </w:pPr>
            <w:r>
              <w:rPr>
                <w:rFonts w:ascii="Calibri" w:cs="Calibri" w:eastAsia="Calibri" w:hAnsi="Calibri"/>
                <w:sz w:val="14"/>
                <w:szCs w:val="14"/>
                <w:b w:val="1"/>
                <w:bCs w:val="1"/>
                <w:color w:val="auto"/>
              </w:rPr>
              <w:t>Name</w:t>
            </w:r>
          </w:p>
        </w:tc>
        <w:tc>
          <w:tcPr>
            <w:tcW w:w="78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w:t>
            </w:r>
          </w:p>
        </w:tc>
        <w:tc>
          <w:tcPr>
            <w:tcW w:w="860" w:type="dxa"/>
            <w:vAlign w:val="bottom"/>
            <w:gridSpan w:val="2"/>
          </w:tcPr>
          <w:p>
            <w:pPr>
              <w:jc w:val="center"/>
              <w:ind w:left="261"/>
              <w:spacing w:after="0" w:line="155" w:lineRule="exact"/>
              <w:rPr>
                <w:sz w:val="20"/>
                <w:szCs w:val="20"/>
                <w:color w:val="auto"/>
              </w:rPr>
            </w:pPr>
            <w:r>
              <w:rPr>
                <w:rFonts w:ascii="Calibri" w:cs="Calibri" w:eastAsia="Calibri" w:hAnsi="Calibri"/>
                <w:sz w:val="14"/>
                <w:szCs w:val="14"/>
                <w:b w:val="1"/>
                <w:bCs w:val="1"/>
                <w:color w:val="auto"/>
              </w:rPr>
              <w: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center"/>
              <w:ind w:left="48"/>
              <w:spacing w:after="0" w:line="155"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41"/>
              <w:spacing w:after="0" w:line="155"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980" w:type="dxa"/>
            <w:vAlign w:val="bottom"/>
            <w:tcBorders>
              <w:right w:val="single" w:sz="8" w:color="auto"/>
            </w:tcBorders>
          </w:tcPr>
          <w:p>
            <w:pPr>
              <w:jc w:val="center"/>
              <w:spacing w:after="0" w:line="155" w:lineRule="exact"/>
              <w:rPr>
                <w:sz w:val="20"/>
                <w:szCs w:val="20"/>
                <w:color w:val="auto"/>
              </w:rPr>
            </w:pPr>
            <w:r>
              <w:rPr>
                <w:rFonts w:ascii="Calibri" w:cs="Calibri" w:eastAsia="Calibri" w:hAnsi="Calibri"/>
                <w:sz w:val="14"/>
                <w:szCs w:val="14"/>
                <w:b w:val="1"/>
                <w:bCs w:val="1"/>
                <w:color w:val="auto"/>
              </w:rPr>
              <w:t>Date</w:t>
            </w:r>
          </w:p>
        </w:tc>
        <w:tc>
          <w:tcPr>
            <w:tcW w:w="6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w:t>
            </w:r>
          </w:p>
        </w:tc>
        <w:tc>
          <w:tcPr>
            <w:tcW w:w="44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($)(1)</w:t>
            </w:r>
          </w:p>
        </w:tc>
        <w:tc>
          <w:tcPr>
            <w:tcW w:w="20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w:t>
            </w:r>
          </w:p>
        </w:tc>
      </w:tr>
      <w:tr>
        <w:trPr>
          <w:trHeight w:val="21"/>
        </w:trPr>
        <w:tc>
          <w:tcPr>
            <w:tcW w:w="360" w:type="dxa"/>
            <w:vAlign w:val="bottom"/>
            <w:tcBorders>
              <w:top w:val="single" w:sz="8" w:color="auto"/>
              <w:bottom w:val="single" w:sz="8" w:color="CFF0FC"/>
            </w:tcBorders>
          </w:tcPr>
          <w:p>
            <w:pPr>
              <w:spacing w:after="0" w:line="20" w:lineRule="exact"/>
              <w:rPr>
                <w:sz w:val="1"/>
                <w:szCs w:val="1"/>
                <w:color w:val="auto"/>
              </w:rPr>
            </w:pPr>
          </w:p>
        </w:tc>
        <w:tc>
          <w:tcPr>
            <w:tcW w:w="152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9"/>
        </w:trPr>
        <w:tc>
          <w:tcPr>
            <w:tcW w:w="1880" w:type="dxa"/>
            <w:vAlign w:val="bottom"/>
            <w:gridSpan w:val="2"/>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8,162</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73"/>
              </w:rPr>
              <w:t>$</w:t>
            </w:r>
          </w:p>
        </w:tc>
        <w:tc>
          <w:tcPr>
            <w:tcW w:w="6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100.88</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05/18/2027</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2,090</w:t>
            </w:r>
          </w:p>
        </w:tc>
        <w:tc>
          <w:tcPr>
            <w:tcW w:w="44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(6)</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  268,272</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196"/>
        </w:trPr>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8,702</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106.24</w:t>
            </w:r>
          </w:p>
        </w:tc>
        <w:tc>
          <w:tcPr>
            <w:tcW w:w="200" w:type="dxa"/>
            <w:vAlign w:val="bottom"/>
          </w:tcPr>
          <w:p>
            <w:pPr>
              <w:spacing w:after="0"/>
              <w:rPr>
                <w:sz w:val="17"/>
                <w:szCs w:val="17"/>
                <w:color w:val="auto"/>
              </w:rPr>
            </w:pPr>
          </w:p>
        </w:tc>
        <w:tc>
          <w:tcPr>
            <w:tcW w:w="98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05/17/2028</w:t>
            </w:r>
          </w:p>
        </w:tc>
        <w:tc>
          <w:tcPr>
            <w:tcW w:w="60" w:type="dxa"/>
            <w:vAlign w:val="bottom"/>
          </w:tcPr>
          <w:p>
            <w:pPr>
              <w:spacing w:after="0"/>
              <w:rPr>
                <w:sz w:val="17"/>
                <w:szCs w:val="17"/>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1,979</w:t>
            </w:r>
          </w:p>
        </w:tc>
        <w:tc>
          <w:tcPr>
            <w:tcW w:w="440" w:type="dxa"/>
            <w:vAlign w:val="bottom"/>
          </w:tcPr>
          <w:p>
            <w:pPr>
              <w:ind w:left="100"/>
              <w:spacing w:after="0"/>
              <w:rPr>
                <w:sz w:val="20"/>
                <w:szCs w:val="20"/>
                <w:color w:val="auto"/>
              </w:rPr>
            </w:pPr>
            <w:r>
              <w:rPr>
                <w:rFonts w:ascii="Calibri" w:cs="Calibri" w:eastAsia="Calibri" w:hAnsi="Calibri"/>
                <w:sz w:val="14"/>
                <w:szCs w:val="14"/>
                <w:color w:val="auto"/>
              </w:rPr>
              <w:t>(7)</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254,024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3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8,084</w:t>
            </w: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106.24</w:t>
            </w:r>
          </w:p>
        </w:tc>
        <w:tc>
          <w:tcPr>
            <w:tcW w:w="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05/17/2028</w:t>
            </w:r>
          </w:p>
        </w:tc>
        <w:tc>
          <w:tcPr>
            <w:tcW w:w="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8,719</w:t>
            </w:r>
          </w:p>
        </w:tc>
        <w:tc>
          <w:tcPr>
            <w:tcW w:w="44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(8)</w:t>
            </w:r>
          </w:p>
        </w:tc>
        <w:tc>
          <w:tcPr>
            <w:tcW w:w="8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1,119,171</w:t>
            </w: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20,980</w:t>
            </w:r>
          </w:p>
        </w:tc>
        <w:tc>
          <w:tcPr>
            <w:tcW w:w="104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6,993</w:t>
            </w:r>
          </w:p>
        </w:tc>
        <w:tc>
          <w:tcPr>
            <w:tcW w:w="260" w:type="dxa"/>
            <w:vAlign w:val="bottom"/>
          </w:tcPr>
          <w:p>
            <w:pPr>
              <w:jc w:val="right"/>
              <w:spacing w:after="0"/>
              <w:rPr>
                <w:sz w:val="20"/>
                <w:szCs w:val="20"/>
                <w:color w:val="auto"/>
              </w:rPr>
            </w:pPr>
            <w:r>
              <w:rPr>
                <w:rFonts w:ascii="Calibri" w:cs="Calibri" w:eastAsia="Calibri" w:hAnsi="Calibri"/>
                <w:sz w:val="14"/>
                <w:szCs w:val="14"/>
                <w:color w:val="auto"/>
              </w:rPr>
              <w:t>(2)</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91.58</w:t>
            </w:r>
          </w:p>
        </w:tc>
        <w:tc>
          <w:tcPr>
            <w:tcW w:w="200" w:type="dxa"/>
            <w:vAlign w:val="bottom"/>
          </w:tcPr>
          <w:p>
            <w:pPr>
              <w:spacing w:after="0"/>
              <w:rPr>
                <w:sz w:val="17"/>
                <w:szCs w:val="17"/>
                <w:color w:val="auto"/>
              </w:rPr>
            </w:pPr>
          </w:p>
        </w:tc>
        <w:tc>
          <w:tcPr>
            <w:tcW w:w="98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05/16/2029</w:t>
            </w:r>
          </w:p>
        </w:tc>
        <w:tc>
          <w:tcPr>
            <w:tcW w:w="60" w:type="dxa"/>
            <w:vAlign w:val="bottom"/>
          </w:tcPr>
          <w:p>
            <w:pPr>
              <w:spacing w:after="0"/>
              <w:rPr>
                <w:sz w:val="17"/>
                <w:szCs w:val="17"/>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7,266</w:t>
            </w:r>
          </w:p>
        </w:tc>
        <w:tc>
          <w:tcPr>
            <w:tcW w:w="440" w:type="dxa"/>
            <w:vAlign w:val="bottom"/>
          </w:tcPr>
          <w:p>
            <w:pPr>
              <w:ind w:left="100"/>
              <w:spacing w:after="0"/>
              <w:rPr>
                <w:sz w:val="20"/>
                <w:szCs w:val="20"/>
                <w:color w:val="auto"/>
              </w:rPr>
            </w:pPr>
            <w:r>
              <w:rPr>
                <w:rFonts w:ascii="Calibri" w:cs="Calibri" w:eastAsia="Calibri" w:hAnsi="Calibri"/>
                <w:sz w:val="14"/>
                <w:szCs w:val="14"/>
                <w:color w:val="auto"/>
              </w:rPr>
              <w:t>(9)</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932,664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19,868</w:t>
            </w:r>
          </w:p>
        </w:tc>
        <w:tc>
          <w:tcPr>
            <w:tcW w:w="1040" w:type="dxa"/>
            <w:vAlign w:val="bottom"/>
            <w:gridSpan w:val="3"/>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6,622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91.58</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05/16/2029</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17,236</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2,212,413</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11,888</w:t>
            </w:r>
          </w:p>
        </w:tc>
        <w:tc>
          <w:tcPr>
            <w:tcW w:w="104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23,774</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60.21</w:t>
            </w:r>
          </w:p>
        </w:tc>
        <w:tc>
          <w:tcPr>
            <w:tcW w:w="200" w:type="dxa"/>
            <w:vAlign w:val="bottom"/>
          </w:tcPr>
          <w:p>
            <w:pPr>
              <w:spacing w:after="0"/>
              <w:rPr>
                <w:sz w:val="18"/>
                <w:szCs w:val="18"/>
                <w:color w:val="auto"/>
              </w:rPr>
            </w:pPr>
          </w:p>
        </w:tc>
        <w:tc>
          <w:tcPr>
            <w:tcW w:w="98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05/19/2030</w:t>
            </w: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10,772</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1,382,694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9,906</w:t>
            </w:r>
          </w:p>
        </w:tc>
        <w:tc>
          <w:tcPr>
            <w:tcW w:w="1040" w:type="dxa"/>
            <w:vAlign w:val="bottom"/>
            <w:gridSpan w:val="3"/>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19,812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60.21</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05/19/2030</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1880" w:type="dxa"/>
            <w:vAlign w:val="bottom"/>
            <w:gridSpan w:val="2"/>
          </w:tcPr>
          <w:p>
            <w:pPr>
              <w:spacing w:after="0" w:line="193" w:lineRule="exact"/>
              <w:rPr>
                <w:sz w:val="20"/>
                <w:szCs w:val="20"/>
                <w:color w:val="auto"/>
              </w:rPr>
            </w:pPr>
            <w:r>
              <w:rPr>
                <w:rFonts w:ascii="Calibri" w:cs="Calibri" w:eastAsia="Calibri" w:hAnsi="Calibri"/>
                <w:sz w:val="16"/>
                <w:szCs w:val="16"/>
                <w:color w:val="auto"/>
              </w:rPr>
              <w:t>D. Craig Kesler</w:t>
            </w: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7,120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106.24</w:t>
            </w:r>
          </w:p>
        </w:tc>
        <w:tc>
          <w:tcPr>
            <w:tcW w:w="200" w:type="dxa"/>
            <w:vAlign w:val="bottom"/>
          </w:tcPr>
          <w:p>
            <w:pPr>
              <w:spacing w:after="0"/>
              <w:rPr>
                <w:sz w:val="18"/>
                <w:szCs w:val="18"/>
                <w:color w:val="auto"/>
              </w:rPr>
            </w:pPr>
          </w:p>
        </w:tc>
        <w:tc>
          <w:tcPr>
            <w:tcW w:w="98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05/17/2028</w:t>
            </w: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11,667</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(12)</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1,497,576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6,614</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106.24</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05/17/2028</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720</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92,419</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7,235</w:t>
            </w:r>
          </w:p>
        </w:tc>
        <w:tc>
          <w:tcPr>
            <w:tcW w:w="104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2,411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91.58</w:t>
            </w:r>
          </w:p>
        </w:tc>
        <w:tc>
          <w:tcPr>
            <w:tcW w:w="200" w:type="dxa"/>
            <w:vAlign w:val="bottom"/>
          </w:tcPr>
          <w:p>
            <w:pPr>
              <w:spacing w:after="0"/>
              <w:rPr>
                <w:sz w:val="18"/>
                <w:szCs w:val="18"/>
                <w:color w:val="auto"/>
              </w:rPr>
            </w:pPr>
          </w:p>
        </w:tc>
        <w:tc>
          <w:tcPr>
            <w:tcW w:w="98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05/16/2029</w:t>
            </w: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682</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87,542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6,852</w:t>
            </w:r>
          </w:p>
        </w:tc>
        <w:tc>
          <w:tcPr>
            <w:tcW w:w="1040" w:type="dxa"/>
            <w:vAlign w:val="bottom"/>
            <w:gridSpan w:val="3"/>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2,283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91.58</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05/16/2029</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2,491</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319,745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6,794</w:t>
            </w:r>
          </w:p>
        </w:tc>
        <w:tc>
          <w:tcPr>
            <w:tcW w:w="104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6,792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60.21</w:t>
            </w:r>
          </w:p>
        </w:tc>
        <w:tc>
          <w:tcPr>
            <w:tcW w:w="200" w:type="dxa"/>
            <w:vAlign w:val="bottom"/>
          </w:tcPr>
          <w:p>
            <w:pPr>
              <w:spacing w:after="0"/>
              <w:rPr>
                <w:sz w:val="18"/>
                <w:szCs w:val="18"/>
                <w:color w:val="auto"/>
              </w:rPr>
            </w:pPr>
          </w:p>
        </w:tc>
        <w:tc>
          <w:tcPr>
            <w:tcW w:w="98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05/19/2030</w:t>
            </w: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2,076</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(9)</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266,475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5,662</w:t>
            </w:r>
          </w:p>
        </w:tc>
        <w:tc>
          <w:tcPr>
            <w:tcW w:w="1040" w:type="dxa"/>
            <w:vAlign w:val="bottom"/>
            <w:gridSpan w:val="3"/>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5,660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60.21</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05/19/2030</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4,309</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553,103</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2,693</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345,673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1880" w:type="dxa"/>
            <w:vAlign w:val="bottom"/>
            <w:gridSpan w:val="2"/>
          </w:tcPr>
          <w:p>
            <w:pPr>
              <w:spacing w:after="0" w:line="193" w:lineRule="exact"/>
              <w:rPr>
                <w:sz w:val="20"/>
                <w:szCs w:val="20"/>
                <w:color w:val="auto"/>
              </w:rPr>
            </w:pPr>
            <w:r>
              <w:rPr>
                <w:rFonts w:ascii="Calibri" w:cs="Calibri" w:eastAsia="Calibri" w:hAnsi="Calibri"/>
                <w:sz w:val="16"/>
                <w:szCs w:val="16"/>
                <w:color w:val="auto"/>
              </w:rPr>
              <w:t>Robert S. Stewart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1,297</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166,483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1,228</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157,626</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4,484</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575,566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3,736</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(9)</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479,553</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3,878</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497,780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2,424</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311,145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80" w:type="dxa"/>
            <w:vAlign w:val="bottom"/>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James H. Graass</w:t>
            </w: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2,856</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81.56</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06/10/2025</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1,153</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147,999</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1,092</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140,169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3,986</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511,643</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3,322</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(9)</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426,412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3,448</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442,585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2,154</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276,487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1880" w:type="dxa"/>
            <w:vAlign w:val="bottom"/>
            <w:gridSpan w:val="2"/>
          </w:tcPr>
          <w:p>
            <w:pPr>
              <w:spacing w:after="0" w:line="193" w:lineRule="exact"/>
              <w:rPr>
                <w:sz w:val="20"/>
                <w:szCs w:val="20"/>
                <w:color w:val="auto"/>
              </w:rPr>
            </w:pPr>
            <w:r>
              <w:rPr>
                <w:rFonts w:ascii="Calibri" w:cs="Calibri" w:eastAsia="Calibri" w:hAnsi="Calibri"/>
                <w:sz w:val="16"/>
                <w:szCs w:val="16"/>
                <w:color w:val="auto"/>
              </w:rPr>
              <w:t>Steven L. Wentzel</w:t>
            </w: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1,088</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106.24</w:t>
            </w:r>
          </w:p>
        </w:tc>
        <w:tc>
          <w:tcPr>
            <w:tcW w:w="200" w:type="dxa"/>
            <w:vAlign w:val="bottom"/>
          </w:tcPr>
          <w:p>
            <w:pPr>
              <w:spacing w:after="0"/>
              <w:rPr>
                <w:sz w:val="18"/>
                <w:szCs w:val="18"/>
                <w:color w:val="auto"/>
              </w:rPr>
            </w:pPr>
          </w:p>
        </w:tc>
        <w:tc>
          <w:tcPr>
            <w:tcW w:w="98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05/17/2028</w:t>
            </w: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396</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50,831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1,010</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106.24</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05/17/2028</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375</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48,135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1,326</w:t>
            </w:r>
          </w:p>
        </w:tc>
        <w:tc>
          <w:tcPr>
            <w:tcW w:w="104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1,326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91.58</w:t>
            </w:r>
          </w:p>
        </w:tc>
        <w:tc>
          <w:tcPr>
            <w:tcW w:w="200" w:type="dxa"/>
            <w:vAlign w:val="bottom"/>
          </w:tcPr>
          <w:p>
            <w:pPr>
              <w:spacing w:after="0"/>
              <w:rPr>
                <w:sz w:val="18"/>
                <w:szCs w:val="18"/>
                <w:color w:val="auto"/>
              </w:rPr>
            </w:pPr>
          </w:p>
        </w:tc>
        <w:tc>
          <w:tcPr>
            <w:tcW w:w="98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05/16/2029</w:t>
            </w: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2,990</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383,796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1,256</w:t>
            </w:r>
          </w:p>
        </w:tc>
        <w:tc>
          <w:tcPr>
            <w:tcW w:w="1040" w:type="dxa"/>
            <w:vAlign w:val="bottom"/>
            <w:gridSpan w:val="3"/>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1,256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91.58</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05/16/2029</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2,491</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(9)</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319,745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2,586</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331,939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1,616</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207,430</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200" w:lineRule="exact"/>
        <w:rPr>
          <w:sz w:val="20"/>
          <w:szCs w:val="20"/>
          <w:color w:val="auto"/>
        </w:rPr>
      </w:pPr>
    </w:p>
    <w:p>
      <w:pPr>
        <w:spacing w:after="0" w:line="30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2" w:name="page43"/>
    <w:bookmarkEnd w:id="42"/>
    <w:p>
      <w:pPr>
        <w:ind w:right="260" w:hanging="201"/>
        <w:spacing w:after="0" w:line="235" w:lineRule="auto"/>
        <w:rPr>
          <w:sz w:val="20"/>
          <w:szCs w:val="20"/>
          <w:color w:val="auto"/>
        </w:rPr>
      </w:pPr>
      <w:r>
        <w:rPr>
          <w:rFonts w:ascii="Calibri" w:cs="Calibri" w:eastAsia="Calibri" w:hAnsi="Calibri"/>
          <w:sz w:val="18"/>
          <w:szCs w:val="18"/>
          <w:color w:val="auto"/>
        </w:rPr>
        <w:t>(1)Based on the closing price per share of Common Stock on the NYSE on March 31, 2022 ($128.36).</w:t>
      </w:r>
    </w:p>
    <w:p>
      <w:pPr>
        <w:spacing w:after="0" w:line="42" w:lineRule="exact"/>
        <w:rPr>
          <w:sz w:val="20"/>
          <w:szCs w:val="20"/>
          <w:color w:val="auto"/>
        </w:rPr>
      </w:pPr>
    </w:p>
    <w:p>
      <w:pPr>
        <w:ind w:right="40" w:hanging="201"/>
        <w:spacing w:after="0" w:line="235" w:lineRule="auto"/>
        <w:rPr>
          <w:sz w:val="20"/>
          <w:szCs w:val="20"/>
          <w:color w:val="auto"/>
        </w:rPr>
      </w:pPr>
      <w:r>
        <w:rPr>
          <w:rFonts w:ascii="Calibri" w:cs="Calibri" w:eastAsia="Calibri" w:hAnsi="Calibri"/>
          <w:sz w:val="18"/>
          <w:szCs w:val="18"/>
          <w:color w:val="auto"/>
        </w:rPr>
        <w:t>(2)Represents performance-based stock optons granted on May 16, 2019 under our Incentve Plan. The remaining earned stock optons will vest on March 31, 2023.</w:t>
      </w:r>
    </w:p>
    <w:p>
      <w:pPr>
        <w:spacing w:after="0" w:line="43" w:lineRule="exact"/>
        <w:rPr>
          <w:sz w:val="20"/>
          <w:szCs w:val="20"/>
          <w:color w:val="auto"/>
        </w:rPr>
      </w:pPr>
    </w:p>
    <w:p>
      <w:pPr>
        <w:ind w:hanging="201"/>
        <w:spacing w:after="0" w:line="258" w:lineRule="auto"/>
        <w:rPr>
          <w:sz w:val="20"/>
          <w:szCs w:val="20"/>
          <w:color w:val="auto"/>
        </w:rPr>
      </w:pPr>
      <w:r>
        <w:rPr>
          <w:rFonts w:ascii="Calibri" w:cs="Calibri" w:eastAsia="Calibri" w:hAnsi="Calibri"/>
          <w:sz w:val="17"/>
          <w:szCs w:val="17"/>
          <w:color w:val="auto"/>
        </w:rPr>
        <w:t>(3)Represents tme-vestng stock optons granted on May 16, 2019 under our Incentve Plan. The remaining stock optons will vest on March 31, 2023.</w:t>
      </w:r>
    </w:p>
    <w:p>
      <w:pPr>
        <w:spacing w:after="0" w:line="26" w:lineRule="exact"/>
        <w:rPr>
          <w:sz w:val="20"/>
          <w:szCs w:val="20"/>
          <w:color w:val="auto"/>
        </w:rPr>
      </w:pPr>
    </w:p>
    <w:p>
      <w:pPr>
        <w:jc w:val="both"/>
        <w:ind w:right="220" w:hanging="201"/>
        <w:spacing w:after="0" w:line="235" w:lineRule="auto"/>
        <w:rPr>
          <w:sz w:val="20"/>
          <w:szCs w:val="20"/>
          <w:color w:val="auto"/>
        </w:rPr>
      </w:pPr>
      <w:r>
        <w:rPr>
          <w:rFonts w:ascii="Calibri" w:cs="Calibri" w:eastAsia="Calibri" w:hAnsi="Calibri"/>
          <w:sz w:val="18"/>
          <w:szCs w:val="18"/>
          <w:color w:val="auto"/>
        </w:rPr>
        <w:t>(4)Represents performance-based stock optons granted on May 19, 2020 under our Incentve Plan. The remaining earned stock optons will vest ratably on March 31 of 2023 and 2024.</w:t>
      </w:r>
    </w:p>
    <w:p>
      <w:pPr>
        <w:spacing w:after="0" w:line="43" w:lineRule="exact"/>
        <w:rPr>
          <w:sz w:val="20"/>
          <w:szCs w:val="20"/>
          <w:color w:val="auto"/>
        </w:rPr>
      </w:pPr>
    </w:p>
    <w:p>
      <w:pPr>
        <w:ind w:hanging="201"/>
        <w:spacing w:after="0" w:line="235" w:lineRule="auto"/>
        <w:rPr>
          <w:sz w:val="20"/>
          <w:szCs w:val="20"/>
          <w:color w:val="auto"/>
        </w:rPr>
      </w:pPr>
      <w:r>
        <w:rPr>
          <w:rFonts w:ascii="Calibri" w:cs="Calibri" w:eastAsia="Calibri" w:hAnsi="Calibri"/>
          <w:sz w:val="18"/>
          <w:szCs w:val="18"/>
          <w:color w:val="auto"/>
        </w:rPr>
        <w:t>(5)Represents tme-vestng stock optons granted on May 19, 2020 under our Incentve Plan. The remaining stock optons will vest ratably on March 31 of 2023 and 2024.</w:t>
      </w:r>
    </w:p>
    <w:p>
      <w:pPr>
        <w:spacing w:after="0" w:line="43" w:lineRule="exact"/>
        <w:rPr>
          <w:sz w:val="20"/>
          <w:szCs w:val="20"/>
          <w:color w:val="auto"/>
        </w:rPr>
      </w:pPr>
    </w:p>
    <w:p>
      <w:pPr>
        <w:jc w:val="both"/>
        <w:ind w:right="20" w:hanging="201"/>
        <w:spacing w:after="0" w:line="235" w:lineRule="auto"/>
        <w:rPr>
          <w:sz w:val="20"/>
          <w:szCs w:val="20"/>
          <w:color w:val="auto"/>
        </w:rPr>
      </w:pPr>
      <w:r>
        <w:rPr>
          <w:rFonts w:ascii="Calibri" w:cs="Calibri" w:eastAsia="Calibri" w:hAnsi="Calibri"/>
          <w:sz w:val="18"/>
          <w:szCs w:val="18"/>
          <w:color w:val="auto"/>
        </w:rPr>
        <w:t>(6)Represents performance-based restricted stock granted on May 16, 2019 under our Incentve Plan. Restrictons on the remaining earned shares will lapse on March 31, 2023.</w:t>
      </w:r>
    </w:p>
    <w:p>
      <w:pPr>
        <w:spacing w:after="0" w:line="43" w:lineRule="exact"/>
        <w:rPr>
          <w:sz w:val="20"/>
          <w:szCs w:val="20"/>
          <w:color w:val="auto"/>
        </w:rPr>
      </w:pPr>
    </w:p>
    <w:p>
      <w:pPr>
        <w:ind w:right="140" w:hanging="201"/>
        <w:spacing w:after="0" w:line="235" w:lineRule="auto"/>
        <w:rPr>
          <w:sz w:val="20"/>
          <w:szCs w:val="20"/>
          <w:color w:val="auto"/>
        </w:rPr>
      </w:pPr>
      <w:r>
        <w:rPr>
          <w:rFonts w:ascii="Calibri" w:cs="Calibri" w:eastAsia="Calibri" w:hAnsi="Calibri"/>
          <w:sz w:val="18"/>
          <w:szCs w:val="18"/>
          <w:color w:val="auto"/>
        </w:rPr>
        <w:t>(7)Represents tme-vestng restricted stock granted on May 16, 2019 under our Incentve Plan. Restrictons will lapse on the remaining shares on March 31, 2023.</w:t>
      </w:r>
    </w:p>
    <w:p>
      <w:pPr>
        <w:spacing w:after="0" w:line="43" w:lineRule="exact"/>
        <w:rPr>
          <w:sz w:val="20"/>
          <w:szCs w:val="20"/>
          <w:color w:val="auto"/>
        </w:rPr>
      </w:pPr>
    </w:p>
    <w:p>
      <w:pPr>
        <w:jc w:val="both"/>
        <w:ind w:right="20" w:hanging="201"/>
        <w:spacing w:after="0" w:line="235" w:lineRule="auto"/>
        <w:rPr>
          <w:sz w:val="20"/>
          <w:szCs w:val="20"/>
          <w:color w:val="auto"/>
        </w:rPr>
      </w:pPr>
      <w:r>
        <w:rPr>
          <w:rFonts w:ascii="Calibri" w:cs="Calibri" w:eastAsia="Calibri" w:hAnsi="Calibri"/>
          <w:sz w:val="18"/>
          <w:szCs w:val="18"/>
          <w:color w:val="auto"/>
        </w:rPr>
        <w:t>(8)Represents performance-based restricted stock granted on May 19, 2020 under our Incentve Plan. Restrictons on the remaining earned shares will lapse ratably on March 31 of 2023 and 2024.</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04" w:right="20" w:hanging="202"/>
        <w:spacing w:after="0" w:line="235" w:lineRule="auto"/>
        <w:rPr>
          <w:sz w:val="20"/>
          <w:szCs w:val="20"/>
          <w:color w:val="auto"/>
        </w:rPr>
      </w:pPr>
      <w:r>
        <w:rPr>
          <w:rFonts w:ascii="Calibri" w:cs="Calibri" w:eastAsia="Calibri" w:hAnsi="Calibri"/>
          <w:sz w:val="18"/>
          <w:szCs w:val="18"/>
          <w:color w:val="auto"/>
        </w:rPr>
        <w:t>(9)Represents tme-vestng restricted stock granted on May 19, 2020 under our Incentve Plan. Restrictons will lapse ratably on March 31 of 2023 and 2024.</w:t>
      </w:r>
    </w:p>
    <w:p>
      <w:pPr>
        <w:spacing w:after="0" w:line="43" w:lineRule="exact"/>
        <w:rPr>
          <w:sz w:val="20"/>
          <w:szCs w:val="20"/>
          <w:color w:val="auto"/>
        </w:rPr>
      </w:pPr>
    </w:p>
    <w:p>
      <w:pPr>
        <w:ind w:left="304" w:hanging="304"/>
        <w:spacing w:after="0" w:line="251" w:lineRule="auto"/>
        <w:tabs>
          <w:tab w:leader="none" w:pos="304"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Represents performance-based restricted stock granted on May 19, 2021 under our Incentve Plan. The Compensaton Commitee determined in May 2022 (i.e., afer the end of fscal 2021) that 100% of the maximum award (or 120% of the target award) was earned. One-fourth of the earned restricted shares was paid to the Named Executve Ofcer on May 17, 2022, and restrictons will lapse ratably on the remaining earned restricted shares on March 31 of 2023, 2024 and 2025.</w:t>
      </w:r>
    </w:p>
    <w:p>
      <w:pPr>
        <w:spacing w:after="0" w:line="33" w:lineRule="exact"/>
        <w:rPr>
          <w:rFonts w:ascii="Calibri" w:cs="Calibri" w:eastAsia="Calibri" w:hAnsi="Calibri"/>
          <w:sz w:val="17"/>
          <w:szCs w:val="17"/>
          <w:color w:val="auto"/>
        </w:rPr>
      </w:pPr>
    </w:p>
    <w:p>
      <w:pPr>
        <w:ind w:left="304" w:right="60" w:hanging="304"/>
        <w:spacing w:after="0" w:line="235" w:lineRule="auto"/>
        <w:tabs>
          <w:tab w:leader="none" w:pos="304"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Represents tme-vestng restricted stock granted on May 19, 2021 under our Incentve Plan. Restrictons on the frst one-fourth lapsed on March 31, 2022. Restrictons on the remaining shares will lapse ratably on March 31 of 2023, 2024 and 2025.</w:t>
      </w:r>
    </w:p>
    <w:p>
      <w:pPr>
        <w:spacing w:after="0" w:line="43" w:lineRule="exact"/>
        <w:rPr>
          <w:rFonts w:ascii="Calibri" w:cs="Calibri" w:eastAsia="Calibri" w:hAnsi="Calibri"/>
          <w:sz w:val="18"/>
          <w:szCs w:val="18"/>
          <w:color w:val="auto"/>
        </w:rPr>
      </w:pPr>
    </w:p>
    <w:p>
      <w:pPr>
        <w:ind w:left="304" w:hanging="304"/>
        <w:spacing w:after="0" w:line="254" w:lineRule="auto"/>
        <w:tabs>
          <w:tab w:leader="none" w:pos="304"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Represents restricted stock granted on May 18, 2010 under our Incentve Plan. Restrictons will lapse upon the Named Executve Ofcer meetng the requirements of retrement, as defned in the award agreement.</w:t>
      </w:r>
    </w:p>
    <w:p>
      <w:pPr>
        <w:spacing w:after="0" w:line="1388" w:lineRule="exact"/>
        <w:rPr>
          <w:sz w:val="20"/>
          <w:szCs w:val="20"/>
          <w:color w:val="auto"/>
        </w:rPr>
      </w:pPr>
    </w:p>
    <w:p>
      <w:pPr>
        <w:sectPr>
          <w:pgSz w:w="11900" w:h="16838" w:orient="portrait"/>
          <w:cols w:equalWidth="0" w:num="2">
            <w:col w:w="5260" w:space="256"/>
            <w:col w:w="5484"/>
          </w:cols>
          <w:pgMar w:left="540" w:top="347" w:right="3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3840"/>
        <w:spacing w:after="0"/>
        <w:rPr>
          <w:sz w:val="20"/>
          <w:szCs w:val="20"/>
          <w:color w:val="auto"/>
        </w:rPr>
      </w:pPr>
      <w:r>
        <w:rPr>
          <w:rFonts w:ascii="Calibri" w:cs="Calibri" w:eastAsia="Calibri" w:hAnsi="Calibri"/>
          <w:sz w:val="20"/>
          <w:szCs w:val="20"/>
          <w:color w:val="auto"/>
        </w:rPr>
        <w:t>_______________________________</w:t>
      </w:r>
    </w:p>
    <w:p>
      <w:pPr>
        <w:jc w:val="center"/>
        <w:ind w:right="200"/>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77470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540" w:top="347" w:right="359" w:bottom="1440" w:gutter="0" w:footer="0" w:header="0"/>
          <w:type w:val="continuous"/>
        </w:sectPr>
      </w:pPr>
    </w:p>
    <w:bookmarkStart w:id="43" w:name="page44"/>
    <w:bookmarkEnd w:id="43"/>
    <w:p>
      <w:pPr>
        <w:jc w:val="center"/>
        <w:ind w:right="-19"/>
        <w:spacing w:after="0"/>
        <w:rPr>
          <w:sz w:val="20"/>
          <w:szCs w:val="20"/>
          <w:color w:val="auto"/>
        </w:rPr>
      </w:pPr>
      <w:r>
        <w:rPr>
          <w:rFonts w:ascii="Calibri" w:cs="Calibri" w:eastAsia="Calibri" w:hAnsi="Calibri"/>
          <w:sz w:val="18"/>
          <w:szCs w:val="18"/>
          <w:b w:val="1"/>
          <w:bCs w:val="1"/>
          <w:color w:val="auto"/>
        </w:rPr>
        <w:t>Opton Exercises and Stock Vested</w:t>
      </w:r>
    </w:p>
    <w:p>
      <w:pPr>
        <w:spacing w:after="0" w:line="325" w:lineRule="exact"/>
        <w:rPr>
          <w:sz w:val="20"/>
          <w:szCs w:val="20"/>
          <w:color w:val="auto"/>
        </w:rPr>
      </w:pPr>
    </w:p>
    <w:p>
      <w:pPr>
        <w:ind w:right="180" w:firstLine="476"/>
        <w:spacing w:after="0" w:line="235" w:lineRule="auto"/>
        <w:rPr>
          <w:sz w:val="20"/>
          <w:szCs w:val="20"/>
          <w:color w:val="auto"/>
        </w:rPr>
      </w:pPr>
      <w:r>
        <w:rPr>
          <w:rFonts w:ascii="Calibri" w:cs="Calibri" w:eastAsia="Calibri" w:hAnsi="Calibri"/>
          <w:sz w:val="18"/>
          <w:szCs w:val="18"/>
          <w:color w:val="auto"/>
        </w:rPr>
        <w:t>The following table sets forth informaton regarding the exercise of stock optons and the vestng of restricted stock during fscal 2022 for each of our Named Executve Ofcers.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60" w:type="dxa"/>
            <w:vAlign w:val="bottom"/>
            <w:gridSpan w:val="5"/>
          </w:tcPr>
          <w:p>
            <w:pPr>
              <w:ind w:left="800"/>
              <w:spacing w:after="0"/>
              <w:rPr>
                <w:sz w:val="20"/>
                <w:szCs w:val="20"/>
                <w:color w:val="auto"/>
              </w:rPr>
            </w:pPr>
            <w:r>
              <w:rPr>
                <w:rFonts w:ascii="Calibri" w:cs="Calibri" w:eastAsia="Calibri" w:hAnsi="Calibri"/>
                <w:sz w:val="14"/>
                <w:szCs w:val="14"/>
                <w:b w:val="1"/>
                <w:bCs w:val="1"/>
                <w:color w:val="auto"/>
              </w:rPr>
              <w:t>Opton Awards</w:t>
            </w:r>
          </w:p>
        </w:tc>
        <w:tc>
          <w:tcPr>
            <w:tcW w:w="2640" w:type="dxa"/>
            <w:vAlign w:val="bottom"/>
            <w:gridSpan w:val="5"/>
          </w:tcPr>
          <w:p>
            <w:pPr>
              <w:ind w:left="860"/>
              <w:spacing w:after="0"/>
              <w:rPr>
                <w:sz w:val="20"/>
                <w:szCs w:val="20"/>
                <w:color w:val="auto"/>
              </w:rPr>
            </w:pPr>
            <w:r>
              <w:rPr>
                <w:rFonts w:ascii="Calibri" w:cs="Calibri" w:eastAsia="Calibri" w:hAnsi="Calibri"/>
                <w:sz w:val="14"/>
                <w:szCs w:val="14"/>
                <w:b w:val="1"/>
                <w:bCs w:val="1"/>
                <w:color w:val="auto"/>
              </w:rPr>
              <w:t>Stock Awards</w:t>
            </w:r>
          </w:p>
        </w:tc>
      </w:tr>
      <w:tr>
        <w:trPr>
          <w:trHeight w:val="170"/>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60"/>
              <w:spacing w:after="0"/>
              <w:rPr>
                <w:sz w:val="20"/>
                <w:szCs w:val="20"/>
                <w:color w:val="auto"/>
              </w:rPr>
            </w:pPr>
            <w:r>
              <w:rPr>
                <w:rFonts w:ascii="Calibri" w:cs="Calibri" w:eastAsia="Calibri" w:hAnsi="Calibri"/>
                <w:sz w:val="14"/>
                <w:szCs w:val="14"/>
                <w:b w:val="1"/>
                <w:bCs w:val="1"/>
                <w:color w:val="auto"/>
              </w:rPr>
              <w:t>Number of</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Shares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Number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Acquired on</w:t>
            </w:r>
          </w:p>
        </w:tc>
        <w:tc>
          <w:tcPr>
            <w:tcW w:w="1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Value Realized</w:t>
            </w: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Shares Acquired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Value Realized</w:t>
            </w:r>
          </w:p>
        </w:tc>
      </w:tr>
      <w:tr>
        <w:trPr>
          <w:trHeight w:val="175"/>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Exercise</w:t>
            </w: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on Exercise</w:t>
            </w: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on Vestng(1)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on Vestng(2)</w:t>
            </w:r>
          </w:p>
        </w:tc>
      </w:tr>
      <w:tr>
        <w:trPr>
          <w:trHeight w:val="155"/>
        </w:trPr>
        <w:tc>
          <w:tcPr>
            <w:tcW w:w="5840" w:type="dxa"/>
            <w:vAlign w:val="bottom"/>
            <w:gridSpan w:val="3"/>
          </w:tcPr>
          <w:p>
            <w:pPr>
              <w:spacing w:after="0" w:line="155" w:lineRule="exact"/>
              <w:rPr>
                <w:sz w:val="20"/>
                <w:szCs w:val="20"/>
                <w:color w:val="auto"/>
              </w:rPr>
            </w:pPr>
            <w:r>
              <w:rPr>
                <w:rFonts w:ascii="Calibri" w:cs="Calibri" w:eastAsia="Calibri" w:hAnsi="Calibri"/>
                <w:sz w:val="14"/>
                <w:szCs w:val="14"/>
                <w:b w:val="1"/>
                <w:bCs w:val="1"/>
                <w:color w:val="auto"/>
              </w:rPr>
              <w:t>Name</w:t>
            </w:r>
          </w:p>
        </w:tc>
        <w:tc>
          <w:tcPr>
            <w:tcW w:w="114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42"/>
              <w:spacing w:after="0" w:line="155" w:lineRule="exact"/>
              <w:rPr>
                <w:sz w:val="20"/>
                <w:szCs w:val="20"/>
                <w:color w:val="auto"/>
              </w:rPr>
            </w:pPr>
            <w:r>
              <w:rPr>
                <w:rFonts w:ascii="Calibri" w:cs="Calibri" w:eastAsia="Calibri" w:hAnsi="Calibri"/>
                <w:sz w:val="14"/>
                <w:szCs w:val="14"/>
                <w:b w:val="1"/>
                <w:bCs w:val="1"/>
                <w:color w:val="auto"/>
              </w:rPr>
              <w:t>($)</w:t>
            </w:r>
          </w:p>
        </w:tc>
        <w:tc>
          <w:tcPr>
            <w:tcW w:w="24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2"/>
              <w:spacing w:after="0" w:line="155"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3"/>
                <w:szCs w:val="13"/>
                <w:color w:val="auto"/>
              </w:rPr>
            </w:pPr>
          </w:p>
        </w:tc>
      </w:tr>
      <w:tr>
        <w:trPr>
          <w:trHeight w:val="21"/>
        </w:trPr>
        <w:tc>
          <w:tcPr>
            <w:tcW w:w="360" w:type="dxa"/>
            <w:vAlign w:val="bottom"/>
            <w:tcBorders>
              <w:top w:val="single" w:sz="8" w:color="auto"/>
              <w:bottom w:val="single" w:sz="8" w:color="CFF0FC"/>
            </w:tcBorders>
          </w:tcPr>
          <w:p>
            <w:pPr>
              <w:spacing w:after="0" w:line="20" w:lineRule="exact"/>
              <w:rPr>
                <w:sz w:val="1"/>
                <w:szCs w:val="1"/>
                <w:color w:val="auto"/>
              </w:rPr>
            </w:pPr>
          </w:p>
        </w:tc>
        <w:tc>
          <w:tcPr>
            <w:tcW w:w="3160" w:type="dxa"/>
            <w:vAlign w:val="bottom"/>
            <w:tcBorders>
              <w:bottom w:val="single" w:sz="8" w:color="CFF0FC"/>
            </w:tcBorders>
          </w:tcPr>
          <w:p>
            <w:pPr>
              <w:spacing w:after="0" w:line="20" w:lineRule="exact"/>
              <w:rPr>
                <w:sz w:val="1"/>
                <w:szCs w:val="1"/>
                <w:color w:val="auto"/>
              </w:rPr>
            </w:pPr>
          </w:p>
        </w:tc>
        <w:tc>
          <w:tcPr>
            <w:tcW w:w="232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89"/>
        </w:trPr>
        <w:tc>
          <w:tcPr>
            <w:tcW w:w="5840" w:type="dxa"/>
            <w:vAlign w:val="bottom"/>
            <w:tcBorders>
              <w:bottom w:val="single" w:sz="8" w:color="CFF0FC"/>
            </w:tcBorders>
            <w:gridSpan w:val="3"/>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11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28,865</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10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2,330,903</w:t>
            </w:r>
          </w:p>
        </w:tc>
        <w:tc>
          <w:tcPr>
            <w:tcW w:w="2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21,356</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10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2,884,184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3"/>
        </w:trPr>
        <w:tc>
          <w:tcPr>
            <w:tcW w:w="5840" w:type="dxa"/>
            <w:vAlign w:val="bottom"/>
            <w:gridSpan w:val="3"/>
          </w:tcPr>
          <w:p>
            <w:pPr>
              <w:spacing w:after="0" w:line="193" w:lineRule="exact"/>
              <w:rPr>
                <w:sz w:val="20"/>
                <w:szCs w:val="20"/>
                <w:color w:val="auto"/>
              </w:rPr>
            </w:pPr>
            <w:r>
              <w:rPr>
                <w:rFonts w:ascii="Calibri" w:cs="Calibri" w:eastAsia="Calibri" w:hAnsi="Calibri"/>
                <w:sz w:val="16"/>
                <w:szCs w:val="16"/>
                <w:color w:val="auto"/>
              </w:rPr>
              <w:t>D. Craig Kesler</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24,539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1,394,012</w:t>
            </w:r>
          </w:p>
        </w:tc>
        <w:tc>
          <w:tcPr>
            <w:tcW w:w="24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6,930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932,399</w:t>
            </w:r>
          </w:p>
        </w:tc>
        <w:tc>
          <w:tcPr>
            <w:tcW w:w="100" w:type="dxa"/>
            <w:vAlign w:val="bottom"/>
          </w:tcPr>
          <w:p>
            <w:pPr>
              <w:spacing w:after="0"/>
              <w:rPr>
                <w:sz w:val="16"/>
                <w:szCs w:val="16"/>
                <w:color w:val="auto"/>
              </w:rPr>
            </w:pPr>
          </w:p>
        </w:tc>
      </w:tr>
      <w:tr>
        <w:trPr>
          <w:trHeight w:val="23"/>
        </w:trPr>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40" w:type="dxa"/>
            <w:vAlign w:val="bottom"/>
            <w:tcBorders>
              <w:bottom w:val="single" w:sz="8" w:color="CFF0FC"/>
            </w:tcBorders>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Robert S. Stewart</w:t>
            </w:r>
          </w:p>
        </w:tc>
        <w:tc>
          <w:tcPr>
            <w:tcW w:w="1380" w:type="dxa"/>
            <w:vAlign w:val="bottom"/>
            <w:tcBorders>
              <w:bottom w:val="single" w:sz="8" w:color="CFF0FC"/>
            </w:tcBorders>
            <w:gridSpan w:val="2"/>
            <w:shd w:val="clear" w:color="auto" w:fill="CFF0FC"/>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11,886</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1,601,411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840" w:type="dxa"/>
            <w:vAlign w:val="bottom"/>
            <w:gridSpan w:val="3"/>
          </w:tcPr>
          <w:p>
            <w:pPr>
              <w:spacing w:after="0" w:line="193" w:lineRule="exact"/>
              <w:rPr>
                <w:sz w:val="20"/>
                <w:szCs w:val="20"/>
                <w:color w:val="auto"/>
              </w:rPr>
            </w:pPr>
            <w:r>
              <w:rPr>
                <w:rFonts w:ascii="Calibri" w:cs="Calibri" w:eastAsia="Calibri" w:hAnsi="Calibri"/>
                <w:sz w:val="16"/>
                <w:szCs w:val="16"/>
                <w:color w:val="auto"/>
              </w:rPr>
              <w:t>James H. Graass</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24,000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1,643,091</w:t>
            </w:r>
          </w:p>
        </w:tc>
        <w:tc>
          <w:tcPr>
            <w:tcW w:w="24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10,566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1,423,568</w:t>
            </w:r>
          </w:p>
        </w:tc>
        <w:tc>
          <w:tcPr>
            <w:tcW w:w="100" w:type="dxa"/>
            <w:vAlign w:val="bottom"/>
          </w:tcPr>
          <w:p>
            <w:pPr>
              <w:spacing w:after="0"/>
              <w:rPr>
                <w:sz w:val="16"/>
                <w:szCs w:val="16"/>
                <w:color w:val="auto"/>
              </w:rPr>
            </w:pPr>
          </w:p>
        </w:tc>
      </w:tr>
      <w:tr>
        <w:trPr>
          <w:trHeight w:val="23"/>
        </w:trPr>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40" w:type="dxa"/>
            <w:vAlign w:val="bottom"/>
            <w:tcBorders>
              <w:bottom w:val="single" w:sz="8" w:color="CFF0FC"/>
            </w:tcBorders>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Steven L. Wentzel</w:t>
            </w:r>
          </w:p>
        </w:tc>
        <w:tc>
          <w:tcPr>
            <w:tcW w:w="11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6,885</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411,434</w:t>
            </w: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6,217</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844,325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1">
            <w:col w:w="11240"/>
          </w:cols>
          <w:pgMar w:left="320" w:top="342" w:right="339" w:bottom="1440" w:gutter="0" w:footer="0" w:header="0"/>
        </w:sectPr>
      </w:pPr>
    </w:p>
    <w:p>
      <w:pPr>
        <w:spacing w:after="0" w:line="102" w:lineRule="exact"/>
        <w:rPr>
          <w:sz w:val="20"/>
          <w:szCs w:val="20"/>
          <w:color w:val="auto"/>
        </w:rPr>
      </w:pPr>
    </w:p>
    <w:p>
      <w:pPr>
        <w:ind w:left="220" w:hanging="201"/>
        <w:spacing w:after="0" w:line="235" w:lineRule="auto"/>
        <w:rPr>
          <w:sz w:val="20"/>
          <w:szCs w:val="20"/>
          <w:color w:val="auto"/>
        </w:rPr>
      </w:pPr>
      <w:r>
        <w:rPr>
          <w:rFonts w:ascii="Calibri" w:cs="Calibri" w:eastAsia="Calibri" w:hAnsi="Calibri"/>
          <w:sz w:val="18"/>
          <w:szCs w:val="18"/>
          <w:color w:val="auto"/>
        </w:rPr>
        <w:t>(1)All of the amounts in this column represent shares of Common Stock received by the Named Executve Ofcer in connecton with the lapsing of restrictons on restricted stock previously granted to the Named Executve Ofcers.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100" w:hanging="202"/>
        <w:spacing w:after="0" w:line="258" w:lineRule="auto"/>
        <w:rPr>
          <w:sz w:val="20"/>
          <w:szCs w:val="20"/>
          <w:color w:val="auto"/>
        </w:rPr>
      </w:pPr>
      <w:r>
        <w:rPr>
          <w:rFonts w:ascii="Calibri" w:cs="Calibri" w:eastAsia="Calibri" w:hAnsi="Calibri"/>
          <w:sz w:val="17"/>
          <w:szCs w:val="17"/>
          <w:color w:val="auto"/>
        </w:rPr>
        <w:t>(2)The amount in this column represents the dollar amount realized by the Named Executve Ofcer valued at the tme of the vestng of such shares.</w:t>
      </w:r>
    </w:p>
    <w:p>
      <w:pPr>
        <w:spacing w:after="0" w:line="614" w:lineRule="exact"/>
        <w:rPr>
          <w:sz w:val="20"/>
          <w:szCs w:val="20"/>
          <w:color w:val="auto"/>
        </w:rPr>
      </w:pPr>
    </w:p>
    <w:p>
      <w:pPr>
        <w:sectPr>
          <w:pgSz w:w="11900" w:h="16838" w:orient="portrait"/>
          <w:cols w:equalWidth="0" w:num="2">
            <w:col w:w="5460" w:space="480"/>
            <w:col w:w="5300"/>
          </w:cols>
          <w:pgMar w:left="320" w:top="342"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44" w:name="page45"/>
    <w:bookmarkEnd w:id="44"/>
    <w:p>
      <w:pPr>
        <w:jc w:val="center"/>
        <w:ind w:right="-19"/>
        <w:spacing w:after="0"/>
        <w:rPr>
          <w:sz w:val="20"/>
          <w:szCs w:val="20"/>
          <w:color w:val="auto"/>
        </w:rPr>
      </w:pPr>
      <w:r>
        <w:rPr>
          <w:rFonts w:ascii="Calibri" w:cs="Calibri" w:eastAsia="Calibri" w:hAnsi="Calibri"/>
          <w:sz w:val="18"/>
          <w:szCs w:val="18"/>
          <w:b w:val="1"/>
          <w:bCs w:val="1"/>
          <w:color w:val="auto"/>
        </w:rPr>
        <w:t>Nonqualifed Deferred Compensaton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In FY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Executve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Registrant</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Aggregate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Aggregate</w:t>
            </w:r>
          </w:p>
        </w:tc>
      </w:tr>
      <w:tr>
        <w:trPr>
          <w:trHeight w:val="175"/>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Contributons 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Contributons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Earnings</w:t>
            </w:r>
          </w:p>
        </w:tc>
        <w:tc>
          <w:tcPr>
            <w:tcW w:w="12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Aggregate</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Balance</w:t>
            </w:r>
          </w:p>
        </w:tc>
      </w:tr>
      <w:tr>
        <w:trPr>
          <w:trHeight w:val="176"/>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Last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in Last</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w w:val="90"/>
              </w:rPr>
              <w:t>in</w:t>
            </w:r>
          </w:p>
        </w:tc>
        <w:tc>
          <w:tcPr>
            <w:tcW w:w="12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Withdrawals/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at</w:t>
            </w:r>
          </w:p>
        </w:tc>
      </w:tr>
      <w:tr>
        <w:trPr>
          <w:trHeight w:val="176"/>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FY</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FY(1)</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Last FY(2)</w:t>
            </w:r>
          </w:p>
        </w:tc>
        <w:tc>
          <w:tcPr>
            <w:tcW w:w="12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Distributons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Last FYE(3)</w:t>
            </w:r>
          </w:p>
        </w:tc>
      </w:tr>
      <w:tr>
        <w:trPr>
          <w:trHeight w:val="155"/>
        </w:trPr>
        <w:tc>
          <w:tcPr>
            <w:tcW w:w="5200" w:type="dxa"/>
            <w:vAlign w:val="bottom"/>
            <w:gridSpan w:val="3"/>
          </w:tcPr>
          <w:p>
            <w:pPr>
              <w:spacing w:after="0" w:line="155" w:lineRule="exact"/>
              <w:rPr>
                <w:sz w:val="20"/>
                <w:szCs w:val="20"/>
                <w:color w:val="auto"/>
              </w:rPr>
            </w:pPr>
            <w:r>
              <w:rPr>
                <w:rFonts w:ascii="Calibri" w:cs="Calibri" w:eastAsia="Calibri" w:hAnsi="Calibri"/>
                <w:sz w:val="14"/>
                <w:szCs w:val="14"/>
                <w:b w:val="1"/>
                <w:bCs w:val="1"/>
                <w:color w:val="auto"/>
              </w:rPr>
              <w:t>Name</w:t>
            </w:r>
          </w:p>
        </w:tc>
        <w:tc>
          <w:tcPr>
            <w:tcW w:w="100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364"/>
              <w:spacing w:after="0" w:line="155"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4"/>
              <w:spacing w:after="0" w:line="155"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4"/>
              <w:spacing w:after="0" w:line="155"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3"/>
                <w:szCs w:val="13"/>
                <w:color w:val="auto"/>
              </w:rPr>
            </w:pPr>
          </w:p>
        </w:tc>
      </w:tr>
      <w:tr>
        <w:trPr>
          <w:trHeight w:val="21"/>
        </w:trPr>
        <w:tc>
          <w:tcPr>
            <w:tcW w:w="360" w:type="dxa"/>
            <w:vAlign w:val="bottom"/>
            <w:tcBorders>
              <w:top w:val="single" w:sz="8" w:color="auto"/>
              <w:bottom w:val="single" w:sz="8" w:color="CFF0FC"/>
            </w:tcBorders>
          </w:tcPr>
          <w:p>
            <w:pPr>
              <w:spacing w:after="0" w:line="20" w:lineRule="exact"/>
              <w:rPr>
                <w:sz w:val="1"/>
                <w:szCs w:val="1"/>
                <w:color w:val="auto"/>
              </w:rPr>
            </w:pPr>
          </w:p>
        </w:tc>
        <w:tc>
          <w:tcPr>
            <w:tcW w:w="3160" w:type="dxa"/>
            <w:vAlign w:val="bottom"/>
            <w:tcBorders>
              <w:bottom w:val="single" w:sz="8" w:color="CFF0FC"/>
            </w:tcBorders>
          </w:tcPr>
          <w:p>
            <w:pPr>
              <w:spacing w:after="0" w:line="20" w:lineRule="exact"/>
              <w:rPr>
                <w:sz w:val="1"/>
                <w:szCs w:val="1"/>
                <w:color w:val="auto"/>
              </w:rPr>
            </w:pPr>
          </w:p>
        </w:tc>
        <w:tc>
          <w:tcPr>
            <w:tcW w:w="168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89"/>
        </w:trPr>
        <w:tc>
          <w:tcPr>
            <w:tcW w:w="5200" w:type="dxa"/>
            <w:vAlign w:val="bottom"/>
            <w:tcBorders>
              <w:bottom w:val="single" w:sz="8" w:color="CFF0FC"/>
            </w:tcBorders>
            <w:gridSpan w:val="3"/>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1000" w:type="dxa"/>
            <w:vAlign w:val="bottom"/>
            <w:tcBorders>
              <w:bottom w:val="single" w:sz="8" w:color="CFF0FC"/>
            </w:tcBorders>
            <w:shd w:val="clear" w:color="auto" w:fill="CFF0FC"/>
          </w:tcPr>
          <w:p>
            <w:pPr>
              <w:ind w:left="840"/>
              <w:spacing w:after="0" w:line="187" w:lineRule="exact"/>
              <w:rPr>
                <w:sz w:val="20"/>
                <w:szCs w:val="20"/>
                <w:color w:val="auto"/>
              </w:rPr>
            </w:pPr>
            <w:r>
              <w:rPr>
                <w:rFonts w:ascii="Calibri" w:cs="Calibri" w:eastAsia="Calibri" w:hAnsi="Calibri"/>
                <w:sz w:val="16"/>
                <w:szCs w:val="16"/>
                <w:color w:val="auto"/>
                <w:w w:val="96"/>
              </w:rPr>
              <w:t>—</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9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59,100</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36,268</w:t>
            </w: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ind w:left="840"/>
              <w:spacing w:after="0" w:line="187" w:lineRule="exact"/>
              <w:rPr>
                <w:sz w:val="20"/>
                <w:szCs w:val="20"/>
                <w:color w:val="auto"/>
              </w:rPr>
            </w:pPr>
            <w:r>
              <w:rPr>
                <w:rFonts w:ascii="Calibri" w:cs="Calibri" w:eastAsia="Calibri" w:hAnsi="Calibri"/>
                <w:sz w:val="16"/>
                <w:szCs w:val="16"/>
                <w:color w:val="auto"/>
                <w:w w:val="96"/>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9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388,843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3"/>
        </w:trPr>
        <w:tc>
          <w:tcPr>
            <w:tcW w:w="5200" w:type="dxa"/>
            <w:vAlign w:val="bottom"/>
            <w:gridSpan w:val="3"/>
          </w:tcPr>
          <w:p>
            <w:pPr>
              <w:spacing w:after="0" w:line="193" w:lineRule="exact"/>
              <w:rPr>
                <w:sz w:val="20"/>
                <w:szCs w:val="20"/>
                <w:color w:val="auto"/>
              </w:rPr>
            </w:pPr>
            <w:r>
              <w:rPr>
                <w:rFonts w:ascii="Calibri" w:cs="Calibri" w:eastAsia="Calibri" w:hAnsi="Calibri"/>
                <w:sz w:val="16"/>
                <w:szCs w:val="16"/>
                <w:color w:val="auto"/>
              </w:rPr>
              <w:t>D. Craig Kesler</w:t>
            </w:r>
          </w:p>
        </w:tc>
        <w:tc>
          <w:tcPr>
            <w:tcW w:w="1000" w:type="dxa"/>
            <w:vAlign w:val="bottom"/>
          </w:tcPr>
          <w:p>
            <w:pPr>
              <w:ind w:left="840"/>
              <w:spacing w:after="0" w:line="193" w:lineRule="exact"/>
              <w:rPr>
                <w:sz w:val="20"/>
                <w:szCs w:val="20"/>
                <w:color w:val="auto"/>
              </w:rPr>
            </w:pPr>
            <w:r>
              <w:rPr>
                <w:rFonts w:ascii="Calibri" w:cs="Calibri" w:eastAsia="Calibri" w:hAnsi="Calibri"/>
                <w:sz w:val="16"/>
                <w:szCs w:val="16"/>
                <w:color w:val="auto"/>
                <w:w w:val="96"/>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21,004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color w:val="auto"/>
              </w:rPr>
              <w:t>35,675</w:t>
            </w:r>
          </w:p>
        </w:tc>
        <w:tc>
          <w:tcPr>
            <w:tcW w:w="220" w:type="dxa"/>
            <w:vAlign w:val="bottom"/>
          </w:tcPr>
          <w:p>
            <w:pPr>
              <w:spacing w:after="0"/>
              <w:rPr>
                <w:sz w:val="16"/>
                <w:szCs w:val="16"/>
                <w:color w:val="auto"/>
              </w:rPr>
            </w:pPr>
          </w:p>
        </w:tc>
        <w:tc>
          <w:tcPr>
            <w:tcW w:w="1220" w:type="dxa"/>
            <w:vAlign w:val="bottom"/>
            <w:gridSpan w:val="2"/>
          </w:tcPr>
          <w:p>
            <w:pPr>
              <w:ind w:left="84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277,818</w:t>
            </w:r>
          </w:p>
        </w:tc>
        <w:tc>
          <w:tcPr>
            <w:tcW w:w="100" w:type="dxa"/>
            <w:vAlign w:val="bottom"/>
          </w:tcPr>
          <w:p>
            <w:pPr>
              <w:spacing w:after="0"/>
              <w:rPr>
                <w:sz w:val="16"/>
                <w:szCs w:val="16"/>
                <w:color w:val="auto"/>
              </w:rPr>
            </w:pPr>
          </w:p>
        </w:tc>
      </w:tr>
      <w:tr>
        <w:trPr>
          <w:trHeight w:val="23"/>
        </w:trPr>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tcBorders>
              <w:bottom w:val="single" w:sz="8" w:color="CFF0FC"/>
            </w:tcBorders>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Robert S. Stewart</w:t>
            </w:r>
          </w:p>
        </w:tc>
        <w:tc>
          <w:tcPr>
            <w:tcW w:w="1000" w:type="dxa"/>
            <w:vAlign w:val="bottom"/>
            <w:tcBorders>
              <w:bottom w:val="single" w:sz="8" w:color="CFF0FC"/>
            </w:tcBorders>
            <w:shd w:val="clear" w:color="auto" w:fill="CFF0FC"/>
          </w:tcPr>
          <w:p>
            <w:pPr>
              <w:ind w:left="840"/>
              <w:spacing w:after="0" w:line="193" w:lineRule="exact"/>
              <w:rPr>
                <w:sz w:val="20"/>
                <w:szCs w:val="20"/>
                <w:color w:val="auto"/>
              </w:rPr>
            </w:pPr>
            <w:r>
              <w:rPr>
                <w:rFonts w:ascii="Calibri" w:cs="Calibri" w:eastAsia="Calibri" w:hAnsi="Calibri"/>
                <w:sz w:val="16"/>
                <w:szCs w:val="16"/>
                <w:color w:val="auto"/>
                <w:w w:val="96"/>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19,042</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1,326</w:t>
            </w:r>
          </w:p>
        </w:tc>
        <w:tc>
          <w:tcPr>
            <w:tcW w:w="2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gridSpan w:val="2"/>
            <w:shd w:val="clear" w:color="auto" w:fill="CFF0FC"/>
          </w:tcPr>
          <w:p>
            <w:pPr>
              <w:ind w:left="84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230,307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200" w:type="dxa"/>
            <w:vAlign w:val="bottom"/>
            <w:gridSpan w:val="3"/>
          </w:tcPr>
          <w:p>
            <w:pPr>
              <w:spacing w:after="0" w:line="193" w:lineRule="exact"/>
              <w:rPr>
                <w:sz w:val="20"/>
                <w:szCs w:val="20"/>
                <w:color w:val="auto"/>
              </w:rPr>
            </w:pPr>
            <w:r>
              <w:rPr>
                <w:rFonts w:ascii="Calibri" w:cs="Calibri" w:eastAsia="Calibri" w:hAnsi="Calibri"/>
                <w:sz w:val="16"/>
                <w:szCs w:val="16"/>
                <w:color w:val="auto"/>
              </w:rPr>
              <w:t>James H. Graass</w:t>
            </w:r>
          </w:p>
        </w:tc>
        <w:tc>
          <w:tcPr>
            <w:tcW w:w="1000" w:type="dxa"/>
            <w:vAlign w:val="bottom"/>
          </w:tcPr>
          <w:p>
            <w:pPr>
              <w:ind w:left="840"/>
              <w:spacing w:after="0" w:line="193" w:lineRule="exact"/>
              <w:rPr>
                <w:sz w:val="20"/>
                <w:szCs w:val="20"/>
                <w:color w:val="auto"/>
              </w:rPr>
            </w:pPr>
            <w:r>
              <w:rPr>
                <w:rFonts w:ascii="Calibri" w:cs="Calibri" w:eastAsia="Calibri" w:hAnsi="Calibri"/>
                <w:sz w:val="16"/>
                <w:szCs w:val="16"/>
                <w:color w:val="auto"/>
                <w:w w:val="96"/>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16,101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color w:val="auto"/>
              </w:rPr>
              <w:t>18,534</w:t>
            </w:r>
          </w:p>
        </w:tc>
        <w:tc>
          <w:tcPr>
            <w:tcW w:w="220" w:type="dxa"/>
            <w:vAlign w:val="bottom"/>
          </w:tcPr>
          <w:p>
            <w:pPr>
              <w:spacing w:after="0"/>
              <w:rPr>
                <w:sz w:val="16"/>
                <w:szCs w:val="16"/>
                <w:color w:val="auto"/>
              </w:rPr>
            </w:pPr>
          </w:p>
        </w:tc>
        <w:tc>
          <w:tcPr>
            <w:tcW w:w="1220" w:type="dxa"/>
            <w:vAlign w:val="bottom"/>
            <w:gridSpan w:val="2"/>
          </w:tcPr>
          <w:p>
            <w:pPr>
              <w:ind w:left="84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473,101</w:t>
            </w:r>
          </w:p>
        </w:tc>
        <w:tc>
          <w:tcPr>
            <w:tcW w:w="100" w:type="dxa"/>
            <w:vAlign w:val="bottom"/>
          </w:tcPr>
          <w:p>
            <w:pPr>
              <w:spacing w:after="0"/>
              <w:rPr>
                <w:sz w:val="16"/>
                <w:szCs w:val="16"/>
                <w:color w:val="auto"/>
              </w:rPr>
            </w:pPr>
          </w:p>
        </w:tc>
      </w:tr>
      <w:tr>
        <w:trPr>
          <w:trHeight w:val="23"/>
        </w:trPr>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tcBorders>
              <w:bottom w:val="single" w:sz="8" w:color="CFF0FC"/>
            </w:tcBorders>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Steven L. Wentzel</w:t>
            </w:r>
          </w:p>
        </w:tc>
        <w:tc>
          <w:tcPr>
            <w:tcW w:w="1000" w:type="dxa"/>
            <w:vAlign w:val="bottom"/>
            <w:tcBorders>
              <w:bottom w:val="single" w:sz="8" w:color="CFF0FC"/>
            </w:tcBorders>
            <w:shd w:val="clear" w:color="auto" w:fill="CFF0FC"/>
          </w:tcPr>
          <w:p>
            <w:pPr>
              <w:ind w:left="840"/>
              <w:spacing w:after="0" w:line="193" w:lineRule="exact"/>
              <w:rPr>
                <w:sz w:val="20"/>
                <w:szCs w:val="20"/>
                <w:color w:val="auto"/>
              </w:rPr>
            </w:pPr>
            <w:r>
              <w:rPr>
                <w:rFonts w:ascii="Calibri" w:cs="Calibri" w:eastAsia="Calibri" w:hAnsi="Calibri"/>
                <w:sz w:val="16"/>
                <w:szCs w:val="16"/>
                <w:color w:val="auto"/>
                <w:w w:val="96"/>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4,743</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60"/>
              <w:spacing w:after="0" w:line="193" w:lineRule="exact"/>
              <w:rPr>
                <w:sz w:val="20"/>
                <w:szCs w:val="20"/>
                <w:color w:val="auto"/>
              </w:rPr>
            </w:pPr>
            <w:r>
              <w:rPr>
                <w:rFonts w:ascii="Calibri" w:cs="Calibri" w:eastAsia="Calibri" w:hAnsi="Calibri"/>
                <w:sz w:val="16"/>
                <w:szCs w:val="16"/>
                <w:color w:val="auto"/>
              </w:rPr>
              <w:t>(4,929)</w:t>
            </w:r>
          </w:p>
        </w:tc>
        <w:tc>
          <w:tcPr>
            <w:tcW w:w="1220" w:type="dxa"/>
            <w:vAlign w:val="bottom"/>
            <w:tcBorders>
              <w:bottom w:val="single" w:sz="8" w:color="CFF0FC"/>
            </w:tcBorders>
            <w:gridSpan w:val="2"/>
            <w:shd w:val="clear" w:color="auto" w:fill="CFF0FC"/>
          </w:tcPr>
          <w:p>
            <w:pPr>
              <w:ind w:left="84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252,333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22"/>
        </w:trPr>
        <w:tc>
          <w:tcPr>
            <w:tcW w:w="3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1240"/>
          </w:cols>
          <w:pgMar w:left="320" w:top="342" w:right="339" w:bottom="1440" w:gutter="0" w:footer="0" w:header="0"/>
        </w:sectPr>
      </w:pPr>
    </w:p>
    <w:p>
      <w:pPr>
        <w:spacing w:after="0" w:line="102" w:lineRule="exact"/>
        <w:rPr>
          <w:sz w:val="20"/>
          <w:szCs w:val="20"/>
          <w:color w:val="auto"/>
        </w:rPr>
      </w:pPr>
    </w:p>
    <w:p>
      <w:pPr>
        <w:ind w:left="220" w:right="40" w:hanging="201"/>
        <w:spacing w:after="0" w:line="235" w:lineRule="auto"/>
        <w:rPr>
          <w:sz w:val="20"/>
          <w:szCs w:val="20"/>
          <w:color w:val="auto"/>
        </w:rPr>
      </w:pPr>
      <w:r>
        <w:rPr>
          <w:rFonts w:ascii="Calibri" w:cs="Calibri" w:eastAsia="Calibri" w:hAnsi="Calibri"/>
          <w:sz w:val="18"/>
          <w:szCs w:val="18"/>
          <w:color w:val="auto"/>
        </w:rPr>
        <w:t>(1)The amounts in this column represent contributons made by the Company for the account of the Named Executve Ofcers during fscal 2022 under our SERP. The SERP is an unfunded, non-qualifed plan for certain executves of the Company. Under the SERP, the Company makes contributons to the account of the executve in an amount substantally equal to the additonal contributons he would have received under the Retrement Plan had 100% of his annual salary been eligible for a proft-sharing contributon. The SERP is described in greater detail under “SERP” on page 31 of this proxy statement. The amounts in this column are refected in the “All Other Compensaton” column of the Summary Compensaton Table located on page 34.</w:t>
      </w:r>
    </w:p>
    <w:p>
      <w:pPr>
        <w:spacing w:after="0" w:line="9" w:lineRule="exact"/>
        <w:rPr>
          <w:sz w:val="20"/>
          <w:szCs w:val="20"/>
          <w:color w:val="auto"/>
        </w:rPr>
      </w:pPr>
    </w:p>
    <w:p>
      <w:pPr>
        <w:ind w:left="220" w:hanging="201"/>
        <w:spacing w:after="0" w:line="235" w:lineRule="auto"/>
        <w:rPr>
          <w:sz w:val="20"/>
          <w:szCs w:val="20"/>
          <w:color w:val="auto"/>
        </w:rPr>
      </w:pPr>
      <w:r>
        <w:rPr>
          <w:rFonts w:ascii="Calibri" w:cs="Calibri" w:eastAsia="Calibri" w:hAnsi="Calibri"/>
          <w:sz w:val="18"/>
          <w:szCs w:val="18"/>
          <w:color w:val="auto"/>
        </w:rPr>
        <w:t>(2)The Company also maintains the Eagle Materials Inc. Deferred Compensaton Plan. Under this plan, eligible executves were allowed to defer the receipt of a porton of their salary or annual bonus for fscal 2001, up to 75% of such amounts. For fscal years afer fscal 2001, the Deferred Compensaton Plan was closed to additonal employee deferrals. Amounts under the plan are payable at a date certain or upon the partcipant’s terminaton of employment, disability or death in the form of a lump sum or installments as elected pursuant to the terms of the plan. Such amounts are not subject to the six-month delay applicable to key employees under Internal Revenue Code Secton 409A. The earnings in this column refect earnings or losses on balances in the Named Executve Ofcer’s SERP account and Deferred Compensaton Plan account. A Named Executve Ofcer may designate how his account balances are to be invested by selectng among the investment optons available under our Retrement Plan, with the excepton of the Common Stock fund. Because these earnings are not “above market,” they are not included in the Summary Compensaton Table on page 34 of this proxy statement. The table below shows the investment optons available under our Retrement Plan (other than the Common Stock fund) and the annual rate of return for the 12-month period ended March 31, 2022, as reported to us by the administrator of the plan.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Calibri" w:cs="Calibri" w:eastAsia="Calibri" w:hAnsi="Calibri"/>
                <w:sz w:val="14"/>
                <w:szCs w:val="14"/>
                <w:b w:val="1"/>
                <w:bCs w:val="1"/>
                <w:color w:val="auto"/>
              </w:rPr>
              <w:t>Rate of</w:t>
            </w:r>
          </w:p>
        </w:tc>
        <w:tc>
          <w:tcPr>
            <w:tcW w:w="0" w:type="dxa"/>
            <w:vAlign w:val="bottom"/>
          </w:tcPr>
          <w:p>
            <w:pPr>
              <w:spacing w:after="0"/>
              <w:rPr>
                <w:sz w:val="1"/>
                <w:szCs w:val="1"/>
                <w:color w:val="auto"/>
              </w:rPr>
            </w:pPr>
          </w:p>
        </w:tc>
      </w:tr>
      <w:tr>
        <w:trPr>
          <w:trHeight w:val="155"/>
        </w:trPr>
        <w:tc>
          <w:tcPr>
            <w:tcW w:w="3000" w:type="dxa"/>
            <w:vAlign w:val="bottom"/>
            <w:gridSpan w:val="3"/>
          </w:tcPr>
          <w:p>
            <w:pPr>
              <w:spacing w:after="0" w:line="155" w:lineRule="exact"/>
              <w:rPr>
                <w:sz w:val="20"/>
                <w:szCs w:val="20"/>
                <w:color w:val="auto"/>
              </w:rPr>
            </w:pPr>
            <w:r>
              <w:rPr>
                <w:rFonts w:ascii="Calibri" w:cs="Calibri" w:eastAsia="Calibri" w:hAnsi="Calibri"/>
                <w:sz w:val="14"/>
                <w:szCs w:val="14"/>
                <w:b w:val="1"/>
                <w:bCs w:val="1"/>
                <w:color w:val="auto"/>
              </w:rPr>
              <w:t>Fund</w:t>
            </w:r>
          </w:p>
        </w:tc>
        <w:tc>
          <w:tcPr>
            <w:tcW w:w="860" w:type="dxa"/>
            <w:vAlign w:val="bottom"/>
            <w:gridSpan w:val="2"/>
          </w:tcPr>
          <w:p>
            <w:pPr>
              <w:jc w:val="right"/>
              <w:ind w:right="340"/>
              <w:spacing w:after="0" w:line="155" w:lineRule="exact"/>
              <w:rPr>
                <w:sz w:val="20"/>
                <w:szCs w:val="20"/>
                <w:color w:val="auto"/>
              </w:rPr>
            </w:pPr>
            <w:r>
              <w:rPr>
                <w:rFonts w:ascii="Calibri" w:cs="Calibri" w:eastAsia="Calibri" w:hAnsi="Calibri"/>
                <w:sz w:val="14"/>
                <w:szCs w:val="14"/>
                <w:b w:val="1"/>
                <w:bCs w:val="1"/>
                <w:color w:val="auto"/>
              </w:rPr>
              <w:t>Return</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tcBorders>
              <w:bottom w:val="single" w:sz="8" w:color="CFF0FC"/>
            </w:tcBorders>
            <w:gridSpan w:val="2"/>
            <w:shd w:val="clear" w:color="auto" w:fill="CFF0FC"/>
          </w:tcPr>
          <w:p>
            <w:pPr>
              <w:spacing w:after="0" w:line="182" w:lineRule="exact"/>
              <w:rPr>
                <w:sz w:val="20"/>
                <w:szCs w:val="20"/>
                <w:color w:val="auto"/>
              </w:rPr>
            </w:pPr>
            <w:r>
              <w:rPr>
                <w:rFonts w:ascii="Calibri" w:cs="Calibri" w:eastAsia="Calibri" w:hAnsi="Calibri"/>
                <w:sz w:val="16"/>
                <w:szCs w:val="16"/>
                <w:color w:val="auto"/>
              </w:rPr>
              <w:t>Harbor Capital Appreciaton Ret</w:t>
            </w:r>
          </w:p>
        </w:tc>
        <w:tc>
          <w:tcPr>
            <w:tcW w:w="860" w:type="dxa"/>
            <w:vAlign w:val="bottom"/>
            <w:tcBorders>
              <w:bottom w:val="single" w:sz="8" w:color="CFF0FC"/>
            </w:tcBorders>
            <w:gridSpan w:val="2"/>
            <w:shd w:val="clear" w:color="auto" w:fill="CFF0FC"/>
          </w:tcPr>
          <w:p>
            <w:pPr>
              <w:jc w:val="right"/>
              <w:ind w:right="80"/>
              <w:spacing w:after="0" w:line="187" w:lineRule="exact"/>
              <w:rPr>
                <w:sz w:val="20"/>
                <w:szCs w:val="20"/>
                <w:color w:val="auto"/>
              </w:rPr>
            </w:pPr>
            <w:r>
              <w:rPr>
                <w:rFonts w:ascii="Calibri" w:cs="Calibri" w:eastAsia="Calibri" w:hAnsi="Calibri"/>
                <w:sz w:val="16"/>
                <w:szCs w:val="16"/>
                <w:color w:val="auto"/>
              </w:rPr>
              <w:t>3.49%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MFS Value R6</w:t>
            </w:r>
          </w:p>
        </w:tc>
        <w:tc>
          <w:tcPr>
            <w:tcW w:w="86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11.35%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Northern Trust S&amp;P 500 Index</w:t>
            </w:r>
          </w:p>
        </w:tc>
        <w:tc>
          <w:tcPr>
            <w:tcW w:w="860" w:type="dxa"/>
            <w:vAlign w:val="bottom"/>
            <w:tcBorders>
              <w:bottom w:val="single" w:sz="8" w:color="CFF0FC"/>
            </w:tcBorders>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15.64%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MFS Mid Cap Growth R6</w:t>
            </w:r>
          </w:p>
        </w:tc>
        <w:tc>
          <w:tcPr>
            <w:tcW w:w="86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(1.23%)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MFS Mid Cap Value R6</w:t>
            </w:r>
          </w:p>
        </w:tc>
        <w:tc>
          <w:tcPr>
            <w:tcW w:w="860" w:type="dxa"/>
            <w:vAlign w:val="bottom"/>
            <w:tcBorders>
              <w:bottom w:val="single" w:sz="8" w:color="CFF0FC"/>
            </w:tcBorders>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12.56%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Northern Trust Ext Equity Mkt Idx</w:t>
            </w:r>
          </w:p>
        </w:tc>
        <w:tc>
          <w:tcPr>
            <w:tcW w:w="86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(5.40%)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AS SPL Small Cap Valueh R6</w:t>
            </w:r>
          </w:p>
        </w:tc>
        <w:tc>
          <w:tcPr>
            <w:tcW w:w="860" w:type="dxa"/>
            <w:vAlign w:val="bottom"/>
            <w:tcBorders>
              <w:bottom w:val="single" w:sz="8" w:color="CFF0FC"/>
            </w:tcBorders>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2.99%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PIF Small Cap Growth R6</w:t>
            </w:r>
          </w:p>
        </w:tc>
        <w:tc>
          <w:tcPr>
            <w:tcW w:w="86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(10.70%)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AF EuroPacifc Grwth R6</w:t>
            </w:r>
          </w:p>
        </w:tc>
        <w:tc>
          <w:tcPr>
            <w:tcW w:w="860" w:type="dxa"/>
            <w:vAlign w:val="bottom"/>
            <w:tcBorders>
              <w:bottom w:val="single" w:sz="8" w:color="CFF0FC"/>
            </w:tcBorders>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(9.35%)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Northern Trust ACWI Ex-US Index</w:t>
            </w:r>
          </w:p>
        </w:tc>
        <w:tc>
          <w:tcPr>
            <w:tcW w:w="86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(1.85%)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Vanguard Target Ret 2015</w:t>
            </w:r>
          </w:p>
        </w:tc>
        <w:tc>
          <w:tcPr>
            <w:tcW w:w="860" w:type="dxa"/>
            <w:vAlign w:val="bottom"/>
            <w:tcBorders>
              <w:bottom w:val="single" w:sz="8" w:color="CFF0FC"/>
            </w:tcBorders>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0.45%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Vanguard Target Ret 2020</w:t>
            </w:r>
          </w:p>
        </w:tc>
        <w:tc>
          <w:tcPr>
            <w:tcW w:w="86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1.45%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Vanguard Target Ret 2025</w:t>
            </w:r>
          </w:p>
        </w:tc>
        <w:tc>
          <w:tcPr>
            <w:tcW w:w="860" w:type="dxa"/>
            <w:vAlign w:val="bottom"/>
            <w:tcBorders>
              <w:bottom w:val="single" w:sz="8" w:color="CFF0FC"/>
            </w:tcBorders>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2.01%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Vanguard Target Ret 2030</w:t>
            </w:r>
          </w:p>
        </w:tc>
        <w:tc>
          <w:tcPr>
            <w:tcW w:w="86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2.66%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Vanguard Target Ret 2035</w:t>
            </w:r>
          </w:p>
        </w:tc>
        <w:tc>
          <w:tcPr>
            <w:tcW w:w="860" w:type="dxa"/>
            <w:vAlign w:val="bottom"/>
            <w:tcBorders>
              <w:bottom w:val="single" w:sz="8" w:color="CFF0FC"/>
            </w:tcBorders>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3.46%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Vanguard Target Ret 2040</w:t>
            </w:r>
          </w:p>
        </w:tc>
        <w:tc>
          <w:tcPr>
            <w:tcW w:w="86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4.24%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Vanguard Target Ret 2045</w:t>
            </w:r>
          </w:p>
        </w:tc>
        <w:tc>
          <w:tcPr>
            <w:tcW w:w="860" w:type="dxa"/>
            <w:vAlign w:val="bottom"/>
            <w:tcBorders>
              <w:bottom w:val="single" w:sz="8" w:color="CFF0FC"/>
            </w:tcBorders>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5.04%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Vanguard Target Ret 2050</w:t>
            </w:r>
          </w:p>
        </w:tc>
        <w:tc>
          <w:tcPr>
            <w:tcW w:w="86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5.19%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Vanguard Target Ret 2055</w:t>
            </w:r>
          </w:p>
        </w:tc>
        <w:tc>
          <w:tcPr>
            <w:tcW w:w="860" w:type="dxa"/>
            <w:vAlign w:val="bottom"/>
            <w:tcBorders>
              <w:bottom w:val="single" w:sz="8" w:color="CFF0FC"/>
            </w:tcBorders>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5.21%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Vanguard Target Ret 2060</w:t>
            </w:r>
          </w:p>
        </w:tc>
        <w:tc>
          <w:tcPr>
            <w:tcW w:w="86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5.22%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Vanguard Target Ret 2065</w:t>
            </w:r>
          </w:p>
        </w:tc>
        <w:tc>
          <w:tcPr>
            <w:tcW w:w="860" w:type="dxa"/>
            <w:vAlign w:val="bottom"/>
            <w:tcBorders>
              <w:bottom w:val="single" w:sz="8" w:color="CFF0FC"/>
            </w:tcBorders>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5.16%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Vanguard Target Ret Inc</w:t>
            </w:r>
          </w:p>
        </w:tc>
        <w:tc>
          <w:tcPr>
            <w:tcW w:w="86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0.22%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METWEST Tot Rtn BD P</w:t>
            </w:r>
          </w:p>
        </w:tc>
        <w:tc>
          <w:tcPr>
            <w:tcW w:w="860" w:type="dxa"/>
            <w:vAlign w:val="bottom"/>
            <w:tcBorders>
              <w:bottom w:val="single" w:sz="8" w:color="CFF0FC"/>
            </w:tcBorders>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(4.49)%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line="193" w:lineRule="exact"/>
              <w:rPr>
                <w:sz w:val="20"/>
                <w:szCs w:val="20"/>
                <w:color w:val="auto"/>
              </w:rPr>
            </w:pPr>
            <w:r>
              <w:rPr>
                <w:rFonts w:ascii="Calibri" w:cs="Calibri" w:eastAsia="Calibri" w:hAnsi="Calibri"/>
                <w:sz w:val="16"/>
                <w:szCs w:val="16"/>
                <w:color w:val="auto"/>
              </w:rPr>
              <w:t>Northern Trust Aggreg Bond Index</w:t>
            </w:r>
          </w:p>
        </w:tc>
        <w:tc>
          <w:tcPr>
            <w:tcW w:w="86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(4.14)%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80" w:type="dxa"/>
            <w:vAlign w:val="bottom"/>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Fidelity Govt MMkt</w:t>
            </w:r>
          </w:p>
        </w:tc>
        <w:tc>
          <w:tcPr>
            <w:tcW w:w="860" w:type="dxa"/>
            <w:vAlign w:val="bottom"/>
            <w:gridSpan w:val="2"/>
            <w:shd w:val="clear" w:color="auto" w:fill="CFF0FC"/>
          </w:tcPr>
          <w:p>
            <w:pPr>
              <w:jc w:val="right"/>
              <w:ind w:right="80"/>
              <w:spacing w:after="0" w:line="193" w:lineRule="exact"/>
              <w:rPr>
                <w:sz w:val="20"/>
                <w:szCs w:val="20"/>
                <w:color w:val="auto"/>
              </w:rPr>
            </w:pPr>
            <w:r>
              <w:rPr>
                <w:rFonts w:ascii="Calibri" w:cs="Calibri" w:eastAsia="Calibri" w:hAnsi="Calibri"/>
                <w:sz w:val="16"/>
                <w:szCs w:val="16"/>
                <w:color w:val="auto"/>
              </w:rPr>
              <w:t>0.01%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0" w:hanging="202"/>
        <w:spacing w:after="0" w:line="235" w:lineRule="auto"/>
        <w:rPr>
          <w:sz w:val="20"/>
          <w:szCs w:val="20"/>
          <w:color w:val="auto"/>
        </w:rPr>
      </w:pPr>
      <w:r>
        <w:rPr>
          <w:rFonts w:ascii="Calibri" w:cs="Calibri" w:eastAsia="Calibri" w:hAnsi="Calibri"/>
          <w:sz w:val="18"/>
          <w:szCs w:val="18"/>
          <w:color w:val="auto"/>
        </w:rPr>
        <w:t>(3)The amounts in this column represent the sum of: (i) the balance in the Named Executve Ofcer’s account under the SERP; and (ii) the balance in the Named Executve Ofcer’s account under the Company’s Deferred Compensaton Plan.</w:t>
      </w:r>
    </w:p>
    <w:p>
      <w:pPr>
        <w:spacing w:after="0" w:line="200" w:lineRule="exact"/>
        <w:rPr>
          <w:sz w:val="20"/>
          <w:szCs w:val="20"/>
          <w:color w:val="auto"/>
        </w:rPr>
      </w:pPr>
    </w:p>
    <w:p>
      <w:pPr>
        <w:sectPr>
          <w:pgSz w:w="11900" w:h="16838" w:orient="portrait"/>
          <w:cols w:equalWidth="0" w:num="2">
            <w:col w:w="5500" w:space="440"/>
            <w:col w:w="5300"/>
          </w:cols>
          <w:pgMar w:left="320" w:top="342" w:right="339" w:bottom="1440" w:gutter="0" w:footer="0" w:header="0"/>
          <w:type w:val="continuous"/>
        </w:sectPr>
      </w:pPr>
    </w:p>
    <w:p>
      <w:pPr>
        <w:spacing w:after="0" w:line="25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45" w:name="page46"/>
    <w:bookmarkEnd w:id="45"/>
    <w:p>
      <w:pPr>
        <w:jc w:val="center"/>
        <w:spacing w:after="0"/>
        <w:rPr>
          <w:sz w:val="20"/>
          <w:szCs w:val="20"/>
          <w:color w:val="auto"/>
        </w:rPr>
      </w:pPr>
      <w:r>
        <w:rPr>
          <w:rFonts w:ascii="Calibri" w:cs="Calibri" w:eastAsia="Calibri" w:hAnsi="Calibri"/>
          <w:sz w:val="25"/>
          <w:szCs w:val="25"/>
          <w:b w:val="1"/>
          <w:bCs w:val="1"/>
          <w:color w:val="4472C4"/>
        </w:rPr>
        <w:t>POTENTIAL PAYMENTS UPON TERMINATION OR CHANGE IN CONTROL</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following is a summary of the potental payments payable to the Named Executve Ofcers upon terminaton of employment or a change in control of the Company under current compensaton programs. Specifcally, compensaton payable to each Named Executve Ofcer upon voluntary terminaton, involuntary terminaton or in the event of death or disability and change in control is discussed below. The amounts shown in the tables below assume that such terminaton was efectve as of March 31, 2022, and are therefore estmates of the amounts which would be paid out to the executves (or their benefciaries) upon their terminaton. Due to the number of factors that afect the nature and amount of any benefts provided upon the events discussed below, any actual amounts paid or distributed may be diferent. Factors that could afect these amounts include the tming during the year of any such event, the price of our Common Stock and the executve’s age.</w:t>
      </w:r>
    </w:p>
    <w:p>
      <w:pPr>
        <w:spacing w:after="0" w:line="2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 in Control Contnuity Agreements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has entered into change in control contnuity agreements with Messrs. Haack, Kesler, Stewart and Graass. A descripton of these agreements is set forth under “Change in Control Contnuity Agreements” on page 32 of this proxy statement.</w:t>
      </w:r>
    </w:p>
    <w:p>
      <w:pPr>
        <w:spacing w:after="0" w:line="219"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color w:val="auto"/>
        </w:rPr>
        <w:t>In the event of the executve’s involuntary terminaton of employment without cause or resignaton for good reason within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two-year protecton period following a change in control, he would be enttled to cash severance equal to a multple of the sum of his annual base salary and target annual bonus. Additonally, he would be enttled to a prorated annual bonus for the year of terminaton, employer retrement savings plan contributons that he would have received had his employment contnued for a period of tme, the premium for contnued partcipaton in health insurance plans for a period of tme, and outplacement benefts of up to $30,000.</w:t>
      </w:r>
    </w:p>
    <w:p>
      <w:pPr>
        <w:spacing w:after="0" w:line="22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All of our change in control contnuity agreements have a “double-trigger” terminaton right (requiring both a change in control and a qualifying terminaton of employment in order to receive the change in control severance payments), and they do not include the long-term incentve values in the severance calculaton or have tax gross-ups.</w:t>
      </w:r>
    </w:p>
    <w:p>
      <w:pPr>
        <w:spacing w:after="0" w:line="22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table below refects an estmate of the severance payments that would be made to our named executve ofcers who have entered into change in control contnuity agreements—calculated as if they were terminated without cause or resigned for good reason as of March 31, 2022 following a change in control:</w:t>
      </w:r>
    </w:p>
    <w:p>
      <w:pPr>
        <w:spacing w:after="0" w:line="958" w:lineRule="exact"/>
        <w:rPr>
          <w:sz w:val="20"/>
          <w:szCs w:val="20"/>
          <w:color w:val="auto"/>
        </w:rPr>
      </w:pPr>
    </w:p>
    <w:p>
      <w:pPr>
        <w:sectPr>
          <w:pgSz w:w="11900" w:h="16838" w:orient="portrait"/>
          <w:cols w:equalWidth="0" w:num="2">
            <w:col w:w="5520" w:space="220"/>
            <w:col w:w="5500"/>
          </w:cols>
          <w:pgMar w:left="320" w:top="342" w:right="3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w w:val="96"/>
              </w:rPr>
              <w:t>Target</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Retrement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Calibri" w:cs="Calibri" w:eastAsia="Calibri" w:hAnsi="Calibri"/>
                <w:sz w:val="14"/>
                <w:szCs w:val="14"/>
                <w:b w:val="1"/>
                <w:bCs w:val="1"/>
                <w:color w:val="auto"/>
              </w:rPr>
              <w:t>Health</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Outplacement</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3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Annual</w:t>
            </w: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Plan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4"/>
              <w:spacing w:after="0"/>
              <w:rPr>
                <w:sz w:val="20"/>
                <w:szCs w:val="20"/>
                <w:color w:val="auto"/>
              </w:rPr>
            </w:pPr>
            <w:r>
              <w:rPr>
                <w:rFonts w:ascii="Calibri" w:cs="Calibri" w:eastAsia="Calibri" w:hAnsi="Calibri"/>
                <w:sz w:val="14"/>
                <w:szCs w:val="14"/>
                <w:b w:val="1"/>
                <w:bCs w:val="1"/>
                <w:color w:val="auto"/>
              </w:rPr>
              <w:t>Insurance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Benefts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80" w:type="dxa"/>
            <w:vAlign w:val="bottom"/>
          </w:tcPr>
          <w:p>
            <w:pPr>
              <w:jc w:val="right"/>
              <w:ind w:right="22"/>
              <w:spacing w:after="0"/>
              <w:rPr>
                <w:sz w:val="20"/>
                <w:szCs w:val="20"/>
                <w:color w:val="auto"/>
              </w:rPr>
            </w:pPr>
            <w:r>
              <w:rPr>
                <w:rFonts w:ascii="Calibri" w:cs="Calibri" w:eastAsia="Calibri" w:hAnsi="Calibri"/>
                <w:sz w:val="14"/>
                <w:szCs w:val="14"/>
                <w:b w:val="1"/>
                <w:bCs w:val="1"/>
                <w:color w:val="auto"/>
              </w:rPr>
              <w:t>Severance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b w:val="1"/>
                <w:bCs w:val="1"/>
                <w:color w:val="auto"/>
              </w:rPr>
              <w:t>Base Salary</w:t>
            </w: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Bonus</w:t>
            </w: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Contributon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4"/>
              <w:spacing w:after="0"/>
              <w:rPr>
                <w:sz w:val="20"/>
                <w:szCs w:val="20"/>
                <w:color w:val="auto"/>
              </w:rPr>
            </w:pPr>
            <w:r>
              <w:rPr>
                <w:rFonts w:ascii="Calibri" w:cs="Calibri" w:eastAsia="Calibri" w:hAnsi="Calibri"/>
                <w:sz w:val="14"/>
                <w:szCs w:val="14"/>
                <w:b w:val="1"/>
                <w:bCs w:val="1"/>
                <w:color w:val="auto"/>
              </w:rPr>
              <w:t>Premium</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(maximum)</w:t>
            </w:r>
          </w:p>
        </w:tc>
        <w:tc>
          <w:tcPr>
            <w:tcW w:w="200" w:type="dxa"/>
            <w:vAlign w:val="bottom"/>
          </w:tcPr>
          <w:p>
            <w:pPr>
              <w:spacing w:after="0"/>
              <w:rPr>
                <w:sz w:val="15"/>
                <w:szCs w:val="15"/>
                <w:color w:val="auto"/>
              </w:rPr>
            </w:pPr>
          </w:p>
        </w:tc>
        <w:tc>
          <w:tcPr>
            <w:tcW w:w="940" w:type="dxa"/>
            <w:vAlign w:val="bottom"/>
            <w:gridSpan w:val="2"/>
          </w:tcPr>
          <w:p>
            <w:pPr>
              <w:ind w:left="260"/>
              <w:spacing w:after="0"/>
              <w:rPr>
                <w:sz w:val="20"/>
                <w:szCs w:val="20"/>
                <w:color w:val="auto"/>
              </w:rPr>
            </w:pPr>
            <w:r>
              <w:rPr>
                <w:rFonts w:ascii="Calibri" w:cs="Calibri" w:eastAsia="Calibri" w:hAnsi="Calibri"/>
                <w:sz w:val="14"/>
                <w:szCs w:val="14"/>
                <w:b w:val="1"/>
                <w:bCs w:val="1"/>
                <w:color w:val="auto"/>
              </w:rPr>
              <w:t>Total</w:t>
            </w:r>
          </w:p>
        </w:tc>
      </w:tr>
      <w:tr>
        <w:trPr>
          <w:trHeight w:val="155"/>
        </w:trPr>
        <w:tc>
          <w:tcPr>
            <w:tcW w:w="4240" w:type="dxa"/>
            <w:vAlign w:val="bottom"/>
            <w:gridSpan w:val="2"/>
          </w:tcPr>
          <w:p>
            <w:pPr>
              <w:spacing w:after="0" w:line="155" w:lineRule="exact"/>
              <w:rPr>
                <w:sz w:val="20"/>
                <w:szCs w:val="20"/>
                <w:color w:val="auto"/>
              </w:rPr>
            </w:pPr>
            <w:r>
              <w:rPr>
                <w:rFonts w:ascii="Calibri" w:cs="Calibri" w:eastAsia="Calibri" w:hAnsi="Calibri"/>
                <w:sz w:val="14"/>
                <w:szCs w:val="14"/>
                <w:b w:val="1"/>
                <w:bCs w:val="1"/>
                <w:color w:val="auto"/>
              </w:rPr>
              <w:t>Name</w:t>
            </w:r>
          </w:p>
        </w:tc>
        <w:tc>
          <w:tcPr>
            <w:tcW w:w="780" w:type="dxa"/>
            <w:vAlign w:val="bottom"/>
          </w:tcPr>
          <w:p>
            <w:pPr>
              <w:jc w:val="right"/>
              <w:ind w:right="62"/>
              <w:spacing w:after="0" w:line="155" w:lineRule="exact"/>
              <w:rPr>
                <w:sz w:val="20"/>
                <w:szCs w:val="20"/>
                <w:color w:val="auto"/>
              </w:rPr>
            </w:pPr>
            <w:r>
              <w:rPr>
                <w:rFonts w:ascii="Calibri" w:cs="Calibri" w:eastAsia="Calibri" w:hAnsi="Calibri"/>
                <w:sz w:val="14"/>
                <w:szCs w:val="14"/>
                <w:b w:val="1"/>
                <w:bCs w:val="1"/>
                <w:color w:val="auto"/>
              </w:rPr>
              <w:t>Multple</w:t>
            </w:r>
          </w:p>
        </w:tc>
        <w:tc>
          <w:tcPr>
            <w:tcW w:w="1000" w:type="dxa"/>
            <w:vAlign w:val="bottom"/>
            <w:gridSpan w:val="2"/>
          </w:tcPr>
          <w:p>
            <w:pPr>
              <w:jc w:val="right"/>
              <w:ind w:right="244"/>
              <w:spacing w:after="0" w:line="155" w:lineRule="exact"/>
              <w:rPr>
                <w:sz w:val="20"/>
                <w:szCs w:val="20"/>
                <w:color w:val="auto"/>
              </w:rPr>
            </w:pPr>
            <w:r>
              <w:rPr>
                <w:rFonts w:ascii="Calibri" w:cs="Calibri" w:eastAsia="Calibri" w:hAnsi="Calibri"/>
                <w:sz w:val="14"/>
                <w:szCs w:val="14"/>
                <w:b w:val="1"/>
                <w:bCs w:val="1"/>
                <w:color w:val="auto"/>
              </w:rPr>
              <w:t>($)</w:t>
            </w:r>
          </w:p>
        </w:tc>
        <w:tc>
          <w:tcPr>
            <w:tcW w:w="1000" w:type="dxa"/>
            <w:vAlign w:val="bottom"/>
            <w:gridSpan w:val="2"/>
          </w:tcPr>
          <w:p>
            <w:pPr>
              <w:jc w:val="center"/>
              <w:ind w:left="121"/>
              <w:spacing w:after="0" w:line="155" w:lineRule="exact"/>
              <w:rPr>
                <w:sz w:val="20"/>
                <w:szCs w:val="20"/>
                <w:color w:val="auto"/>
              </w:rPr>
            </w:pPr>
            <w:r>
              <w:rPr>
                <w:rFonts w:ascii="Calibri" w:cs="Calibri" w:eastAsia="Calibri" w:hAnsi="Calibri"/>
                <w:sz w:val="14"/>
                <w:szCs w:val="14"/>
                <w:b w:val="1"/>
                <w:bCs w:val="1"/>
                <w:color w:val="auto"/>
              </w:rPr>
              <w:t>($)</w:t>
            </w:r>
          </w:p>
        </w:tc>
        <w:tc>
          <w:tcPr>
            <w:tcW w:w="1000" w:type="dxa"/>
            <w:vAlign w:val="bottom"/>
            <w:gridSpan w:val="2"/>
          </w:tcPr>
          <w:p>
            <w:pPr>
              <w:jc w:val="center"/>
              <w:ind w:left="121"/>
              <w:spacing w:after="0" w:line="155"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24"/>
              <w:spacing w:after="0" w:line="155"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3"/>
              <w:spacing w:after="0" w:line="155" w:lineRule="exact"/>
              <w:rPr>
                <w:sz w:val="20"/>
                <w:szCs w:val="20"/>
                <w:color w:val="auto"/>
              </w:rPr>
            </w:pPr>
            <w:r>
              <w:rPr>
                <w:rFonts w:ascii="Calibri" w:cs="Calibri" w:eastAsia="Calibri" w:hAnsi="Calibri"/>
                <w:sz w:val="14"/>
                <w:szCs w:val="14"/>
                <w:b w:val="1"/>
                <w:bCs w:val="1"/>
                <w:color w:val="auto"/>
              </w:rPr>
              <w:t>($)</w:t>
            </w:r>
          </w:p>
        </w:tc>
        <w:tc>
          <w:tcPr>
            <w:tcW w:w="1020" w:type="dxa"/>
            <w:vAlign w:val="bottom"/>
            <w:gridSpan w:val="2"/>
          </w:tcPr>
          <w:p>
            <w:pPr>
              <w:jc w:val="right"/>
              <w:ind w:right="264"/>
              <w:spacing w:after="0" w:line="155" w:lineRule="exact"/>
              <w:rPr>
                <w:sz w:val="20"/>
                <w:szCs w:val="20"/>
                <w:color w:val="auto"/>
              </w:rPr>
            </w:pPr>
            <w:r>
              <w:rPr>
                <w:rFonts w:ascii="Calibri" w:cs="Calibri" w:eastAsia="Calibri" w:hAnsi="Calibri"/>
                <w:sz w:val="14"/>
                <w:szCs w:val="14"/>
                <w:b w:val="1"/>
                <w:bCs w:val="1"/>
                <w:color w:val="auto"/>
              </w:rPr>
              <w:t>($)</w:t>
            </w:r>
          </w:p>
        </w:tc>
        <w:tc>
          <w:tcPr>
            <w:tcW w:w="120" w:type="dxa"/>
            <w:vAlign w:val="bottom"/>
          </w:tcPr>
          <w:p>
            <w:pPr>
              <w:spacing w:after="0"/>
              <w:rPr>
                <w:sz w:val="13"/>
                <w:szCs w:val="13"/>
                <w:color w:val="auto"/>
              </w:rPr>
            </w:pPr>
          </w:p>
        </w:tc>
      </w:tr>
      <w:tr>
        <w:trPr>
          <w:trHeight w:val="20"/>
        </w:trPr>
        <w:tc>
          <w:tcPr>
            <w:tcW w:w="360" w:type="dxa"/>
            <w:vAlign w:val="bottom"/>
            <w:tcBorders>
              <w:top w:val="single" w:sz="8" w:color="auto"/>
              <w:bottom w:val="single" w:sz="8" w:color="CFF0FC"/>
            </w:tcBorders>
          </w:tcPr>
          <w:p>
            <w:pPr>
              <w:spacing w:after="0" w:line="20" w:lineRule="exact"/>
              <w:rPr>
                <w:sz w:val="1"/>
                <w:szCs w:val="1"/>
                <w:color w:val="auto"/>
              </w:rPr>
            </w:pPr>
          </w:p>
        </w:tc>
        <w:tc>
          <w:tcPr>
            <w:tcW w:w="388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90"/>
        </w:trPr>
        <w:tc>
          <w:tcPr>
            <w:tcW w:w="4240" w:type="dxa"/>
            <w:vAlign w:val="bottom"/>
            <w:tcBorders>
              <w:bottom w:val="single" w:sz="8" w:color="CFF0FC"/>
            </w:tcBorders>
            <w:gridSpan w:val="2"/>
            <w:shd w:val="clear" w:color="auto" w:fill="CFF0FC"/>
          </w:tcPr>
          <w:p>
            <w:pPr>
              <w:spacing w:after="0" w:line="182" w:lineRule="exact"/>
              <w:rPr>
                <w:sz w:val="20"/>
                <w:szCs w:val="20"/>
                <w:color w:val="auto"/>
              </w:rPr>
            </w:pPr>
            <w:r>
              <w:rPr>
                <w:rFonts w:ascii="Calibri" w:cs="Calibri" w:eastAsia="Calibri" w:hAnsi="Calibri"/>
                <w:sz w:val="16"/>
                <w:szCs w:val="16"/>
                <w:color w:val="auto"/>
              </w:rPr>
              <w:t>Michael R. Haack</w:t>
            </w:r>
          </w:p>
        </w:tc>
        <w:tc>
          <w:tcPr>
            <w:tcW w:w="7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3.0</w:t>
            </w: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  900,000</w:t>
            </w: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9"/>
              </w:rPr>
              <w:t>$ 1,391,410</w:t>
            </w: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  120,000</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36,000</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7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30,000</w:t>
            </w:r>
          </w:p>
        </w:tc>
        <w:tc>
          <w:tcPr>
            <w:tcW w:w="2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$ 7,060,230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94"/>
        </w:trPr>
        <w:tc>
          <w:tcPr>
            <w:tcW w:w="4240" w:type="dxa"/>
            <w:vAlign w:val="bottom"/>
            <w:gridSpan w:val="2"/>
          </w:tcPr>
          <w:p>
            <w:pPr>
              <w:spacing w:after="0" w:line="193" w:lineRule="exact"/>
              <w:rPr>
                <w:sz w:val="20"/>
                <w:szCs w:val="20"/>
                <w:color w:val="auto"/>
              </w:rPr>
            </w:pPr>
            <w:r>
              <w:rPr>
                <w:rFonts w:ascii="Calibri" w:cs="Calibri" w:eastAsia="Calibri" w:hAnsi="Calibri"/>
                <w:sz w:val="16"/>
                <w:szCs w:val="16"/>
                <w:color w:val="auto"/>
              </w:rPr>
              <w:t>D. Craig Kesler</w:t>
            </w: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2.5</w:t>
            </w:r>
          </w:p>
        </w:tc>
        <w:tc>
          <w:tcPr>
            <w:tcW w:w="10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500,035</w:t>
            </w:r>
          </w:p>
        </w:tc>
        <w:tc>
          <w:tcPr>
            <w:tcW w:w="10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1,068,404</w:t>
            </w:r>
          </w:p>
        </w:tc>
        <w:tc>
          <w:tcPr>
            <w:tcW w:w="10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61,000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30,000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30,000</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4,042,098</w:t>
            </w:r>
          </w:p>
        </w:tc>
        <w:tc>
          <w:tcPr>
            <w:tcW w:w="120" w:type="dxa"/>
            <w:vAlign w:val="bottom"/>
          </w:tcPr>
          <w:p>
            <w:pPr>
              <w:spacing w:after="0"/>
              <w:rPr>
                <w:sz w:val="16"/>
                <w:szCs w:val="16"/>
                <w:color w:val="auto"/>
              </w:rPr>
            </w:pPr>
          </w:p>
        </w:tc>
      </w:tr>
      <w:tr>
        <w:trPr>
          <w:trHeight w:val="22"/>
        </w:trPr>
        <w:tc>
          <w:tcPr>
            <w:tcW w:w="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24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color w:val="auto"/>
              </w:rPr>
              <w:t>Robert S. Stewart</w:t>
            </w:r>
          </w:p>
        </w:tc>
        <w:tc>
          <w:tcPr>
            <w:tcW w:w="7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2.0</w:t>
            </w:r>
          </w:p>
        </w:tc>
        <w:tc>
          <w:tcPr>
            <w:tcW w:w="100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480,420</w:t>
            </w:r>
          </w:p>
        </w:tc>
        <w:tc>
          <w:tcPr>
            <w:tcW w:w="100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919,324</w:t>
            </w:r>
          </w:p>
        </w:tc>
        <w:tc>
          <w:tcPr>
            <w:tcW w:w="100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47,000</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24,000</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30,000</w:t>
            </w:r>
          </w:p>
        </w:tc>
        <w:tc>
          <w:tcPr>
            <w:tcW w:w="102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2,900,488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4"/>
        </w:trPr>
        <w:tc>
          <w:tcPr>
            <w:tcW w:w="4240" w:type="dxa"/>
            <w:vAlign w:val="bottom"/>
            <w:gridSpan w:val="2"/>
          </w:tcPr>
          <w:p>
            <w:pPr>
              <w:spacing w:after="0" w:line="193" w:lineRule="exact"/>
              <w:rPr>
                <w:sz w:val="20"/>
                <w:szCs w:val="20"/>
                <w:color w:val="auto"/>
              </w:rPr>
            </w:pPr>
            <w:r>
              <w:rPr>
                <w:rFonts w:ascii="Calibri" w:cs="Calibri" w:eastAsia="Calibri" w:hAnsi="Calibri"/>
                <w:sz w:val="16"/>
                <w:szCs w:val="16"/>
                <w:color w:val="auto"/>
              </w:rPr>
              <w:t>James H. Graass</w:t>
            </w: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2.0</w:t>
            </w:r>
          </w:p>
        </w:tc>
        <w:tc>
          <w:tcPr>
            <w:tcW w:w="10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451,000</w:t>
            </w:r>
          </w:p>
        </w:tc>
        <w:tc>
          <w:tcPr>
            <w:tcW w:w="10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919,324</w:t>
            </w:r>
          </w:p>
        </w:tc>
        <w:tc>
          <w:tcPr>
            <w:tcW w:w="10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44,000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24,000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30,000</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2,838,648</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8"/>
          <w:szCs w:val="18"/>
          <w:b w:val="1"/>
          <w:bCs w:val="1"/>
          <w:color w:val="auto"/>
        </w:rPr>
        <w:t>Payments Made Upon Any Terminaton</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i w:val="1"/>
          <w:iCs w:val="1"/>
          <w:u w:val="single" w:color="auto"/>
          <w:color w:val="auto"/>
        </w:rPr>
        <w:t>Deferred Compensaton</w:t>
      </w:r>
      <w:r>
        <w:rPr>
          <w:rFonts w:ascii="Calibri" w:cs="Calibri" w:eastAsia="Calibri" w:hAnsi="Calibri"/>
          <w:sz w:val="18"/>
          <w:szCs w:val="18"/>
          <w:color w:val="auto"/>
        </w:rPr>
        <w:t>. The amounts shown in the table below do not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include distributon of plan balances under our Deferred Compensaton Plan or SERP. These balances are shown in the Nonqualifed Deferred Compensaton in FY 2022 Table on page 40 of this proxy statement.</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i w:val="1"/>
          <w:iCs w:val="1"/>
          <w:u w:val="single" w:color="auto"/>
          <w:color w:val="auto"/>
        </w:rPr>
        <w:t>Death and Disability</w:t>
      </w:r>
      <w:r>
        <w:rPr>
          <w:rFonts w:ascii="Calibri" w:cs="Calibri" w:eastAsia="Calibri" w:hAnsi="Calibri"/>
          <w:sz w:val="18"/>
          <w:szCs w:val="18"/>
          <w:color w:val="auto"/>
        </w:rPr>
        <w:t>. A terminaton of employment due to death or disability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does not enttle the Named Executve Ofcer to any payments that are not available to salaried employees generally, except for benefts payable to the benefciaries of the Named Executve Ofcers in the event of terminaton due to death under our Salary Contnuaton Plan. A descripton of our Salary Contnuaton Plan is set forth under “Salary Contnuaton Plan” on page 31 of this proxy statement.</w:t>
      </w:r>
    </w:p>
    <w:p>
      <w:pPr>
        <w:spacing w:after="0" w:line="22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i w:val="1"/>
          <w:iCs w:val="1"/>
          <w:u w:val="single" w:color="auto"/>
          <w:color w:val="auto"/>
        </w:rPr>
        <w:t>Accrued Pay and Retrement Plan Benefts</w:t>
      </w:r>
      <w:r>
        <w:rPr>
          <w:rFonts w:ascii="Calibri" w:cs="Calibri" w:eastAsia="Calibri" w:hAnsi="Calibri"/>
          <w:sz w:val="18"/>
          <w:szCs w:val="18"/>
          <w:color w:val="auto"/>
        </w:rPr>
        <w:t>. The amounts shown in the table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below do not include payments and benefts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40"/>
        <w:spacing w:after="0"/>
        <w:rPr>
          <w:sz w:val="20"/>
          <w:szCs w:val="20"/>
          <w:color w:val="auto"/>
        </w:rPr>
      </w:pPr>
      <w:r>
        <w:rPr>
          <w:rFonts w:ascii="Calibri" w:cs="Calibri" w:eastAsia="Calibri" w:hAnsi="Calibri"/>
          <w:sz w:val="14"/>
          <w:szCs w:val="14"/>
          <w:b w:val="1"/>
          <w:bCs w:val="1"/>
          <w:u w:val="single" w:color="auto"/>
          <w:color w:val="auto"/>
        </w:rPr>
        <w:t>Type of Payment</w:t>
      </w:r>
    </w:p>
    <w:p>
      <w:pPr>
        <w:spacing w:after="0" w:line="27" w:lineRule="exact"/>
        <w:rPr>
          <w:sz w:val="20"/>
          <w:szCs w:val="20"/>
          <w:color w:val="auto"/>
        </w:rPr>
      </w:pPr>
    </w:p>
    <w:p>
      <w:pPr>
        <w:ind w:left="1140"/>
        <w:spacing w:after="0"/>
        <w:rPr>
          <w:sz w:val="20"/>
          <w:szCs w:val="20"/>
          <w:color w:val="auto"/>
        </w:rPr>
      </w:pPr>
      <w:r>
        <w:rPr>
          <w:rFonts w:ascii="Calibri" w:cs="Calibri" w:eastAsia="Calibri" w:hAnsi="Calibri"/>
          <w:sz w:val="16"/>
          <w:szCs w:val="16"/>
          <w:b w:val="1"/>
          <w:bCs w:val="1"/>
          <w:color w:val="auto"/>
        </w:rPr>
        <w:t>Michael R. Haack</w:t>
      </w:r>
    </w:p>
    <w:p>
      <w:pPr>
        <w:spacing w:after="0" w:line="21" w:lineRule="exact"/>
        <w:rPr>
          <w:sz w:val="20"/>
          <w:szCs w:val="20"/>
          <w:color w:val="auto"/>
        </w:rPr>
      </w:pPr>
    </w:p>
    <w:p>
      <w:pPr>
        <w:ind w:left="1380"/>
        <w:spacing w:after="0"/>
        <w:rPr>
          <w:sz w:val="20"/>
          <w:szCs w:val="20"/>
          <w:color w:val="auto"/>
        </w:rPr>
      </w:pPr>
      <w:r>
        <w:rPr>
          <w:rFonts w:ascii="Calibri" w:cs="Calibri" w:eastAsia="Calibri" w:hAnsi="Calibri"/>
          <w:sz w:val="16"/>
          <w:szCs w:val="16"/>
          <w:i w:val="1"/>
          <w:iCs w:val="1"/>
          <w:color w:val="auto"/>
        </w:rPr>
        <w:t>Long-Term Incentves</w:t>
      </w:r>
    </w:p>
    <w:p>
      <w:pPr>
        <w:spacing w:after="0" w:line="21" w:lineRule="exact"/>
        <w:rPr>
          <w:sz w:val="20"/>
          <w:szCs w:val="20"/>
          <w:color w:val="auto"/>
        </w:rPr>
      </w:pPr>
    </w:p>
    <w:p>
      <w:pPr>
        <w:ind w:left="1620"/>
        <w:spacing w:after="0"/>
        <w:rPr>
          <w:sz w:val="20"/>
          <w:szCs w:val="20"/>
          <w:color w:val="auto"/>
        </w:rPr>
      </w:pPr>
      <w:r>
        <w:rPr>
          <w:rFonts w:ascii="Calibri" w:cs="Calibri" w:eastAsia="Calibri" w:hAnsi="Calibri"/>
          <w:sz w:val="16"/>
          <w:szCs w:val="16"/>
          <w:color w:val="auto"/>
        </w:rPr>
        <w:t>Stock Optons</w:t>
      </w:r>
    </w:p>
    <w:p>
      <w:pPr>
        <w:spacing w:after="0" w:line="21" w:lineRule="exact"/>
        <w:rPr>
          <w:sz w:val="20"/>
          <w:szCs w:val="20"/>
          <w:color w:val="auto"/>
        </w:rPr>
      </w:pPr>
    </w:p>
    <w:p>
      <w:pPr>
        <w:ind w:left="1880"/>
        <w:spacing w:after="0"/>
        <w:rPr>
          <w:sz w:val="20"/>
          <w:szCs w:val="20"/>
          <w:color w:val="auto"/>
        </w:rPr>
      </w:pPr>
      <w:r>
        <w:rPr>
          <w:rFonts w:ascii="Calibri" w:cs="Calibri" w:eastAsia="Calibri" w:hAnsi="Calibri"/>
          <w:sz w:val="16"/>
          <w:szCs w:val="16"/>
          <w:color w:val="auto"/>
        </w:rPr>
        <w:t>Unexercisable and Accelerated Awards(2)</w:t>
      </w:r>
    </w:p>
    <w:p>
      <w:pPr>
        <w:spacing w:after="0" w:line="21" w:lineRule="exact"/>
        <w:rPr>
          <w:sz w:val="20"/>
          <w:szCs w:val="20"/>
          <w:color w:val="auto"/>
        </w:rPr>
      </w:pPr>
    </w:p>
    <w:p>
      <w:pPr>
        <w:ind w:left="1620"/>
        <w:spacing w:after="0"/>
        <w:rPr>
          <w:sz w:val="20"/>
          <w:szCs w:val="20"/>
          <w:color w:val="auto"/>
        </w:rPr>
      </w:pPr>
      <w:r>
        <w:rPr>
          <w:rFonts w:ascii="Calibri" w:cs="Calibri" w:eastAsia="Calibri" w:hAnsi="Calibri"/>
          <w:sz w:val="16"/>
          <w:szCs w:val="16"/>
          <w:color w:val="auto"/>
        </w:rPr>
        <w:t>Restricted Stock Awards</w:t>
      </w:r>
    </w:p>
    <w:p>
      <w:pPr>
        <w:spacing w:after="0" w:line="21" w:lineRule="exact"/>
        <w:rPr>
          <w:sz w:val="20"/>
          <w:szCs w:val="20"/>
          <w:color w:val="auto"/>
        </w:rPr>
      </w:pPr>
    </w:p>
    <w:p>
      <w:pPr>
        <w:ind w:left="1880"/>
        <w:spacing w:after="0"/>
        <w:rPr>
          <w:sz w:val="20"/>
          <w:szCs w:val="20"/>
          <w:color w:val="auto"/>
        </w:rPr>
      </w:pPr>
      <w:r>
        <w:rPr>
          <w:rFonts w:ascii="Calibri" w:cs="Calibri" w:eastAsia="Calibri" w:hAnsi="Calibri"/>
          <w:sz w:val="16"/>
          <w:szCs w:val="16"/>
          <w:color w:val="auto"/>
        </w:rPr>
        <w:t>Unvested and Accelerated Awards(3)</w:t>
      </w:r>
    </w:p>
    <w:p>
      <w:pPr>
        <w:spacing w:after="0" w:line="21" w:lineRule="exact"/>
        <w:rPr>
          <w:sz w:val="20"/>
          <w:szCs w:val="20"/>
          <w:color w:val="auto"/>
        </w:rPr>
      </w:pPr>
    </w:p>
    <w:p>
      <w:pPr>
        <w:ind w:left="1380"/>
        <w:spacing w:after="0"/>
        <w:rPr>
          <w:sz w:val="20"/>
          <w:szCs w:val="20"/>
          <w:color w:val="auto"/>
        </w:rPr>
      </w:pPr>
      <w:r>
        <w:rPr>
          <w:rFonts w:ascii="Calibri" w:cs="Calibri" w:eastAsia="Calibri" w:hAnsi="Calibri"/>
          <w:sz w:val="16"/>
          <w:szCs w:val="16"/>
          <w:i w:val="1"/>
          <w:iCs w:val="1"/>
          <w:color w:val="auto"/>
        </w:rPr>
        <w:t>Benefts</w:t>
      </w:r>
    </w:p>
    <w:p>
      <w:pPr>
        <w:spacing w:after="0" w:line="21" w:lineRule="exact"/>
        <w:rPr>
          <w:sz w:val="20"/>
          <w:szCs w:val="20"/>
          <w:color w:val="auto"/>
        </w:rPr>
      </w:pPr>
    </w:p>
    <w:p>
      <w:pPr>
        <w:ind w:left="1620"/>
        <w:spacing w:after="0"/>
        <w:rPr>
          <w:sz w:val="20"/>
          <w:szCs w:val="20"/>
          <w:color w:val="auto"/>
        </w:rPr>
      </w:pPr>
      <w:r>
        <w:rPr>
          <w:rFonts w:ascii="Calibri" w:cs="Calibri" w:eastAsia="Calibri" w:hAnsi="Calibri"/>
          <w:sz w:val="16"/>
          <w:szCs w:val="16"/>
          <w:color w:val="auto"/>
        </w:rPr>
        <w:t>Salary Contnuaton Plan Payments(4)</w:t>
      </w:r>
    </w:p>
    <w:p>
      <w:pPr>
        <w:spacing w:after="0" w:line="21" w:lineRule="exact"/>
        <w:rPr>
          <w:sz w:val="20"/>
          <w:szCs w:val="20"/>
          <w:color w:val="auto"/>
        </w:rPr>
      </w:pPr>
    </w:p>
    <w:p>
      <w:pPr>
        <w:ind w:left="1380"/>
        <w:spacing w:after="0"/>
        <w:rPr>
          <w:sz w:val="20"/>
          <w:szCs w:val="20"/>
          <w:color w:val="auto"/>
        </w:rPr>
      </w:pPr>
      <w:r>
        <w:rPr>
          <w:rFonts w:ascii="Calibri" w:cs="Calibri" w:eastAsia="Calibri" w:hAnsi="Calibri"/>
          <w:sz w:val="16"/>
          <w:szCs w:val="16"/>
          <w:i w:val="1"/>
          <w:iCs w:val="1"/>
          <w:color w:val="auto"/>
        </w:rPr>
        <w:t>Change in Control Contnuity Agreement(5)</w:t>
      </w:r>
    </w:p>
    <w:p>
      <w:pPr>
        <w:spacing w:after="0" w:line="34" w:lineRule="exact"/>
        <w:rPr>
          <w:sz w:val="20"/>
          <w:szCs w:val="20"/>
          <w:color w:val="auto"/>
        </w:rPr>
      </w:pPr>
    </w:p>
    <w:p>
      <w:pPr>
        <w:ind w:left="3260"/>
        <w:spacing w:after="0"/>
        <w:rPr>
          <w:sz w:val="20"/>
          <w:szCs w:val="20"/>
          <w:color w:val="auto"/>
        </w:rPr>
      </w:pPr>
      <w:r>
        <w:rPr>
          <w:rFonts w:ascii="Calibri" w:cs="Calibri" w:eastAsia="Calibri" w:hAnsi="Calibri"/>
          <w:sz w:val="16"/>
          <w:szCs w:val="16"/>
          <w:b w:val="1"/>
          <w:bCs w:val="1"/>
          <w:color w:val="auto"/>
        </w:rPr>
        <w:t>HAACK TOTAL</w:t>
      </w:r>
    </w:p>
    <w:p>
      <w:pPr>
        <w:spacing w:after="0" w:line="21" w:lineRule="exact"/>
        <w:rPr>
          <w:sz w:val="20"/>
          <w:szCs w:val="20"/>
          <w:color w:val="auto"/>
        </w:rPr>
      </w:pPr>
    </w:p>
    <w:p>
      <w:pPr>
        <w:ind w:left="1140"/>
        <w:spacing w:after="0"/>
        <w:rPr>
          <w:sz w:val="20"/>
          <w:szCs w:val="20"/>
          <w:color w:val="auto"/>
        </w:rPr>
      </w:pPr>
      <w:r>
        <w:rPr>
          <w:rFonts w:ascii="Calibri" w:cs="Calibri" w:eastAsia="Calibri" w:hAnsi="Calibri"/>
          <w:sz w:val="16"/>
          <w:szCs w:val="16"/>
          <w:b w:val="1"/>
          <w:bCs w:val="1"/>
          <w:color w:val="auto"/>
        </w:rPr>
        <w:t>D. Craig Kesler</w:t>
      </w:r>
    </w:p>
    <w:p>
      <w:pPr>
        <w:spacing w:after="0" w:line="21" w:lineRule="exact"/>
        <w:rPr>
          <w:sz w:val="20"/>
          <w:szCs w:val="20"/>
          <w:color w:val="auto"/>
        </w:rPr>
      </w:pPr>
    </w:p>
    <w:p>
      <w:pPr>
        <w:ind w:left="1380"/>
        <w:spacing w:after="0"/>
        <w:rPr>
          <w:sz w:val="20"/>
          <w:szCs w:val="20"/>
          <w:color w:val="auto"/>
        </w:rPr>
      </w:pPr>
      <w:r>
        <w:rPr>
          <w:rFonts w:ascii="Calibri" w:cs="Calibri" w:eastAsia="Calibri" w:hAnsi="Calibri"/>
          <w:sz w:val="16"/>
          <w:szCs w:val="16"/>
          <w:i w:val="1"/>
          <w:iCs w:val="1"/>
          <w:color w:val="auto"/>
        </w:rPr>
        <w:t>Long-Term Incentves</w:t>
      </w:r>
    </w:p>
    <w:p>
      <w:pPr>
        <w:spacing w:after="0" w:line="21" w:lineRule="exact"/>
        <w:rPr>
          <w:sz w:val="20"/>
          <w:szCs w:val="20"/>
          <w:color w:val="auto"/>
        </w:rPr>
      </w:pPr>
    </w:p>
    <w:p>
      <w:pPr>
        <w:ind w:left="1620"/>
        <w:spacing w:after="0"/>
        <w:rPr>
          <w:sz w:val="20"/>
          <w:szCs w:val="20"/>
          <w:color w:val="auto"/>
        </w:rPr>
      </w:pPr>
      <w:r>
        <w:rPr>
          <w:rFonts w:ascii="Calibri" w:cs="Calibri" w:eastAsia="Calibri" w:hAnsi="Calibri"/>
          <w:sz w:val="16"/>
          <w:szCs w:val="16"/>
          <w:color w:val="auto"/>
        </w:rPr>
        <w:t>Stock Optons</w:t>
      </w:r>
    </w:p>
    <w:p>
      <w:pPr>
        <w:spacing w:after="0" w:line="21" w:lineRule="exact"/>
        <w:rPr>
          <w:sz w:val="20"/>
          <w:szCs w:val="20"/>
          <w:color w:val="auto"/>
        </w:rPr>
      </w:pPr>
    </w:p>
    <w:p>
      <w:pPr>
        <w:ind w:left="1880"/>
        <w:spacing w:after="0"/>
        <w:rPr>
          <w:sz w:val="20"/>
          <w:szCs w:val="20"/>
          <w:color w:val="auto"/>
        </w:rPr>
      </w:pPr>
      <w:r>
        <w:rPr>
          <w:rFonts w:ascii="Calibri" w:cs="Calibri" w:eastAsia="Calibri" w:hAnsi="Calibri"/>
          <w:sz w:val="16"/>
          <w:szCs w:val="16"/>
          <w:color w:val="auto"/>
        </w:rPr>
        <w:t>Unexercisable and Accelerated Awards(2)</w:t>
      </w:r>
    </w:p>
    <w:p>
      <w:pPr>
        <w:spacing w:after="0" w:line="21" w:lineRule="exact"/>
        <w:rPr>
          <w:sz w:val="20"/>
          <w:szCs w:val="20"/>
          <w:color w:val="auto"/>
        </w:rPr>
      </w:pPr>
    </w:p>
    <w:p>
      <w:pPr>
        <w:ind w:left="1620"/>
        <w:spacing w:after="0"/>
        <w:rPr>
          <w:sz w:val="20"/>
          <w:szCs w:val="20"/>
          <w:color w:val="auto"/>
        </w:rPr>
      </w:pPr>
      <w:r>
        <w:rPr>
          <w:rFonts w:ascii="Calibri" w:cs="Calibri" w:eastAsia="Calibri" w:hAnsi="Calibri"/>
          <w:sz w:val="16"/>
          <w:szCs w:val="16"/>
          <w:color w:val="auto"/>
        </w:rPr>
        <w:t>Restricted Stock Awards</w:t>
      </w:r>
    </w:p>
    <w:p>
      <w:pPr>
        <w:spacing w:after="0" w:line="21" w:lineRule="exact"/>
        <w:rPr>
          <w:sz w:val="20"/>
          <w:szCs w:val="20"/>
          <w:color w:val="auto"/>
        </w:rPr>
      </w:pPr>
    </w:p>
    <w:p>
      <w:pPr>
        <w:ind w:left="1880"/>
        <w:spacing w:after="0"/>
        <w:rPr>
          <w:sz w:val="20"/>
          <w:szCs w:val="20"/>
          <w:color w:val="auto"/>
        </w:rPr>
      </w:pPr>
      <w:r>
        <w:rPr>
          <w:rFonts w:ascii="Calibri" w:cs="Calibri" w:eastAsia="Calibri" w:hAnsi="Calibri"/>
          <w:sz w:val="16"/>
          <w:szCs w:val="16"/>
          <w:color w:val="auto"/>
        </w:rPr>
        <w:t>Unvested and Accelerated Awards(3)</w:t>
      </w:r>
    </w:p>
    <w:p>
      <w:pPr>
        <w:spacing w:after="0" w:line="21" w:lineRule="exact"/>
        <w:rPr>
          <w:sz w:val="20"/>
          <w:szCs w:val="20"/>
          <w:color w:val="auto"/>
        </w:rPr>
      </w:pPr>
    </w:p>
    <w:p>
      <w:pPr>
        <w:ind w:left="1380"/>
        <w:spacing w:after="0"/>
        <w:rPr>
          <w:sz w:val="20"/>
          <w:szCs w:val="20"/>
          <w:color w:val="auto"/>
        </w:rPr>
      </w:pPr>
      <w:r>
        <w:rPr>
          <w:rFonts w:ascii="Calibri" w:cs="Calibri" w:eastAsia="Calibri" w:hAnsi="Calibri"/>
          <w:sz w:val="16"/>
          <w:szCs w:val="16"/>
          <w:i w:val="1"/>
          <w:iCs w:val="1"/>
          <w:color w:val="auto"/>
        </w:rPr>
        <w:t>Benefts</w:t>
      </w:r>
    </w:p>
    <w:p>
      <w:pPr>
        <w:spacing w:after="0" w:line="21" w:lineRule="exact"/>
        <w:rPr>
          <w:sz w:val="20"/>
          <w:szCs w:val="20"/>
          <w:color w:val="auto"/>
        </w:rPr>
      </w:pPr>
    </w:p>
    <w:p>
      <w:pPr>
        <w:ind w:left="1620"/>
        <w:spacing w:after="0"/>
        <w:rPr>
          <w:sz w:val="20"/>
          <w:szCs w:val="20"/>
          <w:color w:val="auto"/>
        </w:rPr>
      </w:pPr>
      <w:r>
        <w:rPr>
          <w:rFonts w:ascii="Calibri" w:cs="Calibri" w:eastAsia="Calibri" w:hAnsi="Calibri"/>
          <w:sz w:val="16"/>
          <w:szCs w:val="16"/>
          <w:color w:val="auto"/>
        </w:rPr>
        <w:t>Salary Contnuaton Plan Payments(4)</w:t>
      </w:r>
    </w:p>
    <w:p>
      <w:pPr>
        <w:spacing w:after="0" w:line="21" w:lineRule="exact"/>
        <w:rPr>
          <w:sz w:val="20"/>
          <w:szCs w:val="20"/>
          <w:color w:val="auto"/>
        </w:rPr>
      </w:pPr>
    </w:p>
    <w:p>
      <w:pPr>
        <w:ind w:left="1380"/>
        <w:spacing w:after="0"/>
        <w:rPr>
          <w:sz w:val="20"/>
          <w:szCs w:val="20"/>
          <w:color w:val="auto"/>
        </w:rPr>
      </w:pPr>
      <w:r>
        <w:rPr>
          <w:rFonts w:ascii="Calibri" w:cs="Calibri" w:eastAsia="Calibri" w:hAnsi="Calibri"/>
          <w:sz w:val="16"/>
          <w:szCs w:val="16"/>
          <w:i w:val="1"/>
          <w:iCs w:val="1"/>
          <w:color w:val="auto"/>
        </w:rPr>
        <w:t>Change in Control Contnuity Agreement(5)</w:t>
      </w:r>
    </w:p>
    <w:p>
      <w:pPr>
        <w:spacing w:after="0" w:line="34" w:lineRule="exact"/>
        <w:rPr>
          <w:sz w:val="20"/>
          <w:szCs w:val="20"/>
          <w:color w:val="auto"/>
        </w:rPr>
      </w:pPr>
    </w:p>
    <w:p>
      <w:pPr>
        <w:ind w:left="3260"/>
        <w:spacing w:after="0"/>
        <w:rPr>
          <w:sz w:val="20"/>
          <w:szCs w:val="20"/>
          <w:color w:val="auto"/>
        </w:rPr>
      </w:pPr>
      <w:r>
        <w:rPr>
          <w:rFonts w:ascii="Calibri" w:cs="Calibri" w:eastAsia="Calibri" w:hAnsi="Calibri"/>
          <w:sz w:val="16"/>
          <w:szCs w:val="16"/>
          <w:b w:val="1"/>
          <w:bCs w:val="1"/>
          <w:color w:val="auto"/>
        </w:rPr>
        <w:t>KESLER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4" w:right="220"/>
        <w:spacing w:after="0" w:line="235" w:lineRule="auto"/>
        <w:rPr>
          <w:sz w:val="20"/>
          <w:szCs w:val="20"/>
          <w:color w:val="auto"/>
        </w:rPr>
      </w:pPr>
      <w:r>
        <w:rPr>
          <w:rFonts w:ascii="Calibri" w:cs="Calibri" w:eastAsia="Calibri" w:hAnsi="Calibri"/>
          <w:sz w:val="18"/>
          <w:szCs w:val="18"/>
          <w:color w:val="auto"/>
        </w:rPr>
        <w:t>they are provided on a non-discriminatory basis to salaried employees generally upon terminaton of employment or relate to equity grants that have already vested. These include:</w:t>
      </w:r>
    </w:p>
    <w:p>
      <w:pPr>
        <w:spacing w:after="0" w:line="106" w:lineRule="exact"/>
        <w:rPr>
          <w:sz w:val="20"/>
          <w:szCs w:val="20"/>
          <w:color w:val="auto"/>
        </w:rPr>
      </w:pPr>
    </w:p>
    <w:p>
      <w:pPr>
        <w:ind w:left="164" w:hanging="164"/>
        <w:spacing w:after="0"/>
        <w:tabs>
          <w:tab w:leader="none" w:pos="164" w:val="left"/>
        </w:tabs>
        <w:numPr>
          <w:ilvl w:val="0"/>
          <w:numId w:val="31"/>
        </w:numPr>
        <w:rPr>
          <w:rFonts w:ascii="Times New Roman" w:cs="Times New Roman" w:eastAsia="Times New Roman" w:hAnsi="Times New Roman"/>
          <w:sz w:val="16"/>
          <w:szCs w:val="16"/>
          <w:color w:val="auto"/>
        </w:rPr>
      </w:pPr>
      <w:r>
        <w:rPr>
          <w:rFonts w:ascii="Calibri" w:cs="Calibri" w:eastAsia="Calibri" w:hAnsi="Calibri"/>
          <w:sz w:val="18"/>
          <w:szCs w:val="18"/>
          <w:color w:val="auto"/>
        </w:rPr>
        <w:t>accrued salary pay through the date of terminaton;</w:t>
      </w:r>
    </w:p>
    <w:p>
      <w:pPr>
        <w:spacing w:after="0" w:line="109" w:lineRule="exact"/>
        <w:rPr>
          <w:rFonts w:ascii="Times New Roman" w:cs="Times New Roman" w:eastAsia="Times New Roman" w:hAnsi="Times New Roman"/>
          <w:sz w:val="16"/>
          <w:szCs w:val="16"/>
          <w:color w:val="auto"/>
        </w:rPr>
      </w:pPr>
    </w:p>
    <w:p>
      <w:pPr>
        <w:ind w:left="164" w:right="100" w:hanging="164"/>
        <w:spacing w:after="0" w:line="235" w:lineRule="auto"/>
        <w:tabs>
          <w:tab w:leader="none" w:pos="164" w:val="left"/>
        </w:tabs>
        <w:numPr>
          <w:ilvl w:val="0"/>
          <w:numId w:val="31"/>
        </w:numPr>
        <w:rPr>
          <w:rFonts w:ascii="Times New Roman" w:cs="Times New Roman" w:eastAsia="Times New Roman" w:hAnsi="Times New Roman"/>
          <w:sz w:val="16"/>
          <w:szCs w:val="16"/>
          <w:color w:val="auto"/>
        </w:rPr>
      </w:pPr>
      <w:r>
        <w:rPr>
          <w:rFonts w:ascii="Calibri" w:cs="Calibri" w:eastAsia="Calibri" w:hAnsi="Calibri"/>
          <w:sz w:val="18"/>
          <w:szCs w:val="18"/>
          <w:color w:val="auto"/>
        </w:rPr>
        <w:t>non-equity incentve compensaton earned and payable prior to the date of terminaton;</w:t>
      </w:r>
    </w:p>
    <w:p>
      <w:pPr>
        <w:spacing w:after="0" w:line="109" w:lineRule="exact"/>
        <w:rPr>
          <w:rFonts w:ascii="Times New Roman" w:cs="Times New Roman" w:eastAsia="Times New Roman" w:hAnsi="Times New Roman"/>
          <w:sz w:val="16"/>
          <w:szCs w:val="16"/>
          <w:color w:val="auto"/>
        </w:rPr>
      </w:pPr>
    </w:p>
    <w:p>
      <w:pPr>
        <w:ind w:left="164" w:hanging="164"/>
        <w:spacing w:after="0" w:line="235" w:lineRule="auto"/>
        <w:tabs>
          <w:tab w:leader="none" w:pos="164" w:val="left"/>
        </w:tabs>
        <w:numPr>
          <w:ilvl w:val="0"/>
          <w:numId w:val="31"/>
        </w:numPr>
        <w:rPr>
          <w:rFonts w:ascii="Times New Roman" w:cs="Times New Roman" w:eastAsia="Times New Roman" w:hAnsi="Times New Roman"/>
          <w:sz w:val="16"/>
          <w:szCs w:val="16"/>
          <w:color w:val="auto"/>
        </w:rPr>
      </w:pPr>
      <w:r>
        <w:rPr>
          <w:rFonts w:ascii="Calibri" w:cs="Calibri" w:eastAsia="Calibri" w:hAnsi="Calibri"/>
          <w:sz w:val="18"/>
          <w:szCs w:val="18"/>
          <w:color w:val="auto"/>
        </w:rPr>
        <w:t>opton grants received under the Incentve Plan which have already vested and are exercisable prior to the date of terminaton (subject to the terms of the applicable Nonqualifed Stock Opton Agreement);</w:t>
      </w:r>
    </w:p>
    <w:p>
      <w:pPr>
        <w:spacing w:after="0" w:line="110" w:lineRule="exact"/>
        <w:rPr>
          <w:rFonts w:ascii="Times New Roman" w:cs="Times New Roman" w:eastAsia="Times New Roman" w:hAnsi="Times New Roman"/>
          <w:sz w:val="16"/>
          <w:szCs w:val="16"/>
          <w:color w:val="auto"/>
        </w:rPr>
      </w:pPr>
    </w:p>
    <w:p>
      <w:pPr>
        <w:ind w:left="164" w:hanging="164"/>
        <w:spacing w:after="0" w:line="235" w:lineRule="auto"/>
        <w:tabs>
          <w:tab w:leader="none" w:pos="164" w:val="left"/>
        </w:tabs>
        <w:numPr>
          <w:ilvl w:val="0"/>
          <w:numId w:val="31"/>
        </w:numPr>
        <w:rPr>
          <w:rFonts w:ascii="Times New Roman" w:cs="Times New Roman" w:eastAsia="Times New Roman" w:hAnsi="Times New Roman"/>
          <w:sz w:val="16"/>
          <w:szCs w:val="16"/>
          <w:color w:val="auto"/>
        </w:rPr>
      </w:pPr>
      <w:r>
        <w:rPr>
          <w:rFonts w:ascii="Calibri" w:cs="Calibri" w:eastAsia="Calibri" w:hAnsi="Calibri"/>
          <w:sz w:val="18"/>
          <w:szCs w:val="18"/>
          <w:color w:val="auto"/>
        </w:rPr>
        <w:t>restricted stock grants or restricted stock unit grants received under the Incentve Plan which have already vested prior to the date of terminaton (subject to the terms of the applicable Restricted Stock or Restricted Stock Unit Agreement); and</w:t>
      </w:r>
    </w:p>
    <w:p>
      <w:pPr>
        <w:spacing w:after="0" w:line="106"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31"/>
        </w:numPr>
        <w:rPr>
          <w:rFonts w:ascii="Times New Roman" w:cs="Times New Roman" w:eastAsia="Times New Roman" w:hAnsi="Times New Roman"/>
          <w:sz w:val="16"/>
          <w:szCs w:val="16"/>
          <w:color w:val="auto"/>
        </w:rPr>
      </w:pPr>
      <w:r>
        <w:rPr>
          <w:rFonts w:ascii="Calibri" w:cs="Calibri" w:eastAsia="Calibri" w:hAnsi="Calibri"/>
          <w:sz w:val="18"/>
          <w:szCs w:val="18"/>
          <w:color w:val="auto"/>
        </w:rPr>
        <w:t>unused accrued vacaton pay.</w:t>
      </w:r>
    </w:p>
    <w:p>
      <w:pPr>
        <w:spacing w:after="0" w:line="200" w:lineRule="exact"/>
        <w:rPr>
          <w:sz w:val="20"/>
          <w:szCs w:val="20"/>
          <w:color w:val="auto"/>
        </w:rPr>
      </w:pPr>
    </w:p>
    <w:p>
      <w:pPr>
        <w:spacing w:after="0" w:line="308" w:lineRule="exact"/>
        <w:rPr>
          <w:sz w:val="20"/>
          <w:szCs w:val="20"/>
          <w:color w:val="auto"/>
        </w:rPr>
      </w:pPr>
    </w:p>
    <w:tbl>
      <w:tblPr>
        <w:tblLayout w:type="fixed"/>
        <w:tblInd w:w="864" w:type="dxa"/>
        <w:tblCellMar>
          <w:top w:w="0" w:type="dxa"/>
          <w:left w:w="0" w:type="dxa"/>
          <w:bottom w:w="0" w:type="dxa"/>
          <w:right w:w="0" w:type="dxa"/>
        </w:tblCellMar>
      </w:tblPr>
      <w:tr>
        <w:trPr>
          <w:trHeight w:val="171"/>
        </w:trPr>
        <w:tc>
          <w:tcPr>
            <w:tcW w:w="1020" w:type="dxa"/>
            <w:vAlign w:val="bottom"/>
          </w:tcPr>
          <w:p>
            <w:pPr>
              <w:jc w:val="center"/>
              <w:ind w:right="228"/>
              <w:spacing w:after="0"/>
              <w:rPr>
                <w:sz w:val="20"/>
                <w:szCs w:val="20"/>
                <w:color w:val="auto"/>
              </w:rPr>
            </w:pPr>
            <w:r>
              <w:rPr>
                <w:rFonts w:ascii="Calibri" w:cs="Calibri" w:eastAsia="Calibri" w:hAnsi="Calibri"/>
                <w:sz w:val="14"/>
                <w:szCs w:val="14"/>
                <w:b w:val="1"/>
                <w:bCs w:val="1"/>
                <w:color w:val="auto"/>
              </w:rPr>
              <w:t>Involuntary</w:t>
            </w: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6"/>
        </w:trPr>
        <w:tc>
          <w:tcPr>
            <w:tcW w:w="1020" w:type="dxa"/>
            <w:vAlign w:val="bottom"/>
          </w:tcPr>
          <w:p>
            <w:pPr>
              <w:jc w:val="center"/>
              <w:ind w:right="228"/>
              <w:spacing w:after="0"/>
              <w:rPr>
                <w:sz w:val="20"/>
                <w:szCs w:val="20"/>
                <w:color w:val="auto"/>
              </w:rPr>
            </w:pPr>
            <w:r>
              <w:rPr>
                <w:rFonts w:ascii="Calibri" w:cs="Calibri" w:eastAsia="Calibri" w:hAnsi="Calibri"/>
                <w:sz w:val="14"/>
                <w:szCs w:val="14"/>
                <w:b w:val="1"/>
                <w:bCs w:val="1"/>
                <w:color w:val="auto"/>
              </w:rPr>
              <w:t>Terminaton</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020" w:type="dxa"/>
            <w:vAlign w:val="bottom"/>
          </w:tcPr>
          <w:p>
            <w:pPr>
              <w:jc w:val="center"/>
              <w:ind w:right="248"/>
              <w:spacing w:after="0"/>
              <w:rPr>
                <w:sz w:val="20"/>
                <w:szCs w:val="20"/>
                <w:color w:val="auto"/>
              </w:rPr>
            </w:pPr>
            <w:r>
              <w:rPr>
                <w:rFonts w:ascii="Calibri" w:cs="Calibri" w:eastAsia="Calibri" w:hAnsi="Calibri"/>
                <w:sz w:val="14"/>
                <w:szCs w:val="14"/>
                <w:b w:val="1"/>
                <w:bCs w:val="1"/>
                <w:color w:val="auto"/>
              </w:rPr>
              <w:t>or</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020" w:type="dxa"/>
            <w:vAlign w:val="bottom"/>
          </w:tcPr>
          <w:p>
            <w:pPr>
              <w:jc w:val="center"/>
              <w:ind w:right="248"/>
              <w:spacing w:after="0"/>
              <w:rPr>
                <w:sz w:val="20"/>
                <w:szCs w:val="20"/>
                <w:color w:val="auto"/>
              </w:rPr>
            </w:pPr>
            <w:r>
              <w:rPr>
                <w:rFonts w:ascii="Calibri" w:cs="Calibri" w:eastAsia="Calibri" w:hAnsi="Calibri"/>
                <w:sz w:val="14"/>
                <w:szCs w:val="14"/>
                <w:b w:val="1"/>
                <w:bCs w:val="1"/>
                <w:color w:val="auto"/>
              </w:rPr>
              <w:t>Voluntary</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020" w:type="dxa"/>
            <w:vAlign w:val="bottom"/>
          </w:tcPr>
          <w:p>
            <w:pPr>
              <w:jc w:val="center"/>
              <w:ind w:right="228"/>
              <w:spacing w:after="0"/>
              <w:rPr>
                <w:sz w:val="20"/>
                <w:szCs w:val="20"/>
                <w:color w:val="auto"/>
              </w:rPr>
            </w:pPr>
            <w:r>
              <w:rPr>
                <w:rFonts w:ascii="Calibri" w:cs="Calibri" w:eastAsia="Calibri" w:hAnsi="Calibri"/>
                <w:sz w:val="14"/>
                <w:szCs w:val="14"/>
                <w:b w:val="1"/>
                <w:bCs w:val="1"/>
                <w:color w:val="auto"/>
              </w:rPr>
              <w:t>Terminaton</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020" w:type="dxa"/>
            <w:vAlign w:val="bottom"/>
          </w:tcPr>
          <w:p>
            <w:pPr>
              <w:jc w:val="center"/>
              <w:ind w:right="228"/>
              <w:spacing w:after="0"/>
              <w:rPr>
                <w:sz w:val="20"/>
                <w:szCs w:val="20"/>
                <w:color w:val="auto"/>
              </w:rPr>
            </w:pPr>
            <w:r>
              <w:rPr>
                <w:rFonts w:ascii="Calibri" w:cs="Calibri" w:eastAsia="Calibri" w:hAnsi="Calibri"/>
                <w:sz w:val="14"/>
                <w:szCs w:val="14"/>
                <w:b w:val="1"/>
                <w:bCs w:val="1"/>
                <w:color w:val="auto"/>
              </w:rPr>
              <w:t>(non-</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020" w:type="dxa"/>
            <w:vAlign w:val="bottom"/>
          </w:tcPr>
          <w:p>
            <w:pPr>
              <w:jc w:val="center"/>
              <w:ind w:right="248"/>
              <w:spacing w:after="0"/>
              <w:rPr>
                <w:sz w:val="20"/>
                <w:szCs w:val="20"/>
                <w:color w:val="auto"/>
              </w:rPr>
            </w:pPr>
            <w:r>
              <w:rPr>
                <w:rFonts w:ascii="Calibri" w:cs="Calibri" w:eastAsia="Calibri" w:hAnsi="Calibri"/>
                <w:sz w:val="14"/>
                <w:szCs w:val="14"/>
                <w:b w:val="1"/>
                <w:bCs w:val="1"/>
                <w:color w:val="auto"/>
              </w:rPr>
              <w:t>Change in</w:t>
            </w:r>
          </w:p>
        </w:tc>
        <w:tc>
          <w:tcPr>
            <w:tcW w:w="1220" w:type="dxa"/>
            <w:vAlign w:val="bottom"/>
          </w:tcPr>
          <w:p>
            <w:pPr>
              <w:jc w:val="center"/>
              <w:spacing w:after="0"/>
              <w:rPr>
                <w:sz w:val="20"/>
                <w:szCs w:val="20"/>
                <w:color w:val="auto"/>
              </w:rPr>
            </w:pPr>
            <w:r>
              <w:rPr>
                <w:rFonts w:ascii="Calibri" w:cs="Calibri" w:eastAsia="Calibri" w:hAnsi="Calibri"/>
                <w:sz w:val="14"/>
                <w:szCs w:val="14"/>
                <w:b w:val="1"/>
                <w:bCs w:val="1"/>
                <w:color w:val="auto"/>
              </w:rPr>
              <w:t>Death or</w:t>
            </w:r>
          </w:p>
        </w:tc>
        <w:tc>
          <w:tcPr>
            <w:tcW w:w="940" w:type="dxa"/>
            <w:vAlign w:val="bottom"/>
          </w:tcPr>
          <w:p>
            <w:pPr>
              <w:ind w:left="360"/>
              <w:spacing w:after="0"/>
              <w:rPr>
                <w:sz w:val="20"/>
                <w:szCs w:val="20"/>
                <w:color w:val="auto"/>
              </w:rPr>
            </w:pPr>
            <w:r>
              <w:rPr>
                <w:rFonts w:ascii="Calibri" w:cs="Calibri" w:eastAsia="Calibri" w:hAnsi="Calibri"/>
                <w:sz w:val="14"/>
                <w:szCs w:val="14"/>
                <w:b w:val="1"/>
                <w:bCs w:val="1"/>
                <w:color w:val="auto"/>
                <w:w w:val="97"/>
              </w:rPr>
              <w:t>Change in</w:t>
            </w:r>
          </w:p>
        </w:tc>
      </w:tr>
      <w:tr>
        <w:trPr>
          <w:trHeight w:val="175"/>
        </w:trPr>
        <w:tc>
          <w:tcPr>
            <w:tcW w:w="1020" w:type="dxa"/>
            <w:vAlign w:val="bottom"/>
          </w:tcPr>
          <w:p>
            <w:pPr>
              <w:jc w:val="center"/>
              <w:ind w:right="228"/>
              <w:spacing w:after="0"/>
              <w:rPr>
                <w:sz w:val="20"/>
                <w:szCs w:val="20"/>
                <w:color w:val="auto"/>
              </w:rPr>
            </w:pPr>
            <w:r>
              <w:rPr>
                <w:rFonts w:ascii="Calibri" w:cs="Calibri" w:eastAsia="Calibri" w:hAnsi="Calibri"/>
                <w:sz w:val="14"/>
                <w:szCs w:val="14"/>
                <w:b w:val="1"/>
                <w:bCs w:val="1"/>
                <w:color w:val="auto"/>
              </w:rPr>
              <w:t>Control)</w:t>
            </w:r>
          </w:p>
        </w:tc>
        <w:tc>
          <w:tcPr>
            <w:tcW w:w="12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Disability</w:t>
            </w:r>
          </w:p>
        </w:tc>
        <w:tc>
          <w:tcPr>
            <w:tcW w:w="940" w:type="dxa"/>
            <w:vAlign w:val="bottom"/>
          </w:tcPr>
          <w:p>
            <w:pPr>
              <w:jc w:val="center"/>
              <w:ind w:left="268"/>
              <w:spacing w:after="0"/>
              <w:rPr>
                <w:sz w:val="20"/>
                <w:szCs w:val="20"/>
                <w:color w:val="auto"/>
              </w:rPr>
            </w:pPr>
            <w:r>
              <w:rPr>
                <w:rFonts w:ascii="Calibri" w:cs="Calibri" w:eastAsia="Calibri" w:hAnsi="Calibri"/>
                <w:sz w:val="14"/>
                <w:szCs w:val="14"/>
                <w:b w:val="1"/>
                <w:bCs w:val="1"/>
                <w:color w:val="auto"/>
              </w:rPr>
              <w:t>Control(1)</w:t>
            </w:r>
          </w:p>
        </w:tc>
      </w:tr>
      <w:tr>
        <w:trPr>
          <w:trHeight w:val="176"/>
        </w:trPr>
        <w:tc>
          <w:tcPr>
            <w:tcW w:w="1020" w:type="dxa"/>
            <w:vAlign w:val="bottom"/>
          </w:tcPr>
          <w:p>
            <w:pPr>
              <w:jc w:val="center"/>
              <w:ind w:right="228"/>
              <w:spacing w:after="0"/>
              <w:rPr>
                <w:sz w:val="20"/>
                <w:szCs w:val="20"/>
                <w:color w:val="auto"/>
              </w:rPr>
            </w:pPr>
            <w:r>
              <w:rPr>
                <w:rFonts w:ascii="Calibri" w:cs="Calibri" w:eastAsia="Calibri" w:hAnsi="Calibri"/>
                <w:sz w:val="14"/>
                <w:szCs w:val="14"/>
                <w:b w:val="1"/>
                <w:bCs w:val="1"/>
                <w:color w:val="auto"/>
              </w:rPr>
              <w:t>($)</w:t>
            </w:r>
          </w:p>
        </w:tc>
        <w:tc>
          <w:tcPr>
            <w:tcW w:w="122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940" w:type="dxa"/>
            <w:vAlign w:val="bottom"/>
          </w:tcPr>
          <w:p>
            <w:pPr>
              <w:jc w:val="right"/>
              <w:ind w:right="148"/>
              <w:spacing w:after="0"/>
              <w:rPr>
                <w:sz w:val="20"/>
                <w:szCs w:val="20"/>
                <w:color w:val="auto"/>
              </w:rPr>
            </w:pPr>
            <w:r>
              <w:rPr>
                <w:rFonts w:ascii="Calibri" w:cs="Calibri" w:eastAsia="Calibri" w:hAnsi="Calibri"/>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295275</wp:posOffset>
            </wp:positionV>
            <wp:extent cx="570039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12700</wp:posOffset>
            </wp:positionV>
            <wp:extent cx="570039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704" w:type="dxa"/>
        <w:tblCellMar>
          <w:top w:w="0" w:type="dxa"/>
          <w:left w:w="0" w:type="dxa"/>
          <w:bottom w:w="0" w:type="dxa"/>
          <w:right w:w="0" w:type="dxa"/>
        </w:tblCellMar>
      </w:tblPr>
      <w:tr>
        <w:trPr>
          <w:trHeight w:val="195"/>
        </w:trPr>
        <w:tc>
          <w:tcPr>
            <w:tcW w:w="1480" w:type="dxa"/>
            <w:vAlign w:val="bottom"/>
            <w:gridSpan w:val="3"/>
          </w:tcPr>
          <w:p>
            <w:pPr>
              <w:ind w:left="880"/>
              <w:spacing w:after="0"/>
              <w:rPr>
                <w:sz w:val="20"/>
                <w:szCs w:val="20"/>
                <w:color w:val="auto"/>
              </w:rPr>
            </w:pPr>
            <w:r>
              <w:rPr>
                <w:rFonts w:ascii="Calibri" w:cs="Calibri" w:eastAsia="Calibri" w:hAnsi="Calibri"/>
                <w:sz w:val="16"/>
                <w:szCs w:val="16"/>
                <w:color w:val="auto"/>
              </w:rPr>
              <w:t>—</w:t>
            </w:r>
          </w:p>
        </w:tc>
        <w:tc>
          <w:tcPr>
            <w:tcW w:w="1240" w:type="dxa"/>
            <w:vAlign w:val="bottom"/>
            <w:gridSpan w:val="3"/>
          </w:tcPr>
          <w:p>
            <w:pPr>
              <w:ind w:left="660"/>
              <w:spacing w:after="0"/>
              <w:rPr>
                <w:sz w:val="20"/>
                <w:szCs w:val="20"/>
                <w:color w:val="auto"/>
              </w:rPr>
            </w:pPr>
            <w:r>
              <w:rPr>
                <w:rFonts w:ascii="Calibri" w:cs="Calibri" w:eastAsia="Calibri" w:hAnsi="Calibri"/>
                <w:sz w:val="16"/>
                <w:szCs w:val="16"/>
                <w:color w:val="auto"/>
              </w:rPr>
              <w:t>—   $</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3,471,146</w:t>
            </w:r>
          </w:p>
        </w:tc>
      </w:tr>
      <w:tr>
        <w:trPr>
          <w:trHeight w:val="432"/>
        </w:trPr>
        <w:tc>
          <w:tcPr>
            <w:tcW w:w="1480" w:type="dxa"/>
            <w:vAlign w:val="bottom"/>
            <w:gridSpan w:val="3"/>
          </w:tcPr>
          <w:p>
            <w:pPr>
              <w:ind w:left="880"/>
              <w:spacing w:after="0"/>
              <w:rPr>
                <w:sz w:val="20"/>
                <w:szCs w:val="20"/>
                <w:color w:val="auto"/>
              </w:rPr>
            </w:pPr>
            <w:r>
              <w:rPr>
                <w:rFonts w:ascii="Calibri" w:cs="Calibri" w:eastAsia="Calibri" w:hAnsi="Calibri"/>
                <w:sz w:val="16"/>
                <w:szCs w:val="16"/>
                <w:color w:val="auto"/>
              </w:rPr>
              <w:t>—   $</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6,169,238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6,169,238</w:t>
            </w:r>
          </w:p>
        </w:tc>
      </w:tr>
      <w:tr>
        <w:trPr>
          <w:trHeight w:val="432"/>
        </w:trPr>
        <w:tc>
          <w:tcPr>
            <w:tcW w:w="1480" w:type="dxa"/>
            <w:vAlign w:val="bottom"/>
            <w:gridSpan w:val="3"/>
          </w:tcPr>
          <w:p>
            <w:pPr>
              <w:ind w:left="880"/>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1,500,000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6"/>
        </w:trPr>
        <w:tc>
          <w:tcPr>
            <w:tcW w:w="1480" w:type="dxa"/>
            <w:vAlign w:val="bottom"/>
            <w:gridSpan w:val="3"/>
          </w:tcPr>
          <w:p>
            <w:pPr>
              <w:ind w:left="880"/>
              <w:spacing w:after="0"/>
              <w:rPr>
                <w:sz w:val="20"/>
                <w:szCs w:val="20"/>
                <w:color w:val="auto"/>
              </w:rPr>
            </w:pPr>
            <w:r>
              <w:rPr>
                <w:rFonts w:ascii="Calibri" w:cs="Calibri" w:eastAsia="Calibri" w:hAnsi="Calibri"/>
                <w:sz w:val="16"/>
                <w:szCs w:val="16"/>
                <w:color w:val="auto"/>
              </w:rPr>
              <w:t>—</w:t>
            </w:r>
          </w:p>
        </w:tc>
        <w:tc>
          <w:tcPr>
            <w:tcW w:w="1240" w:type="dxa"/>
            <w:vAlign w:val="bottom"/>
            <w:gridSpan w:val="3"/>
          </w:tcPr>
          <w:p>
            <w:pPr>
              <w:jc w:val="right"/>
              <w:ind w:right="420"/>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7,060,230</w:t>
            </w:r>
          </w:p>
        </w:tc>
      </w:tr>
      <w:tr>
        <w:trPr>
          <w:trHeight w:val="28"/>
        </w:trPr>
        <w:tc>
          <w:tcPr>
            <w:tcW w:w="148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7"/>
        </w:trPr>
        <w:tc>
          <w:tcPr>
            <w:tcW w:w="1040" w:type="dxa"/>
            <w:vAlign w:val="bottom"/>
            <w:tcBorders>
              <w:top w:val="single" w:sz="8" w:color="auto"/>
            </w:tcBorders>
          </w:tcPr>
          <w:p>
            <w:pPr>
              <w:ind w:left="880"/>
              <w:spacing w:after="0" w:line="187" w:lineRule="exact"/>
              <w:rPr>
                <w:sz w:val="20"/>
                <w:szCs w:val="20"/>
                <w:color w:val="auto"/>
              </w:rPr>
            </w:pPr>
            <w:r>
              <w:rPr>
                <w:rFonts w:ascii="Calibri" w:cs="Calibri" w:eastAsia="Calibri" w:hAnsi="Calibri"/>
                <w:sz w:val="16"/>
                <w:szCs w:val="16"/>
                <w:color w:val="auto"/>
                <w:w w:val="96"/>
              </w:rPr>
              <w:t>—</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7,669,238</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16,700,614</w:t>
            </w:r>
          </w:p>
        </w:tc>
      </w:tr>
      <w:tr>
        <w:trPr>
          <w:trHeight w:val="859"/>
        </w:trPr>
        <w:tc>
          <w:tcPr>
            <w:tcW w:w="1480" w:type="dxa"/>
            <w:vAlign w:val="bottom"/>
            <w:gridSpan w:val="3"/>
          </w:tcPr>
          <w:p>
            <w:pPr>
              <w:ind w:left="880"/>
              <w:spacing w:after="0"/>
              <w:rPr>
                <w:sz w:val="20"/>
                <w:szCs w:val="20"/>
                <w:color w:val="auto"/>
              </w:rPr>
            </w:pPr>
            <w:r>
              <w:rPr>
                <w:rFonts w:ascii="Calibri" w:cs="Calibri" w:eastAsia="Calibri" w:hAnsi="Calibri"/>
                <w:sz w:val="16"/>
                <w:szCs w:val="16"/>
                <w:color w:val="auto"/>
              </w:rPr>
              <w:t>—</w:t>
            </w:r>
          </w:p>
        </w:tc>
        <w:tc>
          <w:tcPr>
            <w:tcW w:w="1240" w:type="dxa"/>
            <w:vAlign w:val="bottom"/>
            <w:gridSpan w:val="3"/>
          </w:tcPr>
          <w:p>
            <w:pPr>
              <w:jc w:val="right"/>
              <w:ind w:right="420"/>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1,021,249</w:t>
            </w:r>
          </w:p>
        </w:tc>
      </w:tr>
      <w:tr>
        <w:trPr>
          <w:trHeight w:val="432"/>
        </w:trPr>
        <w:tc>
          <w:tcPr>
            <w:tcW w:w="1480" w:type="dxa"/>
            <w:vAlign w:val="bottom"/>
            <w:gridSpan w:val="3"/>
          </w:tcPr>
          <w:p>
            <w:pPr>
              <w:ind w:left="880"/>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3,162,534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3,162,534</w:t>
            </w:r>
          </w:p>
        </w:tc>
      </w:tr>
      <w:tr>
        <w:trPr>
          <w:trHeight w:val="432"/>
        </w:trPr>
        <w:tc>
          <w:tcPr>
            <w:tcW w:w="1480" w:type="dxa"/>
            <w:vAlign w:val="bottom"/>
            <w:gridSpan w:val="3"/>
          </w:tcPr>
          <w:p>
            <w:pPr>
              <w:ind w:left="880"/>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1,500,000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6"/>
        </w:trPr>
        <w:tc>
          <w:tcPr>
            <w:tcW w:w="1480" w:type="dxa"/>
            <w:vAlign w:val="bottom"/>
            <w:gridSpan w:val="3"/>
          </w:tcPr>
          <w:p>
            <w:pPr>
              <w:ind w:left="880"/>
              <w:spacing w:after="0"/>
              <w:rPr>
                <w:sz w:val="20"/>
                <w:szCs w:val="20"/>
                <w:color w:val="auto"/>
              </w:rPr>
            </w:pPr>
            <w:r>
              <w:rPr>
                <w:rFonts w:ascii="Calibri" w:cs="Calibri" w:eastAsia="Calibri" w:hAnsi="Calibri"/>
                <w:sz w:val="16"/>
                <w:szCs w:val="16"/>
                <w:color w:val="auto"/>
              </w:rPr>
              <w:t>—</w:t>
            </w:r>
          </w:p>
        </w:tc>
        <w:tc>
          <w:tcPr>
            <w:tcW w:w="1240" w:type="dxa"/>
            <w:vAlign w:val="bottom"/>
            <w:gridSpan w:val="3"/>
          </w:tcPr>
          <w:p>
            <w:pPr>
              <w:jc w:val="right"/>
              <w:ind w:right="420"/>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4,042,098</w:t>
            </w:r>
          </w:p>
        </w:tc>
      </w:tr>
      <w:tr>
        <w:trPr>
          <w:trHeight w:val="28"/>
        </w:trPr>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7"/>
        </w:trPr>
        <w:tc>
          <w:tcPr>
            <w:tcW w:w="1040" w:type="dxa"/>
            <w:vAlign w:val="bottom"/>
          </w:tcPr>
          <w:p>
            <w:pPr>
              <w:ind w:left="880"/>
              <w:spacing w:after="0" w:line="187" w:lineRule="exact"/>
              <w:rPr>
                <w:sz w:val="20"/>
                <w:szCs w:val="20"/>
                <w:color w:val="auto"/>
              </w:rPr>
            </w:pPr>
            <w:r>
              <w:rPr>
                <w:rFonts w:ascii="Calibri" w:cs="Calibri" w:eastAsia="Calibri" w:hAnsi="Calibri"/>
                <w:sz w:val="16"/>
                <w:szCs w:val="16"/>
                <w:color w:val="auto"/>
                <w:w w:val="96"/>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4,662,534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8,225,880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-2196465</wp:posOffset>
            </wp:positionV>
            <wp:extent cx="570039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-1922145</wp:posOffset>
            </wp:positionV>
            <wp:extent cx="570039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-1648460</wp:posOffset>
            </wp:positionV>
            <wp:extent cx="570039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-1365250</wp:posOffset>
            </wp:positionV>
            <wp:extent cx="570039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-1090930</wp:posOffset>
            </wp:positionV>
            <wp:extent cx="570039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-816610</wp:posOffset>
            </wp:positionV>
            <wp:extent cx="570039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-542290</wp:posOffset>
            </wp:positionV>
            <wp:extent cx="570039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-267970</wp:posOffset>
            </wp:positionV>
            <wp:extent cx="570039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36"/>
            <w:col w:w="5444"/>
          </w:cols>
          <w:pgMar w:left="320" w:top="558" w:right="399" w:bottom="1440" w:gutter="0" w:footer="0" w:header="0"/>
        </w:sectPr>
      </w:pPr>
    </w:p>
    <w:p>
      <w:pPr>
        <w:spacing w:after="0" w:line="4"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5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8" w:right="39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8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Involuntary</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Terminaton</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tcPr>
          <w:p>
            <w:pPr>
              <w:jc w:val="center"/>
              <w:ind w:left="68"/>
              <w:spacing w:after="0"/>
              <w:rPr>
                <w:sz w:val="20"/>
                <w:szCs w:val="20"/>
                <w:color w:val="auto"/>
              </w:rPr>
            </w:pPr>
            <w:r>
              <w:rPr>
                <w:rFonts w:ascii="Calibri" w:cs="Calibri" w:eastAsia="Calibri" w:hAnsi="Calibri"/>
                <w:sz w:val="14"/>
                <w:szCs w:val="14"/>
                <w:b w:val="1"/>
                <w:bCs w:val="1"/>
                <w:color w:val="auto"/>
              </w:rPr>
              <w:t>or</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tcPr>
          <w:p>
            <w:pPr>
              <w:jc w:val="center"/>
              <w:ind w:left="68"/>
              <w:spacing w:after="0"/>
              <w:rPr>
                <w:sz w:val="20"/>
                <w:szCs w:val="20"/>
                <w:color w:val="auto"/>
              </w:rPr>
            </w:pPr>
            <w:r>
              <w:rPr>
                <w:rFonts w:ascii="Calibri" w:cs="Calibri" w:eastAsia="Calibri" w:hAnsi="Calibri"/>
                <w:sz w:val="14"/>
                <w:szCs w:val="14"/>
                <w:b w:val="1"/>
                <w:bCs w:val="1"/>
                <w:color w:val="auto"/>
              </w:rPr>
              <w:t>Voluntary</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Terminaton</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(non-</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tcPr>
          <w:p>
            <w:pPr>
              <w:jc w:val="center"/>
              <w:ind w:left="68"/>
              <w:spacing w:after="0"/>
              <w:rPr>
                <w:sz w:val="20"/>
                <w:szCs w:val="20"/>
                <w:color w:val="auto"/>
              </w:rPr>
            </w:pPr>
            <w:r>
              <w:rPr>
                <w:rFonts w:ascii="Calibri" w:cs="Calibri" w:eastAsia="Calibri" w:hAnsi="Calibri"/>
                <w:sz w:val="14"/>
                <w:szCs w:val="14"/>
                <w:b w:val="1"/>
                <w:bCs w:val="1"/>
                <w:color w:val="auto"/>
              </w:rPr>
              <w:t>Change in</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21"/>
              <w:spacing w:after="0"/>
              <w:rPr>
                <w:sz w:val="20"/>
                <w:szCs w:val="20"/>
                <w:color w:val="auto"/>
              </w:rPr>
            </w:pPr>
            <w:r>
              <w:rPr>
                <w:rFonts w:ascii="Calibri" w:cs="Calibri" w:eastAsia="Calibri" w:hAnsi="Calibri"/>
                <w:sz w:val="14"/>
                <w:szCs w:val="14"/>
                <w:b w:val="1"/>
                <w:bCs w:val="1"/>
                <w:color w:val="auto"/>
              </w:rPr>
              <w:t>Death or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Change in</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Control)</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01"/>
              <w:spacing w:after="0"/>
              <w:rPr>
                <w:sz w:val="20"/>
                <w:szCs w:val="20"/>
                <w:color w:val="auto"/>
              </w:rPr>
            </w:pPr>
            <w:r>
              <w:rPr>
                <w:rFonts w:ascii="Calibri" w:cs="Calibri" w:eastAsia="Calibri" w:hAnsi="Calibri"/>
                <w:sz w:val="14"/>
                <w:szCs w:val="14"/>
                <w:b w:val="1"/>
                <w:bCs w:val="1"/>
                <w:color w:val="auto"/>
                <w:w w:val="99"/>
              </w:rPr>
              <w:t>Disability</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Control(1)</w:t>
            </w:r>
          </w:p>
        </w:tc>
        <w:tc>
          <w:tcPr>
            <w:tcW w:w="0" w:type="dxa"/>
            <w:vAlign w:val="bottom"/>
          </w:tcPr>
          <w:p>
            <w:pPr>
              <w:spacing w:after="0"/>
              <w:rPr>
                <w:sz w:val="1"/>
                <w:szCs w:val="1"/>
                <w:color w:val="auto"/>
              </w:rPr>
            </w:pPr>
          </w:p>
        </w:tc>
      </w:tr>
      <w:tr>
        <w:trPr>
          <w:trHeight w:val="155"/>
        </w:trPr>
        <w:tc>
          <w:tcPr>
            <w:tcW w:w="6440" w:type="dxa"/>
            <w:vAlign w:val="bottom"/>
            <w:gridSpan w:val="5"/>
          </w:tcPr>
          <w:p>
            <w:pPr>
              <w:ind w:left="1140"/>
              <w:spacing w:after="0" w:line="155" w:lineRule="exact"/>
              <w:rPr>
                <w:sz w:val="20"/>
                <w:szCs w:val="20"/>
                <w:color w:val="auto"/>
              </w:rPr>
            </w:pPr>
            <w:r>
              <w:rPr>
                <w:rFonts w:ascii="Calibri" w:cs="Calibri" w:eastAsia="Calibri" w:hAnsi="Calibri"/>
                <w:sz w:val="14"/>
                <w:szCs w:val="14"/>
                <w:b w:val="1"/>
                <w:bCs w:val="1"/>
                <w:color w:val="auto"/>
              </w:rPr>
              <w:t>Type of Payment</w:t>
            </w:r>
          </w:p>
        </w:tc>
        <w:tc>
          <w:tcPr>
            <w:tcW w:w="880" w:type="dxa"/>
            <w:vAlign w:val="bottom"/>
          </w:tcPr>
          <w:p>
            <w:pPr>
              <w:jc w:val="center"/>
              <w:ind w:left="88"/>
              <w:spacing w:after="0" w:line="155" w:lineRule="exact"/>
              <w:rPr>
                <w:sz w:val="20"/>
                <w:szCs w:val="20"/>
                <w:color w:val="auto"/>
              </w:rPr>
            </w:pPr>
            <w:r>
              <w:rPr>
                <w:rFonts w:ascii="Calibri" w:cs="Calibri" w:eastAsia="Calibri" w:hAnsi="Calibri"/>
                <w:sz w:val="14"/>
                <w:szCs w:val="14"/>
                <w:b w:val="1"/>
                <w:bCs w:val="1"/>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101"/>
              <w:spacing w:after="0" w:line="155"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401"/>
              <w:spacing w:after="0" w:line="155" w:lineRule="exact"/>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CFF0FC"/>
            </w:tcBorders>
          </w:tcPr>
          <w:p>
            <w:pPr>
              <w:spacing w:after="0" w:line="20" w:lineRule="exact"/>
              <w:rPr>
                <w:sz w:val="1"/>
                <w:szCs w:val="1"/>
                <w:color w:val="auto"/>
              </w:rPr>
            </w:pPr>
          </w:p>
        </w:tc>
        <w:tc>
          <w:tcPr>
            <w:tcW w:w="1380" w:type="dxa"/>
            <w:vAlign w:val="bottom"/>
            <w:tcBorders>
              <w:bottom w:val="single" w:sz="8" w:color="CFF0FC"/>
            </w:tcBorders>
          </w:tcPr>
          <w:p>
            <w:pPr>
              <w:spacing w:after="0" w:line="20" w:lineRule="exact"/>
              <w:rPr>
                <w:sz w:val="1"/>
                <w:szCs w:val="1"/>
                <w:color w:val="auto"/>
              </w:rPr>
            </w:pPr>
          </w:p>
        </w:tc>
        <w:tc>
          <w:tcPr>
            <w:tcW w:w="292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tcBorders>
              <w:bottom w:val="single" w:sz="8" w:color="CFF0FC"/>
            </w:tcBorders>
            <w:gridSpan w:val="3"/>
            <w:shd w:val="clear" w:color="auto" w:fill="CFF0FC"/>
          </w:tcPr>
          <w:p>
            <w:pPr>
              <w:spacing w:after="0" w:line="182" w:lineRule="exact"/>
              <w:rPr>
                <w:sz w:val="20"/>
                <w:szCs w:val="20"/>
                <w:color w:val="auto"/>
              </w:rPr>
            </w:pPr>
            <w:r>
              <w:rPr>
                <w:rFonts w:ascii="Calibri" w:cs="Calibri" w:eastAsia="Calibri" w:hAnsi="Calibri"/>
                <w:sz w:val="16"/>
                <w:szCs w:val="16"/>
                <w:b w:val="1"/>
                <w:bCs w:val="1"/>
                <w:color w:val="auto"/>
              </w:rPr>
              <w:t>Robert S. Stewart</w:t>
            </w:r>
          </w:p>
        </w:tc>
        <w:tc>
          <w:tcPr>
            <w:tcW w:w="8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220"/>
              <w:spacing w:after="0" w:line="193" w:lineRule="exact"/>
              <w:rPr>
                <w:sz w:val="20"/>
                <w:szCs w:val="20"/>
                <w:color w:val="auto"/>
              </w:rPr>
            </w:pPr>
            <w:r>
              <w:rPr>
                <w:rFonts w:ascii="Calibri" w:cs="Calibri" w:eastAsia="Calibri" w:hAnsi="Calibri"/>
                <w:sz w:val="16"/>
                <w:szCs w:val="16"/>
                <w:i w:val="1"/>
                <w:iCs w:val="1"/>
                <w:color w:val="auto"/>
              </w:rPr>
              <w:t>Long-Term Incentves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CFF0FC"/>
            </w:tcBorders>
            <w:gridSpan w:val="3"/>
            <w:shd w:val="clear" w:color="auto" w:fill="CFF0FC"/>
          </w:tcPr>
          <w:p>
            <w:pPr>
              <w:ind w:left="460"/>
              <w:spacing w:after="0" w:line="193" w:lineRule="exact"/>
              <w:rPr>
                <w:sz w:val="20"/>
                <w:szCs w:val="20"/>
                <w:color w:val="auto"/>
              </w:rPr>
            </w:pPr>
            <w:r>
              <w:rPr>
                <w:rFonts w:ascii="Calibri" w:cs="Calibri" w:eastAsia="Calibri" w:hAnsi="Calibri"/>
                <w:sz w:val="16"/>
                <w:szCs w:val="16"/>
                <w:color w:val="auto"/>
              </w:rPr>
              <w:t>Stock Optons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720"/>
              <w:spacing w:after="0" w:line="193" w:lineRule="exact"/>
              <w:rPr>
                <w:sz w:val="20"/>
                <w:szCs w:val="20"/>
                <w:color w:val="auto"/>
              </w:rPr>
            </w:pPr>
            <w:r>
              <w:rPr>
                <w:rFonts w:ascii="Calibri" w:cs="Calibri" w:eastAsia="Calibri" w:hAnsi="Calibri"/>
                <w:sz w:val="16"/>
                <w:szCs w:val="16"/>
                <w:color w:val="auto"/>
              </w:rPr>
              <w:t>Unexercisable and Accelerated Awards(2)</w:t>
            </w:r>
          </w:p>
        </w:tc>
        <w:tc>
          <w:tcPr>
            <w:tcW w:w="88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CFF0FC"/>
            </w:tcBorders>
            <w:gridSpan w:val="3"/>
            <w:shd w:val="clear" w:color="auto" w:fill="CFF0FC"/>
          </w:tcPr>
          <w:p>
            <w:pPr>
              <w:ind w:left="460"/>
              <w:spacing w:after="0" w:line="193" w:lineRule="exact"/>
              <w:rPr>
                <w:sz w:val="20"/>
                <w:szCs w:val="20"/>
                <w:color w:val="auto"/>
              </w:rPr>
            </w:pPr>
            <w:r>
              <w:rPr>
                <w:rFonts w:ascii="Calibri" w:cs="Calibri" w:eastAsia="Calibri" w:hAnsi="Calibri"/>
                <w:sz w:val="16"/>
                <w:szCs w:val="16"/>
                <w:color w:val="auto"/>
              </w:rPr>
              <w:t>Restricted Stock Awards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720"/>
              <w:spacing w:after="0" w:line="193" w:lineRule="exact"/>
              <w:rPr>
                <w:sz w:val="20"/>
                <w:szCs w:val="20"/>
                <w:color w:val="auto"/>
              </w:rPr>
            </w:pPr>
            <w:r>
              <w:rPr>
                <w:rFonts w:ascii="Calibri" w:cs="Calibri" w:eastAsia="Calibri" w:hAnsi="Calibri"/>
                <w:sz w:val="16"/>
                <w:szCs w:val="16"/>
                <w:color w:val="auto"/>
              </w:rPr>
              <w:t>Unvested and Accelerated Awards(3)</w:t>
            </w:r>
          </w:p>
        </w:tc>
        <w:tc>
          <w:tcPr>
            <w:tcW w:w="88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Calibri" w:cs="Calibri" w:eastAsia="Calibri" w:hAnsi="Calibri"/>
                <w:sz w:val="16"/>
                <w:szCs w:val="16"/>
                <w:color w:val="auto"/>
              </w:rPr>
              <w:t>—   $</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2,188,153</w:t>
            </w:r>
          </w:p>
        </w:tc>
        <w:tc>
          <w:tcPr>
            <w:tcW w:w="3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2,188,153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CFF0FC"/>
            </w:tcBorders>
            <w:gridSpan w:val="3"/>
            <w:shd w:val="clear" w:color="auto" w:fill="CFF0FC"/>
          </w:tcPr>
          <w:p>
            <w:pPr>
              <w:ind w:left="220"/>
              <w:spacing w:after="0" w:line="193" w:lineRule="exact"/>
              <w:rPr>
                <w:sz w:val="20"/>
                <w:szCs w:val="20"/>
                <w:color w:val="auto"/>
              </w:rPr>
            </w:pPr>
            <w:r>
              <w:rPr>
                <w:rFonts w:ascii="Calibri" w:cs="Calibri" w:eastAsia="Calibri" w:hAnsi="Calibri"/>
                <w:sz w:val="16"/>
                <w:szCs w:val="16"/>
                <w:i w:val="1"/>
                <w:iCs w:val="1"/>
                <w:color w:val="auto"/>
              </w:rPr>
              <w:t>Benefts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460"/>
              <w:spacing w:after="0" w:line="193" w:lineRule="exact"/>
              <w:rPr>
                <w:sz w:val="20"/>
                <w:szCs w:val="20"/>
                <w:color w:val="auto"/>
              </w:rPr>
            </w:pPr>
            <w:r>
              <w:rPr>
                <w:rFonts w:ascii="Calibri" w:cs="Calibri" w:eastAsia="Calibri" w:hAnsi="Calibri"/>
                <w:sz w:val="16"/>
                <w:szCs w:val="16"/>
                <w:color w:val="auto"/>
              </w:rPr>
              <w:t>Salary Contnuaton Plan Payments(4)</w:t>
            </w:r>
          </w:p>
        </w:tc>
        <w:tc>
          <w:tcPr>
            <w:tcW w:w="88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Borders>
              <w:bottom w:val="single" w:sz="8" w:color="CFF0FC"/>
            </w:tcBorders>
            <w:gridSpan w:val="3"/>
            <w:shd w:val="clear" w:color="auto" w:fill="CFF0FC"/>
          </w:tcPr>
          <w:p>
            <w:pPr>
              <w:ind w:left="220"/>
              <w:spacing w:after="0" w:line="193" w:lineRule="exact"/>
              <w:rPr>
                <w:sz w:val="20"/>
                <w:szCs w:val="20"/>
                <w:color w:val="auto"/>
              </w:rPr>
            </w:pPr>
            <w:r>
              <w:rPr>
                <w:rFonts w:ascii="Calibri" w:cs="Calibri" w:eastAsia="Calibri" w:hAnsi="Calibri"/>
                <w:sz w:val="16"/>
                <w:szCs w:val="16"/>
                <w:i w:val="1"/>
                <w:iCs w:val="1"/>
                <w:color w:val="auto"/>
              </w:rPr>
              <w:t>Change in Control Contnuity Agreement(5)</w:t>
            </w:r>
          </w:p>
        </w:tc>
        <w:tc>
          <w:tcPr>
            <w:tcW w:w="8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2,900,488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00" w:type="dxa"/>
            <w:vAlign w:val="bottom"/>
            <w:gridSpan w:val="2"/>
          </w:tcPr>
          <w:p>
            <w:pPr>
              <w:ind w:left="480"/>
              <w:spacing w:after="0" w:line="182" w:lineRule="exact"/>
              <w:rPr>
                <w:sz w:val="20"/>
                <w:szCs w:val="20"/>
                <w:color w:val="auto"/>
              </w:rPr>
            </w:pPr>
            <w:r>
              <w:rPr>
                <w:rFonts w:ascii="Calibri" w:cs="Calibri" w:eastAsia="Calibri" w:hAnsi="Calibri"/>
                <w:sz w:val="16"/>
                <w:szCs w:val="16"/>
                <w:b w:val="1"/>
                <w:bCs w:val="1"/>
                <w:color w:val="auto"/>
              </w:rPr>
              <w:t>STEWART TOTAL</w:t>
            </w: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line="187" w:lineRule="exact"/>
              <w:rPr>
                <w:sz w:val="20"/>
                <w:szCs w:val="20"/>
                <w:color w:val="auto"/>
              </w:rPr>
            </w:pPr>
            <w:r>
              <w:rPr>
                <w:rFonts w:ascii="Calibri" w:cs="Calibri" w:eastAsia="Calibri" w:hAnsi="Calibri"/>
                <w:sz w:val="16"/>
                <w:szCs w:val="16"/>
                <w:color w:val="auto"/>
                <w:w w:val="96"/>
              </w:rPr>
              <w:t>—</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2,188,153</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5,088,641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280" w:type="dxa"/>
            <w:vAlign w:val="bottom"/>
            <w:tcBorders>
              <w:bottom w:val="single" w:sz="8" w:color="CFF0FC"/>
            </w:tcBorders>
            <w:gridSpan w:val="3"/>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rPr>
              <w:t>James H. Graass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220"/>
              <w:spacing w:after="0" w:line="193" w:lineRule="exact"/>
              <w:rPr>
                <w:sz w:val="20"/>
                <w:szCs w:val="20"/>
                <w:color w:val="auto"/>
              </w:rPr>
            </w:pPr>
            <w:r>
              <w:rPr>
                <w:rFonts w:ascii="Calibri" w:cs="Calibri" w:eastAsia="Calibri" w:hAnsi="Calibri"/>
                <w:sz w:val="16"/>
                <w:szCs w:val="16"/>
                <w:i w:val="1"/>
                <w:iCs w:val="1"/>
                <w:color w:val="auto"/>
              </w:rPr>
              <w:t>Long-Term Incentves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CFF0FC"/>
            </w:tcBorders>
            <w:gridSpan w:val="3"/>
            <w:shd w:val="clear" w:color="auto" w:fill="CFF0FC"/>
          </w:tcPr>
          <w:p>
            <w:pPr>
              <w:ind w:left="460"/>
              <w:spacing w:after="0" w:line="193" w:lineRule="exact"/>
              <w:rPr>
                <w:sz w:val="20"/>
                <w:szCs w:val="20"/>
                <w:color w:val="auto"/>
              </w:rPr>
            </w:pPr>
            <w:r>
              <w:rPr>
                <w:rFonts w:ascii="Calibri" w:cs="Calibri" w:eastAsia="Calibri" w:hAnsi="Calibri"/>
                <w:sz w:val="16"/>
                <w:szCs w:val="16"/>
                <w:color w:val="auto"/>
              </w:rPr>
              <w:t>Stock Optons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720"/>
              <w:spacing w:after="0" w:line="193" w:lineRule="exact"/>
              <w:rPr>
                <w:sz w:val="20"/>
                <w:szCs w:val="20"/>
                <w:color w:val="auto"/>
              </w:rPr>
            </w:pPr>
            <w:r>
              <w:rPr>
                <w:rFonts w:ascii="Calibri" w:cs="Calibri" w:eastAsia="Calibri" w:hAnsi="Calibri"/>
                <w:sz w:val="16"/>
                <w:szCs w:val="16"/>
                <w:color w:val="auto"/>
              </w:rPr>
              <w:t>Unexercisable and Accelerated Awards(2)</w:t>
            </w:r>
          </w:p>
        </w:tc>
        <w:tc>
          <w:tcPr>
            <w:tcW w:w="88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CFF0FC"/>
            </w:tcBorders>
            <w:gridSpan w:val="3"/>
            <w:shd w:val="clear" w:color="auto" w:fill="CFF0FC"/>
          </w:tcPr>
          <w:p>
            <w:pPr>
              <w:ind w:left="460"/>
              <w:spacing w:after="0" w:line="193" w:lineRule="exact"/>
              <w:rPr>
                <w:sz w:val="20"/>
                <w:szCs w:val="20"/>
                <w:color w:val="auto"/>
              </w:rPr>
            </w:pPr>
            <w:r>
              <w:rPr>
                <w:rFonts w:ascii="Calibri" w:cs="Calibri" w:eastAsia="Calibri" w:hAnsi="Calibri"/>
                <w:sz w:val="16"/>
                <w:szCs w:val="16"/>
                <w:color w:val="auto"/>
              </w:rPr>
              <w:t>Restricted Stock Awards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720"/>
              <w:spacing w:after="0" w:line="193" w:lineRule="exact"/>
              <w:rPr>
                <w:sz w:val="20"/>
                <w:szCs w:val="20"/>
                <w:color w:val="auto"/>
              </w:rPr>
            </w:pPr>
            <w:r>
              <w:rPr>
                <w:rFonts w:ascii="Calibri" w:cs="Calibri" w:eastAsia="Calibri" w:hAnsi="Calibri"/>
                <w:sz w:val="16"/>
                <w:szCs w:val="16"/>
                <w:color w:val="auto"/>
              </w:rPr>
              <w:t>Unvested and Accelerated Awards(3)(6)</w:t>
            </w:r>
          </w:p>
        </w:tc>
        <w:tc>
          <w:tcPr>
            <w:tcW w:w="88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1,945,296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1,945,296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CFF0FC"/>
            </w:tcBorders>
            <w:gridSpan w:val="3"/>
            <w:shd w:val="clear" w:color="auto" w:fill="CFF0FC"/>
          </w:tcPr>
          <w:p>
            <w:pPr>
              <w:ind w:left="220"/>
              <w:spacing w:after="0" w:line="193" w:lineRule="exact"/>
              <w:rPr>
                <w:sz w:val="20"/>
                <w:szCs w:val="20"/>
                <w:color w:val="auto"/>
              </w:rPr>
            </w:pPr>
            <w:r>
              <w:rPr>
                <w:rFonts w:ascii="Calibri" w:cs="Calibri" w:eastAsia="Calibri" w:hAnsi="Calibri"/>
                <w:sz w:val="16"/>
                <w:szCs w:val="16"/>
                <w:i w:val="1"/>
                <w:iCs w:val="1"/>
                <w:color w:val="auto"/>
              </w:rPr>
              <w:t>Benefts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460"/>
              <w:spacing w:after="0" w:line="193" w:lineRule="exact"/>
              <w:rPr>
                <w:sz w:val="20"/>
                <w:szCs w:val="20"/>
                <w:color w:val="auto"/>
              </w:rPr>
            </w:pPr>
            <w:r>
              <w:rPr>
                <w:rFonts w:ascii="Calibri" w:cs="Calibri" w:eastAsia="Calibri" w:hAnsi="Calibri"/>
                <w:sz w:val="16"/>
                <w:szCs w:val="16"/>
                <w:color w:val="auto"/>
              </w:rPr>
              <w:t>Salary Contnuaton Plan Payments(4)</w:t>
            </w:r>
          </w:p>
        </w:tc>
        <w:tc>
          <w:tcPr>
            <w:tcW w:w="88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676,500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Borders>
              <w:bottom w:val="single" w:sz="8" w:color="CFF0FC"/>
            </w:tcBorders>
            <w:gridSpan w:val="3"/>
            <w:shd w:val="clear" w:color="auto" w:fill="CFF0FC"/>
          </w:tcPr>
          <w:p>
            <w:pPr>
              <w:ind w:left="220"/>
              <w:spacing w:after="0" w:line="193" w:lineRule="exact"/>
              <w:rPr>
                <w:sz w:val="20"/>
                <w:szCs w:val="20"/>
                <w:color w:val="auto"/>
              </w:rPr>
            </w:pPr>
            <w:r>
              <w:rPr>
                <w:rFonts w:ascii="Calibri" w:cs="Calibri" w:eastAsia="Calibri" w:hAnsi="Calibri"/>
                <w:sz w:val="16"/>
                <w:szCs w:val="16"/>
                <w:i w:val="1"/>
                <w:iCs w:val="1"/>
                <w:color w:val="auto"/>
              </w:rPr>
              <w:t>Change in Control Contnuity Agreement(5)</w:t>
            </w:r>
          </w:p>
        </w:tc>
        <w:tc>
          <w:tcPr>
            <w:tcW w:w="8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2,838,648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00" w:type="dxa"/>
            <w:vAlign w:val="bottom"/>
            <w:gridSpan w:val="2"/>
          </w:tcPr>
          <w:p>
            <w:pPr>
              <w:ind w:left="480"/>
              <w:spacing w:after="0" w:line="182" w:lineRule="exact"/>
              <w:rPr>
                <w:sz w:val="20"/>
                <w:szCs w:val="20"/>
                <w:color w:val="auto"/>
              </w:rPr>
            </w:pPr>
            <w:r>
              <w:rPr>
                <w:rFonts w:ascii="Calibri" w:cs="Calibri" w:eastAsia="Calibri" w:hAnsi="Calibri"/>
                <w:sz w:val="16"/>
                <w:szCs w:val="16"/>
                <w:b w:val="1"/>
                <w:bCs w:val="1"/>
                <w:color w:val="auto"/>
              </w:rPr>
              <w:t>GRAASS TOTAL</w:t>
            </w: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line="187" w:lineRule="exact"/>
              <w:rPr>
                <w:sz w:val="20"/>
                <w:szCs w:val="20"/>
                <w:color w:val="auto"/>
              </w:rPr>
            </w:pPr>
            <w:r>
              <w:rPr>
                <w:rFonts w:ascii="Calibri" w:cs="Calibri" w:eastAsia="Calibri" w:hAnsi="Calibri"/>
                <w:sz w:val="16"/>
                <w:szCs w:val="16"/>
                <w:color w:val="auto"/>
                <w:w w:val="96"/>
              </w:rPr>
              <w:t>—</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2,621,796</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4,783,944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280" w:type="dxa"/>
            <w:vAlign w:val="bottom"/>
            <w:tcBorders>
              <w:bottom w:val="single" w:sz="8" w:color="CFF0FC"/>
            </w:tcBorders>
            <w:gridSpan w:val="3"/>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rPr>
              <w:t>Steven L. Wentzel</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220"/>
              <w:spacing w:after="0" w:line="193" w:lineRule="exact"/>
              <w:rPr>
                <w:sz w:val="20"/>
                <w:szCs w:val="20"/>
                <w:color w:val="auto"/>
              </w:rPr>
            </w:pPr>
            <w:r>
              <w:rPr>
                <w:rFonts w:ascii="Calibri" w:cs="Calibri" w:eastAsia="Calibri" w:hAnsi="Calibri"/>
                <w:sz w:val="16"/>
                <w:szCs w:val="16"/>
                <w:i w:val="1"/>
                <w:iCs w:val="1"/>
                <w:color w:val="auto"/>
              </w:rPr>
              <w:t>Long-Term Incentves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CFF0FC"/>
            </w:tcBorders>
            <w:gridSpan w:val="3"/>
            <w:shd w:val="clear" w:color="auto" w:fill="CFF0FC"/>
          </w:tcPr>
          <w:p>
            <w:pPr>
              <w:ind w:left="460"/>
              <w:spacing w:after="0" w:line="193" w:lineRule="exact"/>
              <w:rPr>
                <w:sz w:val="20"/>
                <w:szCs w:val="20"/>
                <w:color w:val="auto"/>
              </w:rPr>
            </w:pPr>
            <w:r>
              <w:rPr>
                <w:rFonts w:ascii="Calibri" w:cs="Calibri" w:eastAsia="Calibri" w:hAnsi="Calibri"/>
                <w:sz w:val="16"/>
                <w:szCs w:val="16"/>
                <w:color w:val="auto"/>
              </w:rPr>
              <w:t>Stock Optons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720"/>
              <w:spacing w:after="0" w:line="193" w:lineRule="exact"/>
              <w:rPr>
                <w:sz w:val="20"/>
                <w:szCs w:val="20"/>
                <w:color w:val="auto"/>
              </w:rPr>
            </w:pPr>
            <w:r>
              <w:rPr>
                <w:rFonts w:ascii="Calibri" w:cs="Calibri" w:eastAsia="Calibri" w:hAnsi="Calibri"/>
                <w:sz w:val="16"/>
                <w:szCs w:val="16"/>
                <w:color w:val="auto"/>
              </w:rPr>
              <w:t>Unexercisable and Accelerated Awards(2)</w:t>
            </w:r>
          </w:p>
        </w:tc>
        <w:tc>
          <w:tcPr>
            <w:tcW w:w="88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94,966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CFF0FC"/>
            </w:tcBorders>
            <w:gridSpan w:val="3"/>
            <w:shd w:val="clear" w:color="auto" w:fill="CFF0FC"/>
          </w:tcPr>
          <w:p>
            <w:pPr>
              <w:ind w:left="460"/>
              <w:spacing w:after="0" w:line="193" w:lineRule="exact"/>
              <w:rPr>
                <w:sz w:val="20"/>
                <w:szCs w:val="20"/>
                <w:color w:val="auto"/>
              </w:rPr>
            </w:pPr>
            <w:r>
              <w:rPr>
                <w:rFonts w:ascii="Calibri" w:cs="Calibri" w:eastAsia="Calibri" w:hAnsi="Calibri"/>
                <w:sz w:val="16"/>
                <w:szCs w:val="16"/>
                <w:color w:val="auto"/>
              </w:rPr>
              <w:t>Restricted Stock Awards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720"/>
              <w:spacing w:after="0" w:line="193" w:lineRule="exact"/>
              <w:rPr>
                <w:sz w:val="20"/>
                <w:szCs w:val="20"/>
                <w:color w:val="auto"/>
              </w:rPr>
            </w:pPr>
            <w:r>
              <w:rPr>
                <w:rFonts w:ascii="Calibri" w:cs="Calibri" w:eastAsia="Calibri" w:hAnsi="Calibri"/>
                <w:sz w:val="16"/>
                <w:szCs w:val="16"/>
                <w:color w:val="auto"/>
              </w:rPr>
              <w:t>Unvested and Accelerated Awards(3)</w:t>
            </w:r>
          </w:p>
        </w:tc>
        <w:tc>
          <w:tcPr>
            <w:tcW w:w="88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1,341,875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1,341,875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CFF0FC"/>
            </w:tcBorders>
            <w:gridSpan w:val="3"/>
            <w:shd w:val="clear" w:color="auto" w:fill="CFF0FC"/>
          </w:tcPr>
          <w:p>
            <w:pPr>
              <w:ind w:left="220"/>
              <w:spacing w:after="0" w:line="193" w:lineRule="exact"/>
              <w:rPr>
                <w:sz w:val="20"/>
                <w:szCs w:val="20"/>
                <w:color w:val="auto"/>
              </w:rPr>
            </w:pPr>
            <w:r>
              <w:rPr>
                <w:rFonts w:ascii="Calibri" w:cs="Calibri" w:eastAsia="Calibri" w:hAnsi="Calibri"/>
                <w:sz w:val="16"/>
                <w:szCs w:val="16"/>
                <w:i w:val="1"/>
                <w:iCs w:val="1"/>
                <w:color w:val="auto"/>
              </w:rPr>
              <w:t>Benefts</w:t>
            </w:r>
          </w:p>
        </w:tc>
        <w:tc>
          <w:tcPr>
            <w:tcW w:w="8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3"/>
          </w:tcPr>
          <w:p>
            <w:pPr>
              <w:ind w:left="460"/>
              <w:spacing w:after="0" w:line="193" w:lineRule="exact"/>
              <w:rPr>
                <w:sz w:val="20"/>
                <w:szCs w:val="20"/>
                <w:color w:val="auto"/>
              </w:rPr>
            </w:pPr>
            <w:r>
              <w:rPr>
                <w:rFonts w:ascii="Calibri" w:cs="Calibri" w:eastAsia="Calibri" w:hAnsi="Calibri"/>
                <w:sz w:val="16"/>
                <w:szCs w:val="16"/>
                <w:color w:val="auto"/>
              </w:rPr>
              <w:t>Salary Contnuaton Plan Payments(4)</w:t>
            </w:r>
          </w:p>
        </w:tc>
        <w:tc>
          <w:tcPr>
            <w:tcW w:w="88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1,019,700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CFF0FC"/>
            </w:tcBorders>
          </w:tcPr>
          <w:p>
            <w:pPr>
              <w:spacing w:after="0" w:line="20" w:lineRule="exact"/>
              <w:rPr>
                <w:sz w:val="1"/>
                <w:szCs w:val="1"/>
                <w:color w:val="auto"/>
              </w:rPr>
            </w:pPr>
          </w:p>
        </w:tc>
        <w:tc>
          <w:tcPr>
            <w:tcW w:w="1380" w:type="dxa"/>
            <w:vAlign w:val="bottom"/>
            <w:tcBorders>
              <w:bottom w:val="single" w:sz="8" w:color="CFF0FC"/>
            </w:tcBorders>
          </w:tcPr>
          <w:p>
            <w:pPr>
              <w:spacing w:after="0" w:line="20" w:lineRule="exact"/>
              <w:rPr>
                <w:sz w:val="1"/>
                <w:szCs w:val="1"/>
                <w:color w:val="auto"/>
              </w:rPr>
            </w:pPr>
          </w:p>
        </w:tc>
        <w:tc>
          <w:tcPr>
            <w:tcW w:w="292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4300" w:type="dxa"/>
            <w:vAlign w:val="bottom"/>
            <w:tcBorders>
              <w:bottom w:val="single" w:sz="8" w:color="CFF0FC"/>
            </w:tcBorders>
            <w:gridSpan w:val="2"/>
            <w:shd w:val="clear" w:color="auto" w:fill="CFF0FC"/>
          </w:tcPr>
          <w:p>
            <w:pPr>
              <w:ind w:left="480"/>
              <w:spacing w:after="0" w:line="182" w:lineRule="exact"/>
              <w:rPr>
                <w:sz w:val="20"/>
                <w:szCs w:val="20"/>
                <w:color w:val="auto"/>
              </w:rPr>
            </w:pPr>
            <w:r>
              <w:rPr>
                <w:rFonts w:ascii="Calibri" w:cs="Calibri" w:eastAsia="Calibri" w:hAnsi="Calibri"/>
                <w:sz w:val="16"/>
                <w:szCs w:val="16"/>
                <w:b w:val="1"/>
                <w:bCs w:val="1"/>
                <w:color w:val="auto"/>
              </w:rPr>
              <w:t>WENTZEL TOTAL</w:t>
            </w:r>
          </w:p>
        </w:tc>
        <w:tc>
          <w:tcPr>
            <w:tcW w:w="8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line="187" w:lineRule="exact"/>
              <w:rPr>
                <w:sz w:val="20"/>
                <w:szCs w:val="20"/>
                <w:color w:val="auto"/>
              </w:rPr>
            </w:pPr>
            <w:r>
              <w:rPr>
                <w:rFonts w:ascii="Calibri" w:cs="Calibri" w:eastAsia="Calibri" w:hAnsi="Calibri"/>
                <w:sz w:val="16"/>
                <w:szCs w:val="16"/>
                <w:color w:val="auto"/>
                <w:w w:val="96"/>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b w:val="1"/>
                <w:bCs w:val="1"/>
                <w:color w:val="auto"/>
              </w:rPr>
              <w:t>2,361,575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b w:val="1"/>
                <w:bCs w:val="1"/>
                <w:color w:val="auto"/>
              </w:rPr>
              <w:t>1,436,841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300" w:type="dxa"/>
            <w:vAlign w:val="bottom"/>
            <w:gridSpan w:val="2"/>
          </w:tcPr>
          <w:p>
            <w:pPr>
              <w:ind w:left="480"/>
              <w:spacing w:after="0" w:line="182" w:lineRule="exact"/>
              <w:rPr>
                <w:sz w:val="20"/>
                <w:szCs w:val="20"/>
                <w:color w:val="auto"/>
              </w:rPr>
            </w:pPr>
            <w:r>
              <w:rPr>
                <w:rFonts w:ascii="Calibri" w:cs="Calibri" w:eastAsia="Calibri" w:hAnsi="Calibri"/>
                <w:sz w:val="16"/>
                <w:szCs w:val="16"/>
                <w:b w:val="1"/>
                <w:bCs w:val="1"/>
                <w:color w:val="auto"/>
              </w:rPr>
              <w:t>AGGREGATE TOTAL FOR NAMED</w:t>
            </w: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gridSpan w:val="2"/>
          </w:tcPr>
          <w:p>
            <w:pPr>
              <w:ind w:left="580"/>
              <w:spacing w:after="0"/>
              <w:rPr>
                <w:sz w:val="20"/>
                <w:szCs w:val="20"/>
                <w:color w:val="auto"/>
              </w:rPr>
            </w:pPr>
            <w:r>
              <w:rPr>
                <w:rFonts w:ascii="Calibri" w:cs="Calibri" w:eastAsia="Calibri" w:hAnsi="Calibri"/>
                <w:sz w:val="16"/>
                <w:szCs w:val="16"/>
                <w:b w:val="1"/>
                <w:bCs w:val="1"/>
                <w:color w:val="auto"/>
              </w:rPr>
              <w:t>EXECUTIVE OFFICERS</w:t>
            </w:r>
          </w:p>
        </w:tc>
        <w:tc>
          <w:tcPr>
            <w:tcW w:w="88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b w:val="1"/>
                <w:bCs w:val="1"/>
                <w:color w:val="auto"/>
              </w:rPr>
              <w:t>19,503,296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alibri" w:cs="Calibri" w:eastAsia="Calibri" w:hAnsi="Calibri"/>
                <w:sz w:val="16"/>
                <w:szCs w:val="16"/>
                <w:b w:val="1"/>
                <w:bCs w:val="1"/>
                <w:color w:val="auto"/>
              </w:rPr>
              <w:t>36,235,920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462" w:right="359" w:bottom="1440" w:gutter="0" w:footer="0" w:header="0"/>
        </w:sectPr>
      </w:pPr>
    </w:p>
    <w:p>
      <w:pPr>
        <w:spacing w:after="0" w:line="102" w:lineRule="exact"/>
        <w:rPr>
          <w:sz w:val="20"/>
          <w:szCs w:val="20"/>
          <w:color w:val="auto"/>
        </w:rPr>
      </w:pPr>
    </w:p>
    <w:p>
      <w:pPr>
        <w:ind w:left="220" w:right="440" w:hanging="201"/>
        <w:spacing w:after="0" w:line="258" w:lineRule="auto"/>
        <w:rPr>
          <w:sz w:val="20"/>
          <w:szCs w:val="20"/>
          <w:color w:val="auto"/>
        </w:rPr>
      </w:pPr>
      <w:r>
        <w:rPr>
          <w:rFonts w:ascii="Calibri" w:cs="Calibri" w:eastAsia="Calibri" w:hAnsi="Calibri"/>
          <w:sz w:val="17"/>
          <w:szCs w:val="17"/>
          <w:color w:val="auto"/>
        </w:rPr>
        <w:t>(1)The defniton of “Change in Control” is described under “Change in Control Benefts” beginning on page 31 of this proxy statement.</w:t>
      </w:r>
    </w:p>
    <w:p>
      <w:pPr>
        <w:spacing w:after="0" w:line="94" w:lineRule="exact"/>
        <w:rPr>
          <w:sz w:val="20"/>
          <w:szCs w:val="20"/>
          <w:color w:val="auto"/>
        </w:rPr>
      </w:pPr>
    </w:p>
    <w:p>
      <w:pPr>
        <w:ind w:left="220" w:right="40" w:hanging="201"/>
        <w:spacing w:after="0" w:line="235" w:lineRule="auto"/>
        <w:rPr>
          <w:sz w:val="20"/>
          <w:szCs w:val="20"/>
          <w:color w:val="auto"/>
        </w:rPr>
      </w:pPr>
      <w:r>
        <w:rPr>
          <w:rFonts w:ascii="Calibri" w:cs="Calibri" w:eastAsia="Calibri" w:hAnsi="Calibri"/>
          <w:sz w:val="18"/>
          <w:szCs w:val="18"/>
          <w:color w:val="auto"/>
        </w:rPr>
        <w:t>(2)Represents the dollar value of the unexercisable stock optons that are accelerated because of a change in control based on the amount, if any, that the closing price of our Common Stock on March 31, 2022 ($128.36) exceeds the exercise price of the stock opton.</w:t>
      </w:r>
    </w:p>
    <w:p>
      <w:pPr>
        <w:spacing w:after="0" w:line="111" w:lineRule="exact"/>
        <w:rPr>
          <w:sz w:val="20"/>
          <w:szCs w:val="20"/>
          <w:color w:val="auto"/>
        </w:rPr>
      </w:pPr>
    </w:p>
    <w:p>
      <w:pPr>
        <w:ind w:left="220" w:right="140" w:hanging="201"/>
        <w:spacing w:after="0" w:line="254" w:lineRule="auto"/>
        <w:rPr>
          <w:sz w:val="20"/>
          <w:szCs w:val="20"/>
          <w:color w:val="auto"/>
        </w:rPr>
      </w:pPr>
      <w:r>
        <w:rPr>
          <w:rFonts w:ascii="Calibri" w:cs="Calibri" w:eastAsia="Calibri" w:hAnsi="Calibri"/>
          <w:sz w:val="17"/>
          <w:szCs w:val="17"/>
          <w:color w:val="auto"/>
        </w:rPr>
        <w:t>(3)Represents the dollar value of the restricted stock for which restrictons will lapse upon death, disability or a change in control based on the closing price of our Common Stock on March 31, 2022 ($128.36).</w:t>
      </w:r>
    </w:p>
    <w:p>
      <w:pPr>
        <w:spacing w:after="0" w:line="97" w:lineRule="exact"/>
        <w:rPr>
          <w:sz w:val="20"/>
          <w:szCs w:val="20"/>
          <w:color w:val="auto"/>
        </w:rPr>
      </w:pPr>
    </w:p>
    <w:p>
      <w:pPr>
        <w:ind w:left="220" w:right="20" w:hanging="201"/>
        <w:spacing w:after="0" w:line="235" w:lineRule="auto"/>
        <w:rPr>
          <w:sz w:val="20"/>
          <w:szCs w:val="20"/>
          <w:color w:val="auto"/>
        </w:rPr>
      </w:pPr>
      <w:r>
        <w:rPr>
          <w:rFonts w:ascii="Calibri" w:cs="Calibri" w:eastAsia="Calibri" w:hAnsi="Calibri"/>
          <w:sz w:val="18"/>
          <w:szCs w:val="18"/>
          <w:color w:val="auto"/>
        </w:rPr>
        <w:t>(4)Under the terms of our SCP, in the event of a Named Executve Ofcer’s death while employed by the Company, such Named Executve Ofcer’s benefciaries would receive the following payments, which would be paid from the proceeds of a life insurance policy purchased by the Company covering such Named Executve Ofcer (calculated based on fscal 2022 salaries):</w:t>
      </w:r>
    </w:p>
    <w:p>
      <w:pPr>
        <w:spacing w:after="0" w:line="113" w:lineRule="exact"/>
        <w:rPr>
          <w:sz w:val="20"/>
          <w:szCs w:val="20"/>
          <w:color w:val="auto"/>
        </w:rPr>
      </w:pPr>
    </w:p>
    <w:p>
      <w:pPr>
        <w:jc w:val="both"/>
        <w:ind w:left="340" w:hanging="161"/>
        <w:spacing w:after="0" w:line="235" w:lineRule="auto"/>
        <w:rPr>
          <w:sz w:val="20"/>
          <w:szCs w:val="20"/>
          <w:color w:val="auto"/>
        </w:rPr>
      </w:pPr>
      <w:r>
        <w:rPr>
          <w:rFonts w:ascii="Calibri" w:cs="Calibri" w:eastAsia="Calibri" w:hAnsi="Calibri"/>
          <w:sz w:val="18"/>
          <w:szCs w:val="18"/>
          <w:color w:val="auto"/>
        </w:rPr>
        <w:t>a. Haack – $900,000 over the year following death, plus $450,000 per year thereafer untl the benefciaries have received a total of $1,500,000 in payments.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20" w:right="40" w:hanging="161"/>
        <w:spacing w:after="0" w:line="235" w:lineRule="auto"/>
        <w:rPr>
          <w:sz w:val="20"/>
          <w:szCs w:val="20"/>
          <w:color w:val="auto"/>
        </w:rPr>
      </w:pPr>
      <w:r>
        <w:rPr>
          <w:rFonts w:ascii="Calibri" w:cs="Calibri" w:eastAsia="Calibri" w:hAnsi="Calibri"/>
          <w:sz w:val="18"/>
          <w:szCs w:val="18"/>
          <w:color w:val="auto"/>
        </w:rPr>
        <w:t>b. Kesler – $500,035 over the year following death, plus $250,018 per year thereafer untl the benefciaries have received a total of $1,500,000 in payments.</w:t>
      </w:r>
    </w:p>
    <w:p>
      <w:pPr>
        <w:spacing w:after="0" w:line="43" w:lineRule="exact"/>
        <w:rPr>
          <w:sz w:val="20"/>
          <w:szCs w:val="20"/>
          <w:color w:val="auto"/>
        </w:rPr>
      </w:pPr>
    </w:p>
    <w:p>
      <w:pPr>
        <w:ind w:left="120" w:hanging="161"/>
        <w:spacing w:after="0" w:line="235" w:lineRule="auto"/>
        <w:rPr>
          <w:sz w:val="20"/>
          <w:szCs w:val="20"/>
          <w:color w:val="auto"/>
        </w:rPr>
      </w:pPr>
      <w:r>
        <w:rPr>
          <w:rFonts w:ascii="Calibri" w:cs="Calibri" w:eastAsia="Calibri" w:hAnsi="Calibri"/>
          <w:sz w:val="18"/>
          <w:szCs w:val="18"/>
          <w:color w:val="auto"/>
        </w:rPr>
        <w:t>c. Graass – $451,000 over the year following death, plus $225,500 per year thereafer untl the year Mr. Graass would have reached 66.</w:t>
      </w:r>
    </w:p>
    <w:p>
      <w:pPr>
        <w:spacing w:after="0" w:line="42" w:lineRule="exact"/>
        <w:rPr>
          <w:sz w:val="20"/>
          <w:szCs w:val="20"/>
          <w:color w:val="auto"/>
        </w:rPr>
      </w:pPr>
    </w:p>
    <w:p>
      <w:pPr>
        <w:ind w:left="120" w:right="240" w:hanging="161"/>
        <w:spacing w:after="0" w:line="258" w:lineRule="auto"/>
        <w:rPr>
          <w:sz w:val="20"/>
          <w:szCs w:val="20"/>
          <w:color w:val="auto"/>
        </w:rPr>
      </w:pPr>
      <w:r>
        <w:rPr>
          <w:rFonts w:ascii="Calibri" w:cs="Calibri" w:eastAsia="Calibri" w:hAnsi="Calibri"/>
          <w:sz w:val="17"/>
          <w:szCs w:val="17"/>
          <w:color w:val="auto"/>
        </w:rPr>
        <w:t>d. Wentzel – $339,900 over the year following death, plus $169,950 per year thereafer untl the year Mr. Wentzel would have reached 66.</w:t>
      </w:r>
    </w:p>
    <w:p>
      <w:pPr>
        <w:spacing w:after="0" w:line="94" w:lineRule="exact"/>
        <w:rPr>
          <w:sz w:val="20"/>
          <w:szCs w:val="20"/>
          <w:color w:val="auto"/>
        </w:rPr>
      </w:pPr>
    </w:p>
    <w:p>
      <w:pPr>
        <w:ind w:right="220" w:hanging="202"/>
        <w:spacing w:after="0" w:line="235" w:lineRule="auto"/>
        <w:rPr>
          <w:sz w:val="20"/>
          <w:szCs w:val="20"/>
          <w:color w:val="auto"/>
        </w:rPr>
      </w:pPr>
      <w:r>
        <w:rPr>
          <w:rFonts w:ascii="Calibri" w:cs="Calibri" w:eastAsia="Calibri" w:hAnsi="Calibri"/>
          <w:sz w:val="18"/>
          <w:szCs w:val="18"/>
          <w:color w:val="auto"/>
        </w:rPr>
        <w:t>(5)See the “Change in Control Contnuity Agreements” secton above for a descripton of the components of these potental payments.</w:t>
      </w:r>
    </w:p>
    <w:p>
      <w:pPr>
        <w:spacing w:after="0" w:line="110" w:lineRule="exact"/>
        <w:rPr>
          <w:sz w:val="20"/>
          <w:szCs w:val="20"/>
          <w:color w:val="auto"/>
        </w:rPr>
      </w:pPr>
    </w:p>
    <w:p>
      <w:pPr>
        <w:ind w:right="280" w:hanging="202"/>
        <w:spacing w:after="0" w:line="258" w:lineRule="auto"/>
        <w:rPr>
          <w:sz w:val="20"/>
          <w:szCs w:val="20"/>
          <w:color w:val="auto"/>
        </w:rPr>
      </w:pPr>
      <w:r>
        <w:rPr>
          <w:rFonts w:ascii="Calibri" w:cs="Calibri" w:eastAsia="Calibri" w:hAnsi="Calibri"/>
          <w:sz w:val="17"/>
          <w:szCs w:val="17"/>
          <w:color w:val="auto"/>
        </w:rPr>
        <w:t>(6)The restrictons lapsed on Mr. Graass’s outstanding restricted shares in connecton with his retrement from the Company on June 3, 2022.</w:t>
      </w:r>
    </w:p>
    <w:p>
      <w:pPr>
        <w:spacing w:after="0" w:line="1789" w:lineRule="exact"/>
        <w:rPr>
          <w:sz w:val="20"/>
          <w:szCs w:val="20"/>
          <w:color w:val="auto"/>
        </w:rPr>
      </w:pPr>
    </w:p>
    <w:p>
      <w:pPr>
        <w:sectPr>
          <w:pgSz w:w="11900" w:h="16838" w:orient="portrait"/>
          <w:cols w:equalWidth="0" w:num="2">
            <w:col w:w="5440" w:space="500"/>
            <w:col w:w="5280"/>
          </w:cols>
          <w:pgMar w:left="320" w:top="462" w:right="359" w:bottom="1440" w:gutter="0" w:footer="0" w:header="0"/>
          <w:type w:val="continuous"/>
        </w:sectPr>
      </w:pPr>
    </w:p>
    <w:p>
      <w:pPr>
        <w:spacing w:after="0" w:line="115"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type w:val="continuous"/>
        </w:sectPr>
      </w:pPr>
    </w:p>
    <w:bookmarkStart w:id="48" w:name="page49"/>
    <w:bookmarkEnd w:id="48"/>
    <w:p>
      <w:pPr>
        <w:jc w:val="center"/>
        <w:ind w:right="-39"/>
        <w:spacing w:after="0"/>
        <w:rPr>
          <w:sz w:val="20"/>
          <w:szCs w:val="20"/>
          <w:color w:val="auto"/>
        </w:rPr>
      </w:pPr>
      <w:r>
        <w:rPr>
          <w:rFonts w:ascii="Calibri" w:cs="Calibri" w:eastAsia="Calibri" w:hAnsi="Calibri"/>
          <w:sz w:val="24"/>
          <w:szCs w:val="24"/>
          <w:b w:val="1"/>
          <w:bCs w:val="1"/>
          <w:color w:val="4472C4"/>
        </w:rPr>
        <w:t>CEO PAY RATIO</w:t>
      </w:r>
    </w:p>
    <w:p>
      <w:pPr>
        <w:sectPr>
          <w:pgSz w:w="11900" w:h="16838" w:orient="portrait"/>
          <w:cols w:equalWidth="0" w:num="1">
            <w:col w:w="11220"/>
          </w:cols>
          <w:pgMar w:left="320" w:top="346" w:right="3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right="60"/>
        <w:spacing w:after="0" w:line="250" w:lineRule="auto"/>
        <w:rPr>
          <w:sz w:val="20"/>
          <w:szCs w:val="20"/>
          <w:color w:val="auto"/>
        </w:rPr>
      </w:pPr>
      <w:r>
        <w:rPr>
          <w:rFonts w:ascii="Calibri" w:cs="Calibri" w:eastAsia="Calibri" w:hAnsi="Calibri"/>
          <w:sz w:val="17"/>
          <w:szCs w:val="17"/>
          <w:color w:val="auto"/>
        </w:rPr>
        <w:t>Pursuant to a mandate of the Dodd-Frank Wall Street Reform and Consumer Protecton Act, the Securites and Exchange Commission (the “SEC”) has adopted Item 402(u) of Regulaton S-K requiring annual disclosure of a reasonable estmate of the rato of the total annual compensaton of our chief executve ofcer to the total annual compensaton of the employee of the Company or one of its subsidiaries who is determined to have the median compensaton of all employees of the Company and its subsidiaries, collectvely (excluding the CEO). The rule also requires annual disclosure of such median employee’s total compensaton for the applicable fscal year and the CEO’s total compensaton for the applicable fscal year, in each case as determined in accordance with the rules governing the presentaton of total compensaton of the named executve ofcers in the Summary Compensaton Table presented on page 34 of this proxy statement. Our CEO is Mr. Haack.</w:t>
      </w:r>
    </w:p>
    <w:p>
      <w:pPr>
        <w:spacing w:after="0" w:line="200" w:lineRule="exact"/>
        <w:rPr>
          <w:sz w:val="20"/>
          <w:szCs w:val="20"/>
          <w:color w:val="auto"/>
        </w:rPr>
      </w:pPr>
    </w:p>
    <w:p>
      <w:pPr>
        <w:spacing w:after="0" w:line="23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To identfy the median-compensated employee for fscal 2022, we examined the total gross compensaton data for calendar year 2021. Based on this data, we determined the median-compensated employee. We then calculated such employee’s total fscal 2022 compensaton in accordance with the rules governing the presentaton of the total compensaton of the named executve ofcers in the Summary Compensaton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Based on this methodology, the fscal 2022 total annual compensaton for the median-compensated employee was $77,321. As reported on page 34 of this proxy statement, the fscal 2022 total annual compensaton of our CEO, Mr. Haack, was $6,635,750. The rato of the CEO’s total compensaton to the median-compensated employee’s total compensaton of approximately 86:1.</w:t>
      </w:r>
    </w:p>
    <w:p>
      <w:pPr>
        <w:spacing w:after="0" w:line="21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This pay rato is a reasonable estmate calculated in a manner consistent with SEC rules based on our payroll and employment records and the methodology described above</w:t>
      </w:r>
    </w:p>
    <w:p>
      <w:pPr>
        <w:spacing w:after="0" w:line="2573" w:lineRule="exact"/>
        <w:rPr>
          <w:sz w:val="20"/>
          <w:szCs w:val="20"/>
          <w:color w:val="auto"/>
        </w:rPr>
      </w:pPr>
    </w:p>
    <w:p>
      <w:pPr>
        <w:sectPr>
          <w:pgSz w:w="11900" w:h="16838" w:orient="portrait"/>
          <w:cols w:equalWidth="0" w:num="2">
            <w:col w:w="5500" w:space="240"/>
            <w:col w:w="5480"/>
          </w:cols>
          <w:pgMar w:left="320" w:top="346" w:right="359" w:bottom="1440" w:gutter="0" w:footer="0" w:header="0"/>
          <w:type w:val="continuous"/>
        </w:sectPr>
      </w:pPr>
    </w:p>
    <w:p>
      <w:pPr>
        <w:spacing w:after="0" w:line="212"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type w:val="continuous"/>
        </w:sectPr>
      </w:pPr>
    </w:p>
    <w:bookmarkStart w:id="49" w:name="page50"/>
    <w:bookmarkEnd w:id="49"/>
    <w:p>
      <w:pPr>
        <w:jc w:val="center"/>
        <w:ind w:right="20"/>
        <w:spacing w:after="0"/>
        <w:rPr>
          <w:sz w:val="20"/>
          <w:szCs w:val="20"/>
          <w:color w:val="auto"/>
        </w:rPr>
      </w:pPr>
      <w:r>
        <w:rPr>
          <w:rFonts w:ascii="Calibri" w:cs="Calibri" w:eastAsia="Calibri" w:hAnsi="Calibri"/>
          <w:sz w:val="25"/>
          <w:szCs w:val="25"/>
          <w:b w:val="1"/>
          <w:bCs w:val="1"/>
          <w:color w:val="4472C4"/>
        </w:rPr>
        <w:t>STOCK OWNERSHIP</w:t>
      </w:r>
    </w:p>
    <w:p>
      <w:pPr>
        <w:sectPr>
          <w:pgSz w:w="11900" w:h="16838" w:orient="portrait"/>
          <w:cols w:equalWidth="0" w:num="1">
            <w:col w:w="11260"/>
          </w:cols>
          <w:pgMar w:left="320" w:top="342" w:right="319" w:bottom="1440" w:gutter="0" w:footer="0" w:header="0"/>
        </w:sectPr>
      </w:pP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w:t>
      </w:r>
    </w:p>
    <w:p>
      <w:pPr>
        <w:spacing w:after="0" w:line="123" w:lineRule="exact"/>
        <w:rPr>
          <w:sz w:val="20"/>
          <w:szCs w:val="20"/>
          <w:color w:val="auto"/>
        </w:rPr>
      </w:pPr>
    </w:p>
    <w:p>
      <w:pPr>
        <w:ind w:firstLine="191"/>
        <w:spacing w:after="0" w:line="235" w:lineRule="auto"/>
        <w:rPr>
          <w:sz w:val="20"/>
          <w:szCs w:val="20"/>
          <w:color w:val="auto"/>
        </w:rPr>
      </w:pPr>
      <w:r>
        <w:rPr>
          <w:rFonts w:ascii="Calibri" w:cs="Calibri" w:eastAsia="Calibri" w:hAnsi="Calibri"/>
          <w:sz w:val="18"/>
          <w:szCs w:val="18"/>
          <w:color w:val="auto"/>
        </w:rPr>
        <w:t>We encourage stock ownership by our directors, ofcers and employees to align their interests with your interests as stockholders. The following table shows the benefcial ownership of our Common Stock, as of the record date for the annual meetng</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right="240"/>
        <w:spacing w:after="0" w:line="251" w:lineRule="auto"/>
        <w:rPr>
          <w:sz w:val="20"/>
          <w:szCs w:val="20"/>
          <w:color w:val="auto"/>
        </w:rPr>
      </w:pPr>
      <w:r>
        <w:rPr>
          <w:rFonts w:ascii="Calibri" w:cs="Calibri" w:eastAsia="Calibri" w:hAnsi="Calibri"/>
          <w:sz w:val="17"/>
          <w:szCs w:val="17"/>
          <w:color w:val="auto"/>
        </w:rPr>
        <w:t>(June 8, 2022) by: (a) each person who has been a director or executve ofcer of the Company since April 1, 2021 and (b) by all such directors and executve ofcers of the Company as a group (18 persons). Except as otherwise indicated, all shares are owned directly, and the owner of such shares has the sole votng and investment power with respect thereto.</w:t>
      </w:r>
    </w:p>
    <w:p>
      <w:pPr>
        <w:spacing w:after="0" w:line="204" w:lineRule="exact"/>
        <w:rPr>
          <w:sz w:val="20"/>
          <w:szCs w:val="20"/>
          <w:color w:val="auto"/>
        </w:rPr>
      </w:pPr>
    </w:p>
    <w:p>
      <w:pPr>
        <w:sectPr>
          <w:pgSz w:w="11900" w:h="16838" w:orient="portrait"/>
          <w:cols w:equalWidth="0" w:num="2">
            <w:col w:w="5500" w:space="240"/>
            <w:col w:w="5520"/>
          </w:cols>
          <w:pgMar w:left="320" w:top="342" w:right="319" w:bottom="1440" w:gutter="0" w:footer="0" w:header="0"/>
          <w:type w:val="continuous"/>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60" w:type="dxa"/>
            <w:vAlign w:val="bottom"/>
            <w:gridSpan w:val="4"/>
          </w:tcPr>
          <w:p>
            <w:pPr>
              <w:ind w:left="300"/>
              <w:spacing w:after="0"/>
              <w:rPr>
                <w:sz w:val="20"/>
                <w:szCs w:val="20"/>
                <w:color w:val="auto"/>
              </w:rPr>
            </w:pPr>
            <w:r>
              <w:rPr>
                <w:rFonts w:ascii="Calibri" w:cs="Calibri" w:eastAsia="Calibri" w:hAnsi="Calibri"/>
                <w:sz w:val="18"/>
                <w:szCs w:val="18"/>
                <w:b w:val="1"/>
                <w:bCs w:val="1"/>
                <w:color w:val="auto"/>
              </w:rPr>
              <w:t>Amount and Nature of Benefcial Ownership (1)</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40"/>
        </w:trPr>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80" w:type="dxa"/>
            <w:vAlign w:val="bottom"/>
            <w:gridSpan w:val="4"/>
          </w:tcPr>
          <w:p>
            <w:pPr>
              <w:jc w:val="center"/>
              <w:ind w:right="200"/>
              <w:spacing w:after="0"/>
              <w:rPr>
                <w:sz w:val="20"/>
                <w:szCs w:val="20"/>
                <w:color w:val="auto"/>
              </w:rPr>
            </w:pPr>
            <w:r>
              <w:rPr>
                <w:rFonts w:ascii="Calibri" w:cs="Calibri" w:eastAsia="Calibri" w:hAnsi="Calibri"/>
                <w:sz w:val="18"/>
                <w:szCs w:val="18"/>
                <w:b w:val="1"/>
                <w:bCs w:val="1"/>
                <w:color w:val="auto"/>
                <w:w w:val="96"/>
              </w:rPr>
              <w:t>Number of</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440"/>
              <w:spacing w:after="0" w:line="216" w:lineRule="exact"/>
              <w:rPr>
                <w:sz w:val="20"/>
                <w:szCs w:val="20"/>
                <w:color w:val="auto"/>
              </w:rPr>
            </w:pPr>
            <w:r>
              <w:rPr>
                <w:rFonts w:ascii="Calibri" w:cs="Calibri" w:eastAsia="Calibri" w:hAnsi="Calibri"/>
                <w:sz w:val="18"/>
                <w:szCs w:val="18"/>
                <w:b w:val="1"/>
                <w:bCs w:val="1"/>
                <w:color w:val="auto"/>
              </w:rPr>
              <w:t>Shares</w:t>
            </w:r>
          </w:p>
        </w:tc>
        <w:tc>
          <w:tcPr>
            <w:tcW w:w="1240" w:type="dxa"/>
            <w:vAlign w:val="bottom"/>
            <w:gridSpan w:val="2"/>
          </w:tcPr>
          <w:p>
            <w:pPr>
              <w:jc w:val="center"/>
              <w:ind w:right="160"/>
              <w:spacing w:after="0" w:line="216" w:lineRule="exact"/>
              <w:rPr>
                <w:sz w:val="20"/>
                <w:szCs w:val="20"/>
                <w:color w:val="auto"/>
              </w:rPr>
            </w:pPr>
            <w:r>
              <w:rPr>
                <w:rFonts w:ascii="Calibri" w:cs="Calibri" w:eastAsia="Calibri" w:hAnsi="Calibri"/>
                <w:sz w:val="18"/>
                <w:szCs w:val="18"/>
                <w:b w:val="1"/>
                <w:bCs w:val="1"/>
                <w:color w:val="auto"/>
                <w:w w:val="95"/>
              </w:rPr>
              <w:t>Percentage</w:t>
            </w:r>
          </w:p>
        </w:tc>
        <w:tc>
          <w:tcPr>
            <w:tcW w:w="17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gridSpan w:val="4"/>
          </w:tcPr>
          <w:p>
            <w:pPr>
              <w:jc w:val="center"/>
              <w:ind w:right="220"/>
              <w:spacing w:after="0" w:line="216" w:lineRule="exact"/>
              <w:rPr>
                <w:sz w:val="20"/>
                <w:szCs w:val="20"/>
                <w:color w:val="auto"/>
              </w:rPr>
            </w:pPr>
            <w:r>
              <w:rPr>
                <w:rFonts w:ascii="Calibri" w:cs="Calibri" w:eastAsia="Calibri" w:hAnsi="Calibri"/>
                <w:sz w:val="18"/>
                <w:szCs w:val="18"/>
                <w:b w:val="1"/>
                <w:bCs w:val="1"/>
                <w:color w:val="auto"/>
              </w:rPr>
              <w:t>Benefcially</w:t>
            </w:r>
          </w:p>
        </w:tc>
        <w:tc>
          <w:tcPr>
            <w:tcW w:w="1240" w:type="dxa"/>
            <w:vAlign w:val="bottom"/>
            <w:gridSpan w:val="2"/>
          </w:tcPr>
          <w:p>
            <w:pPr>
              <w:jc w:val="center"/>
              <w:ind w:right="160"/>
              <w:spacing w:after="0" w:line="216" w:lineRule="exact"/>
              <w:rPr>
                <w:sz w:val="20"/>
                <w:szCs w:val="20"/>
                <w:color w:val="auto"/>
              </w:rPr>
            </w:pPr>
            <w:r>
              <w:rPr>
                <w:rFonts w:ascii="Calibri" w:cs="Calibri" w:eastAsia="Calibri" w:hAnsi="Calibri"/>
                <w:sz w:val="18"/>
                <w:szCs w:val="18"/>
                <w:b w:val="1"/>
                <w:bCs w:val="1"/>
                <w:color w:val="auto"/>
                <w:w w:val="96"/>
              </w:rPr>
              <w:t>of Common</w:t>
            </w:r>
          </w:p>
        </w:tc>
        <w:tc>
          <w:tcPr>
            <w:tcW w:w="17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gridSpan w:val="4"/>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9"/>
              </w:rPr>
              <w:t>Owned(2)</w:t>
            </w:r>
          </w:p>
        </w:tc>
        <w:tc>
          <w:tcPr>
            <w:tcW w:w="1240" w:type="dxa"/>
            <w:vAlign w:val="bottom"/>
            <w:gridSpan w:val="2"/>
          </w:tcPr>
          <w:p>
            <w:pPr>
              <w:jc w:val="center"/>
              <w:ind w:right="160"/>
              <w:spacing w:after="0" w:line="216" w:lineRule="exact"/>
              <w:rPr>
                <w:sz w:val="20"/>
                <w:szCs w:val="20"/>
                <w:color w:val="auto"/>
              </w:rPr>
            </w:pPr>
            <w:r>
              <w:rPr>
                <w:rFonts w:ascii="Calibri" w:cs="Calibri" w:eastAsia="Calibri" w:hAnsi="Calibri"/>
                <w:sz w:val="18"/>
                <w:szCs w:val="18"/>
                <w:b w:val="1"/>
                <w:bCs w:val="1"/>
                <w:color w:val="auto"/>
                <w:w w:val="98"/>
              </w:rPr>
              <w:t>Stock</w:t>
            </w:r>
          </w:p>
        </w:tc>
        <w:tc>
          <w:tcPr>
            <w:tcW w:w="1700" w:type="dxa"/>
            <w:vAlign w:val="bottom"/>
          </w:tcPr>
          <w:p>
            <w:pPr>
              <w:spacing w:after="0"/>
              <w:rPr>
                <w:sz w:val="18"/>
                <w:szCs w:val="18"/>
                <w:color w:val="auto"/>
              </w:rPr>
            </w:pPr>
          </w:p>
        </w:tc>
      </w:tr>
      <w:tr>
        <w:trPr>
          <w:trHeight w:val="23"/>
        </w:trPr>
        <w:tc>
          <w:tcPr>
            <w:tcW w:w="3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3"/>
        </w:trPr>
        <w:tc>
          <w:tcPr>
            <w:tcW w:w="1700" w:type="dxa"/>
            <w:vAlign w:val="bottom"/>
          </w:tcPr>
          <w:p>
            <w:pPr>
              <w:spacing w:after="0"/>
              <w:rPr>
                <w:sz w:val="19"/>
                <w:szCs w:val="19"/>
                <w:color w:val="auto"/>
              </w:rPr>
            </w:pPr>
          </w:p>
        </w:tc>
        <w:tc>
          <w:tcPr>
            <w:tcW w:w="5440" w:type="dxa"/>
            <w:vAlign w:val="bottom"/>
            <w:tcBorders>
              <w:top w:val="single" w:sz="8" w:color="CFF0FC"/>
            </w:tcBorders>
            <w:gridSpan w:val="3"/>
            <w:shd w:val="clear" w:color="auto" w:fill="CFF0FC"/>
          </w:tcPr>
          <w:p>
            <w:pPr>
              <w:spacing w:after="0" w:line="199" w:lineRule="exact"/>
              <w:rPr>
                <w:sz w:val="20"/>
                <w:szCs w:val="20"/>
                <w:color w:val="auto"/>
              </w:rPr>
            </w:pPr>
            <w:r>
              <w:rPr>
                <w:rFonts w:ascii="Calibri" w:cs="Calibri" w:eastAsia="Calibri" w:hAnsi="Calibri"/>
                <w:sz w:val="18"/>
                <w:szCs w:val="18"/>
                <w:color w:val="auto"/>
              </w:rPr>
              <w:t>F. William Barnet</w:t>
            </w: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15,671</w:t>
            </w:r>
          </w:p>
        </w:tc>
        <w:tc>
          <w:tcPr>
            <w:tcW w:w="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680" w:type="dxa"/>
            <w:vAlign w:val="bottom"/>
            <w:gridSpan w:val="5"/>
          </w:tcPr>
          <w:p>
            <w:pPr>
              <w:spacing w:after="0" w:line="215" w:lineRule="exact"/>
              <w:rPr>
                <w:sz w:val="20"/>
                <w:szCs w:val="20"/>
                <w:color w:val="auto"/>
              </w:rPr>
            </w:pPr>
            <w:r>
              <w:rPr>
                <w:rFonts w:ascii="Calibri" w:cs="Calibri" w:eastAsia="Calibri" w:hAnsi="Calibri"/>
                <w:sz w:val="18"/>
                <w:szCs w:val="18"/>
                <w:color w:val="auto"/>
              </w:rPr>
              <w:t>Richard Beckwit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19,254</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5680" w:type="dxa"/>
            <w:vAlign w:val="bottom"/>
            <w:gridSpan w:val="5"/>
            <w:shd w:val="clear" w:color="auto" w:fill="CFF0FC"/>
          </w:tcPr>
          <w:p>
            <w:pPr>
              <w:spacing w:after="0"/>
              <w:rPr>
                <w:sz w:val="20"/>
                <w:szCs w:val="20"/>
                <w:color w:val="auto"/>
              </w:rPr>
            </w:pPr>
            <w:r>
              <w:rPr>
                <w:rFonts w:ascii="Calibri" w:cs="Calibri" w:eastAsia="Calibri" w:hAnsi="Calibri"/>
                <w:sz w:val="18"/>
                <w:szCs w:val="18"/>
                <w:color w:val="auto"/>
              </w:rPr>
              <w:t>Ed H. Bowman</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12,313</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1"/>
                <w:szCs w:val="21"/>
                <w:color w:val="auto"/>
              </w:rPr>
            </w:pPr>
          </w:p>
        </w:tc>
        <w:tc>
          <w:tcPr>
            <w:tcW w:w="170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5680" w:type="dxa"/>
            <w:vAlign w:val="bottom"/>
            <w:gridSpan w:val="5"/>
          </w:tcPr>
          <w:p>
            <w:pPr>
              <w:spacing w:after="0" w:line="215" w:lineRule="exact"/>
              <w:rPr>
                <w:sz w:val="20"/>
                <w:szCs w:val="20"/>
                <w:color w:val="auto"/>
              </w:rPr>
            </w:pPr>
            <w:r>
              <w:rPr>
                <w:rFonts w:ascii="Calibri" w:cs="Calibri" w:eastAsia="Calibri" w:hAnsi="Calibri"/>
                <w:sz w:val="18"/>
                <w:szCs w:val="18"/>
                <w:color w:val="auto"/>
              </w:rPr>
              <w:t>Margot L. Carter</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7,185</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5680" w:type="dxa"/>
            <w:vAlign w:val="bottom"/>
            <w:gridSpan w:val="5"/>
            <w:shd w:val="clear" w:color="auto" w:fill="CFF0FC"/>
          </w:tcPr>
          <w:p>
            <w:pPr>
              <w:spacing w:after="0"/>
              <w:rPr>
                <w:sz w:val="20"/>
                <w:szCs w:val="20"/>
                <w:color w:val="auto"/>
              </w:rPr>
            </w:pPr>
            <w:r>
              <w:rPr>
                <w:rFonts w:ascii="Calibri" w:cs="Calibri" w:eastAsia="Calibri" w:hAnsi="Calibri"/>
                <w:sz w:val="18"/>
                <w:szCs w:val="18"/>
                <w:color w:val="auto"/>
              </w:rPr>
              <w:t>George J. Damiris</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8,346</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1"/>
                <w:szCs w:val="21"/>
                <w:color w:val="auto"/>
              </w:rPr>
            </w:pPr>
          </w:p>
        </w:tc>
        <w:tc>
          <w:tcPr>
            <w:tcW w:w="170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5680" w:type="dxa"/>
            <w:vAlign w:val="bottom"/>
            <w:gridSpan w:val="5"/>
          </w:tcPr>
          <w:p>
            <w:pPr>
              <w:spacing w:after="0" w:line="215" w:lineRule="exact"/>
              <w:rPr>
                <w:sz w:val="20"/>
                <w:szCs w:val="20"/>
                <w:color w:val="auto"/>
              </w:rPr>
            </w:pPr>
            <w:r>
              <w:rPr>
                <w:rFonts w:ascii="Calibri" w:cs="Calibri" w:eastAsia="Calibri" w:hAnsi="Calibri"/>
                <w:sz w:val="18"/>
                <w:szCs w:val="18"/>
                <w:color w:val="auto"/>
              </w:rPr>
              <w:t>William R. Devlin</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40,120</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5680" w:type="dxa"/>
            <w:vAlign w:val="bottom"/>
            <w:gridSpan w:val="5"/>
            <w:shd w:val="clear" w:color="auto" w:fill="CFF0FC"/>
          </w:tcPr>
          <w:p>
            <w:pPr>
              <w:spacing w:after="0"/>
              <w:rPr>
                <w:sz w:val="20"/>
                <w:szCs w:val="20"/>
                <w:color w:val="auto"/>
              </w:rPr>
            </w:pPr>
            <w:r>
              <w:rPr>
                <w:rFonts w:ascii="Calibri" w:cs="Calibri" w:eastAsia="Calibri" w:hAnsi="Calibri"/>
                <w:sz w:val="18"/>
                <w:szCs w:val="18"/>
                <w:color w:val="auto"/>
              </w:rPr>
              <w:t>Martn M. Ellen</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8,716</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1"/>
                <w:szCs w:val="21"/>
                <w:color w:val="auto"/>
              </w:rPr>
            </w:pPr>
          </w:p>
        </w:tc>
        <w:tc>
          <w:tcPr>
            <w:tcW w:w="170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5680" w:type="dxa"/>
            <w:vAlign w:val="bottom"/>
            <w:gridSpan w:val="5"/>
          </w:tcPr>
          <w:p>
            <w:pPr>
              <w:spacing w:after="0" w:line="215" w:lineRule="exact"/>
              <w:rPr>
                <w:sz w:val="20"/>
                <w:szCs w:val="20"/>
                <w:color w:val="auto"/>
              </w:rPr>
            </w:pPr>
            <w:r>
              <w:rPr>
                <w:rFonts w:ascii="Calibri" w:cs="Calibri" w:eastAsia="Calibri" w:hAnsi="Calibri"/>
                <w:sz w:val="18"/>
                <w:szCs w:val="18"/>
                <w:color w:val="auto"/>
              </w:rPr>
              <w:t>James H. Graass(3)</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15,959</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5680" w:type="dxa"/>
            <w:vAlign w:val="bottom"/>
            <w:gridSpan w:val="5"/>
            <w:shd w:val="clear" w:color="auto" w:fill="CFF0FC"/>
          </w:tcPr>
          <w:p>
            <w:pPr>
              <w:spacing w:after="0"/>
              <w:rPr>
                <w:sz w:val="20"/>
                <w:szCs w:val="20"/>
                <w:color w:val="auto"/>
              </w:rPr>
            </w:pPr>
            <w:r>
              <w:rPr>
                <w:rFonts w:ascii="Calibri" w:cs="Calibri" w:eastAsia="Calibri" w:hAnsi="Calibri"/>
                <w:sz w:val="18"/>
                <w:szCs w:val="18"/>
                <w:color w:val="auto"/>
              </w:rPr>
              <w:t>Mauro Gregorio</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1,301</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1"/>
                <w:szCs w:val="21"/>
                <w:color w:val="auto"/>
              </w:rPr>
            </w:pPr>
          </w:p>
        </w:tc>
        <w:tc>
          <w:tcPr>
            <w:tcW w:w="170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5680" w:type="dxa"/>
            <w:vAlign w:val="bottom"/>
            <w:gridSpan w:val="5"/>
          </w:tcPr>
          <w:p>
            <w:pPr>
              <w:spacing w:after="0" w:line="215" w:lineRule="exact"/>
              <w:rPr>
                <w:sz w:val="20"/>
                <w:szCs w:val="20"/>
                <w:color w:val="auto"/>
              </w:rPr>
            </w:pPr>
            <w:r>
              <w:rPr>
                <w:rFonts w:ascii="Calibri" w:cs="Calibri" w:eastAsia="Calibri" w:hAnsi="Calibri"/>
                <w:sz w:val="18"/>
                <w:szCs w:val="18"/>
                <w:color w:val="auto"/>
              </w:rPr>
              <w:t>Michael R. Haack</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177,132</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5680" w:type="dxa"/>
            <w:vAlign w:val="bottom"/>
            <w:gridSpan w:val="5"/>
            <w:shd w:val="clear" w:color="auto" w:fill="CFF0FC"/>
          </w:tcPr>
          <w:p>
            <w:pPr>
              <w:spacing w:after="0"/>
              <w:rPr>
                <w:sz w:val="20"/>
                <w:szCs w:val="20"/>
                <w:color w:val="auto"/>
              </w:rPr>
            </w:pPr>
            <w:r>
              <w:rPr>
                <w:rFonts w:ascii="Calibri" w:cs="Calibri" w:eastAsia="Calibri" w:hAnsi="Calibri"/>
                <w:sz w:val="18"/>
                <w:szCs w:val="18"/>
                <w:color w:val="auto"/>
              </w:rPr>
              <w:t>D. Craig Kesler(4)</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110,606</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1"/>
                <w:szCs w:val="21"/>
                <w:color w:val="auto"/>
              </w:rPr>
            </w:pPr>
          </w:p>
        </w:tc>
        <w:tc>
          <w:tcPr>
            <w:tcW w:w="170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5680" w:type="dxa"/>
            <w:vAlign w:val="bottom"/>
            <w:gridSpan w:val="5"/>
          </w:tcPr>
          <w:p>
            <w:pPr>
              <w:spacing w:after="0" w:line="215" w:lineRule="exact"/>
              <w:rPr>
                <w:sz w:val="20"/>
                <w:szCs w:val="20"/>
                <w:color w:val="auto"/>
              </w:rPr>
            </w:pPr>
            <w:r>
              <w:rPr>
                <w:rFonts w:ascii="Calibri" w:cs="Calibri" w:eastAsia="Calibri" w:hAnsi="Calibri"/>
                <w:sz w:val="18"/>
                <w:szCs w:val="18"/>
                <w:color w:val="auto"/>
              </w:rPr>
              <w:t>Mat Newby</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42,027</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5680" w:type="dxa"/>
            <w:vAlign w:val="bottom"/>
            <w:gridSpan w:val="5"/>
            <w:shd w:val="clear" w:color="auto" w:fill="CFF0FC"/>
          </w:tcPr>
          <w:p>
            <w:pPr>
              <w:spacing w:after="0"/>
              <w:rPr>
                <w:sz w:val="20"/>
                <w:szCs w:val="20"/>
                <w:color w:val="auto"/>
              </w:rPr>
            </w:pPr>
            <w:r>
              <w:rPr>
                <w:rFonts w:ascii="Calibri" w:cs="Calibri" w:eastAsia="Calibri" w:hAnsi="Calibri"/>
                <w:sz w:val="18"/>
                <w:szCs w:val="18"/>
                <w:color w:val="auto"/>
              </w:rPr>
              <w:t>Michael R. Nicolais(5)</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63,474</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1"/>
                <w:szCs w:val="21"/>
                <w:color w:val="auto"/>
              </w:rPr>
            </w:pPr>
          </w:p>
        </w:tc>
        <w:tc>
          <w:tcPr>
            <w:tcW w:w="170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5680" w:type="dxa"/>
            <w:vAlign w:val="bottom"/>
            <w:gridSpan w:val="5"/>
          </w:tcPr>
          <w:p>
            <w:pPr>
              <w:spacing w:after="0" w:line="215" w:lineRule="exact"/>
              <w:rPr>
                <w:sz w:val="20"/>
                <w:szCs w:val="20"/>
                <w:color w:val="auto"/>
              </w:rPr>
            </w:pPr>
            <w:r>
              <w:rPr>
                <w:rFonts w:ascii="Calibri" w:cs="Calibri" w:eastAsia="Calibri" w:hAnsi="Calibri"/>
                <w:sz w:val="18"/>
                <w:szCs w:val="18"/>
                <w:color w:val="auto"/>
              </w:rPr>
              <w:t>David B. Powers(6)</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30,972</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5680" w:type="dxa"/>
            <w:vAlign w:val="bottom"/>
            <w:gridSpan w:val="5"/>
            <w:shd w:val="clear" w:color="auto" w:fill="CFF0FC"/>
          </w:tcPr>
          <w:p>
            <w:pPr>
              <w:spacing w:after="0"/>
              <w:rPr>
                <w:sz w:val="20"/>
                <w:szCs w:val="20"/>
                <w:color w:val="auto"/>
              </w:rPr>
            </w:pPr>
            <w:r>
              <w:rPr>
                <w:rFonts w:ascii="Calibri" w:cs="Calibri" w:eastAsia="Calibri" w:hAnsi="Calibri"/>
                <w:sz w:val="18"/>
                <w:szCs w:val="18"/>
                <w:color w:val="auto"/>
              </w:rPr>
              <w:t>Mary P. Ricciardello</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8,557</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1"/>
                <w:szCs w:val="21"/>
                <w:color w:val="auto"/>
              </w:rPr>
            </w:pPr>
          </w:p>
        </w:tc>
        <w:tc>
          <w:tcPr>
            <w:tcW w:w="170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5680" w:type="dxa"/>
            <w:vAlign w:val="bottom"/>
            <w:gridSpan w:val="5"/>
          </w:tcPr>
          <w:p>
            <w:pPr>
              <w:spacing w:after="0" w:line="215" w:lineRule="exact"/>
              <w:rPr>
                <w:sz w:val="20"/>
                <w:szCs w:val="20"/>
                <w:color w:val="auto"/>
              </w:rPr>
            </w:pPr>
            <w:r>
              <w:rPr>
                <w:rFonts w:ascii="Calibri" w:cs="Calibri" w:eastAsia="Calibri" w:hAnsi="Calibri"/>
                <w:sz w:val="18"/>
                <w:szCs w:val="18"/>
                <w:color w:val="auto"/>
              </w:rPr>
              <w:t>Richard R. Stewart(7)</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12,411</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5680" w:type="dxa"/>
            <w:vAlign w:val="bottom"/>
            <w:gridSpan w:val="5"/>
            <w:shd w:val="clear" w:color="auto" w:fill="CFF0FC"/>
          </w:tcPr>
          <w:p>
            <w:pPr>
              <w:spacing w:after="0"/>
              <w:rPr>
                <w:sz w:val="20"/>
                <w:szCs w:val="20"/>
                <w:color w:val="auto"/>
              </w:rPr>
            </w:pPr>
            <w:r>
              <w:rPr>
                <w:rFonts w:ascii="Calibri" w:cs="Calibri" w:eastAsia="Calibri" w:hAnsi="Calibri"/>
                <w:sz w:val="18"/>
                <w:szCs w:val="18"/>
                <w:color w:val="auto"/>
              </w:rPr>
              <w:t>Robert S. Stewart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26,074</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1"/>
                <w:szCs w:val="21"/>
                <w:color w:val="auto"/>
              </w:rPr>
            </w:pPr>
          </w:p>
        </w:tc>
        <w:tc>
          <w:tcPr>
            <w:tcW w:w="170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5680" w:type="dxa"/>
            <w:vAlign w:val="bottom"/>
            <w:gridSpan w:val="5"/>
          </w:tcPr>
          <w:p>
            <w:pPr>
              <w:spacing w:after="0" w:line="215" w:lineRule="exact"/>
              <w:rPr>
                <w:sz w:val="20"/>
                <w:szCs w:val="20"/>
                <w:color w:val="auto"/>
              </w:rPr>
            </w:pPr>
            <w:r>
              <w:rPr>
                <w:rFonts w:ascii="Calibri" w:cs="Calibri" w:eastAsia="Calibri" w:hAnsi="Calibri"/>
                <w:sz w:val="18"/>
                <w:szCs w:val="18"/>
                <w:color w:val="auto"/>
              </w:rPr>
              <w:t>Steven L. Wentzel</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27,359</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1700" w:type="dxa"/>
            <w:vAlign w:val="bottom"/>
          </w:tcPr>
          <w:p>
            <w:pPr>
              <w:spacing w:after="0"/>
              <w:rPr>
                <w:sz w:val="19"/>
                <w:szCs w:val="19"/>
                <w:color w:val="auto"/>
              </w:rPr>
            </w:pPr>
          </w:p>
        </w:tc>
        <w:tc>
          <w:tcPr>
            <w:tcW w:w="5680" w:type="dxa"/>
            <w:vAlign w:val="bottom"/>
            <w:gridSpan w:val="5"/>
            <w:shd w:val="clear" w:color="auto" w:fill="CFF0FC"/>
          </w:tcPr>
          <w:p>
            <w:pPr>
              <w:spacing w:after="0"/>
              <w:rPr>
                <w:sz w:val="20"/>
                <w:szCs w:val="20"/>
                <w:color w:val="auto"/>
              </w:rPr>
            </w:pPr>
            <w:r>
              <w:rPr>
                <w:rFonts w:ascii="Calibri" w:cs="Calibri" w:eastAsia="Calibri" w:hAnsi="Calibri"/>
                <w:sz w:val="18"/>
                <w:szCs w:val="18"/>
                <w:color w:val="auto"/>
              </w:rPr>
              <w:t>All current directors, nominees and executve ofcers as a group</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18"/>
        </w:trPr>
        <w:tc>
          <w:tcPr>
            <w:tcW w:w="1700" w:type="dxa"/>
            <w:vAlign w:val="bottom"/>
          </w:tcPr>
          <w:p>
            <w:pPr>
              <w:spacing w:after="0"/>
              <w:rPr>
                <w:sz w:val="18"/>
                <w:szCs w:val="18"/>
                <w:color w:val="auto"/>
              </w:rPr>
            </w:pPr>
          </w:p>
        </w:tc>
        <w:tc>
          <w:tcPr>
            <w:tcW w:w="5680" w:type="dxa"/>
            <w:vAlign w:val="bottom"/>
            <w:tcBorders>
              <w:bottom w:val="single" w:sz="8" w:color="CFF0FC"/>
            </w:tcBorders>
            <w:gridSpan w:val="5"/>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(18 persons)</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627,477</w:t>
            </w:r>
          </w:p>
        </w:tc>
        <w:tc>
          <w:tcPr>
            <w:tcW w:w="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1.6%</w:t>
            </w:r>
          </w:p>
        </w:tc>
        <w:tc>
          <w:tcPr>
            <w:tcW w:w="1700" w:type="dxa"/>
            <w:vAlign w:val="bottom"/>
          </w:tcPr>
          <w:p>
            <w:pPr>
              <w:spacing w:after="0"/>
              <w:rPr>
                <w:sz w:val="18"/>
                <w:szCs w:val="18"/>
                <w:color w:val="auto"/>
              </w:rPr>
            </w:pPr>
          </w:p>
        </w:tc>
      </w:tr>
      <w:tr>
        <w:trPr>
          <w:trHeight w:val="216"/>
        </w:trPr>
        <w:tc>
          <w:tcPr>
            <w:tcW w:w="3520" w:type="dxa"/>
            <w:vAlign w:val="bottom"/>
            <w:tcBorders>
              <w:bottom w:val="single" w:sz="8" w:color="auto"/>
            </w:tcBorders>
            <w:gridSpan w:val="2"/>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43"/>
        </w:trPr>
        <w:tc>
          <w:tcPr>
            <w:tcW w:w="7380" w:type="dxa"/>
            <w:vAlign w:val="bottom"/>
            <w:gridSpan w:val="6"/>
          </w:tcPr>
          <w:p>
            <w:pPr>
              <w:spacing w:after="0"/>
              <w:rPr>
                <w:sz w:val="20"/>
                <w:szCs w:val="20"/>
                <w:color w:val="auto"/>
              </w:rPr>
            </w:pPr>
            <w:r>
              <w:rPr>
                <w:rFonts w:ascii="Calibri" w:cs="Calibri" w:eastAsia="Calibri" w:hAnsi="Calibri"/>
                <w:sz w:val="18"/>
                <w:szCs w:val="18"/>
                <w:color w:val="auto"/>
              </w:rPr>
              <w:t>* Less than 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7"/>
        </w:trPr>
        <w:tc>
          <w:tcPr>
            <w:tcW w:w="7380" w:type="dxa"/>
            <w:vAlign w:val="bottom"/>
            <w:gridSpan w:val="6"/>
          </w:tcPr>
          <w:p>
            <w:pPr>
              <w:spacing w:after="0"/>
              <w:rPr>
                <w:sz w:val="20"/>
                <w:szCs w:val="20"/>
                <w:color w:val="auto"/>
              </w:rPr>
            </w:pPr>
            <w:r>
              <w:rPr>
                <w:rFonts w:ascii="Calibri" w:cs="Calibri" w:eastAsia="Calibri" w:hAnsi="Calibri"/>
                <w:sz w:val="18"/>
                <w:szCs w:val="18"/>
                <w:color w:val="auto"/>
              </w:rPr>
              <w:t>(1)For purposes of this table, “benefcial ownership” is determined in</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16"/>
        </w:trPr>
        <w:tc>
          <w:tcPr>
            <w:tcW w:w="7380" w:type="dxa"/>
            <w:vAlign w:val="bottom"/>
            <w:gridSpan w:val="6"/>
          </w:tcPr>
          <w:p>
            <w:pPr>
              <w:ind w:left="220"/>
              <w:spacing w:after="0" w:line="216" w:lineRule="exact"/>
              <w:rPr>
                <w:sz w:val="20"/>
                <w:szCs w:val="20"/>
                <w:color w:val="auto"/>
              </w:rPr>
            </w:pPr>
            <w:r>
              <w:rPr>
                <w:rFonts w:ascii="Calibri" w:cs="Calibri" w:eastAsia="Calibri" w:hAnsi="Calibri"/>
                <w:sz w:val="18"/>
                <w:szCs w:val="18"/>
                <w:color w:val="auto"/>
              </w:rPr>
              <w:t>accordance with Rule 13d-3 under the Exchange Act, pursuant to which 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80" w:type="dxa"/>
            <w:vAlign w:val="bottom"/>
            <w:gridSpan w:val="6"/>
          </w:tcPr>
          <w:p>
            <w:pPr>
              <w:ind w:left="220"/>
              <w:spacing w:after="0" w:line="216" w:lineRule="exact"/>
              <w:rPr>
                <w:sz w:val="20"/>
                <w:szCs w:val="20"/>
                <w:color w:val="auto"/>
              </w:rPr>
            </w:pPr>
            <w:r>
              <w:rPr>
                <w:rFonts w:ascii="Calibri" w:cs="Calibri" w:eastAsia="Calibri" w:hAnsi="Calibri"/>
                <w:sz w:val="18"/>
                <w:szCs w:val="18"/>
                <w:color w:val="auto"/>
              </w:rPr>
              <w:t>person is deemed to have “benefcial ownership” of shares of our stock</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80" w:type="dxa"/>
            <w:vAlign w:val="bottom"/>
            <w:gridSpan w:val="6"/>
          </w:tcPr>
          <w:p>
            <w:pPr>
              <w:ind w:left="220"/>
              <w:spacing w:after="0" w:line="216" w:lineRule="exact"/>
              <w:rPr>
                <w:sz w:val="20"/>
                <w:szCs w:val="20"/>
                <w:color w:val="auto"/>
              </w:rPr>
            </w:pPr>
            <w:r>
              <w:rPr>
                <w:rFonts w:ascii="Calibri" w:cs="Calibri" w:eastAsia="Calibri" w:hAnsi="Calibri"/>
                <w:sz w:val="18"/>
                <w:szCs w:val="18"/>
                <w:color w:val="auto"/>
              </w:rPr>
              <w:t>that the person has the right to acquire within 60 days. For purposes of</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80" w:type="dxa"/>
            <w:vAlign w:val="bottom"/>
            <w:gridSpan w:val="6"/>
          </w:tcPr>
          <w:p>
            <w:pPr>
              <w:ind w:left="220"/>
              <w:spacing w:after="0" w:line="216" w:lineRule="exact"/>
              <w:rPr>
                <w:sz w:val="20"/>
                <w:szCs w:val="20"/>
                <w:color w:val="auto"/>
              </w:rPr>
            </w:pPr>
            <w:r>
              <w:rPr>
                <w:rFonts w:ascii="Calibri" w:cs="Calibri" w:eastAsia="Calibri" w:hAnsi="Calibri"/>
                <w:sz w:val="18"/>
                <w:szCs w:val="18"/>
                <w:color w:val="auto"/>
              </w:rPr>
              <w:t>computng the percentage of outstanding shares of Common Stock held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80" w:type="dxa"/>
            <w:vAlign w:val="bottom"/>
            <w:gridSpan w:val="6"/>
          </w:tcPr>
          <w:p>
            <w:pPr>
              <w:ind w:left="220"/>
              <w:spacing w:after="0" w:line="216" w:lineRule="exact"/>
              <w:rPr>
                <w:sz w:val="20"/>
                <w:szCs w:val="20"/>
                <w:color w:val="auto"/>
              </w:rPr>
            </w:pPr>
            <w:r>
              <w:rPr>
                <w:rFonts w:ascii="Calibri" w:cs="Calibri" w:eastAsia="Calibri" w:hAnsi="Calibri"/>
                <w:sz w:val="18"/>
                <w:szCs w:val="18"/>
                <w:color w:val="auto"/>
              </w:rPr>
              <w:t>by each person or group of persons named in the table, any shares that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80" w:type="dxa"/>
            <w:vAlign w:val="bottom"/>
            <w:gridSpan w:val="6"/>
          </w:tcPr>
          <w:p>
            <w:pPr>
              <w:ind w:left="220"/>
              <w:spacing w:after="0" w:line="216" w:lineRule="exact"/>
              <w:rPr>
                <w:sz w:val="20"/>
                <w:szCs w:val="20"/>
                <w:color w:val="auto"/>
              </w:rPr>
            </w:pPr>
            <w:r>
              <w:rPr>
                <w:rFonts w:ascii="Calibri" w:cs="Calibri" w:eastAsia="Calibri" w:hAnsi="Calibri"/>
                <w:sz w:val="18"/>
                <w:szCs w:val="18"/>
                <w:color w:val="auto"/>
              </w:rPr>
              <w:t>such person or persons have the right to acquire within 60 days are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80" w:type="dxa"/>
            <w:vAlign w:val="bottom"/>
            <w:gridSpan w:val="6"/>
          </w:tcPr>
          <w:p>
            <w:pPr>
              <w:ind w:left="220"/>
              <w:spacing w:after="0" w:line="216" w:lineRule="exact"/>
              <w:rPr>
                <w:sz w:val="20"/>
                <w:szCs w:val="20"/>
                <w:color w:val="auto"/>
              </w:rPr>
            </w:pPr>
            <w:r>
              <w:rPr>
                <w:rFonts w:ascii="Calibri" w:cs="Calibri" w:eastAsia="Calibri" w:hAnsi="Calibri"/>
                <w:sz w:val="18"/>
                <w:szCs w:val="18"/>
                <w:color w:val="auto"/>
              </w:rPr>
              <w:t>deemed to be outstanding, but are not deemed to be outstanding for the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5"/>
        </w:trPr>
        <w:tc>
          <w:tcPr>
            <w:tcW w:w="7380" w:type="dxa"/>
            <w:vAlign w:val="bottom"/>
            <w:gridSpan w:val="6"/>
          </w:tcPr>
          <w:p>
            <w:pPr>
              <w:ind w:left="220"/>
              <w:spacing w:after="0" w:line="215" w:lineRule="exact"/>
              <w:rPr>
                <w:sz w:val="20"/>
                <w:szCs w:val="20"/>
                <w:color w:val="auto"/>
              </w:rPr>
            </w:pPr>
            <w:r>
              <w:rPr>
                <w:rFonts w:ascii="Calibri" w:cs="Calibri" w:eastAsia="Calibri" w:hAnsi="Calibri"/>
                <w:sz w:val="18"/>
                <w:szCs w:val="18"/>
                <w:color w:val="auto"/>
              </w:rPr>
              <w:t>purpose of computng the percentage ownership of any other persons.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7280" w:type="dxa"/>
            <w:vAlign w:val="bottom"/>
            <w:gridSpan w:val="5"/>
          </w:tcPr>
          <w:p>
            <w:pPr>
              <w:ind w:left="4060"/>
              <w:spacing w:after="0" w:line="234" w:lineRule="exact"/>
              <w:rPr>
                <w:sz w:val="20"/>
                <w:szCs w:val="20"/>
                <w:color w:val="auto"/>
              </w:rPr>
            </w:pPr>
            <w:r>
              <w:rPr>
                <w:rFonts w:ascii="Calibri" w:cs="Calibri" w:eastAsia="Calibri" w:hAnsi="Calibri"/>
                <w:sz w:val="20"/>
                <w:szCs w:val="20"/>
                <w:color w:val="auto"/>
              </w:rPr>
              <w:t>_______________________________</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860" w:type="dxa"/>
            <w:vAlign w:val="bottom"/>
            <w:gridSpan w:val="4"/>
          </w:tcPr>
          <w:p>
            <w:pPr>
              <w:ind w:left="40"/>
              <w:spacing w:after="0" w:line="243" w:lineRule="exact"/>
              <w:rPr>
                <w:sz w:val="20"/>
                <w:szCs w:val="20"/>
                <w:color w:val="auto"/>
              </w:rPr>
            </w:pPr>
            <w:r>
              <w:rPr>
                <w:rFonts w:ascii="Calibri" w:cs="Calibri" w:eastAsia="Calibri" w:hAnsi="Calibri"/>
                <w:sz w:val="20"/>
                <w:szCs w:val="20"/>
                <w:color w:val="auto"/>
                <w:w w:val="99"/>
              </w:rPr>
              <w:t>Eagle Materials Inc. * 2022 PROXY STATEMENT</w:t>
            </w:r>
          </w:p>
        </w:tc>
        <w:tc>
          <w:tcPr>
            <w:tcW w:w="76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44</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148"/>
        </w:trPr>
        <w:tc>
          <w:tcPr>
            <w:tcW w:w="17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type w:val="continuous"/>
        </w:sectPr>
      </w:pPr>
    </w:p>
    <w:bookmarkStart w:id="50" w:name="page51"/>
    <w:bookmarkEnd w:id="50"/>
    <w:p>
      <w:pPr>
        <w:spacing w:after="0" w:line="5" w:lineRule="exact"/>
        <w:rPr>
          <w:sz w:val="20"/>
          <w:szCs w:val="20"/>
          <w:color w:val="auto"/>
        </w:rPr>
      </w:pPr>
    </w:p>
    <w:p>
      <w:pPr>
        <w:ind w:left="40" w:right="80" w:hanging="201"/>
        <w:spacing w:after="0" w:line="249" w:lineRule="auto"/>
        <w:rPr>
          <w:sz w:val="20"/>
          <w:szCs w:val="20"/>
          <w:color w:val="auto"/>
        </w:rPr>
      </w:pPr>
      <w:r>
        <w:rPr>
          <w:rFonts w:ascii="Calibri" w:cs="Calibri" w:eastAsia="Calibri" w:hAnsi="Calibri"/>
          <w:sz w:val="17"/>
          <w:szCs w:val="17"/>
          <w:color w:val="auto"/>
        </w:rPr>
        <w:t>(2)Amounts include the following shares of Common Stock that may be acquired upon exercise of stock optons awarded under our Incentve Plan: Mr. Beckwit – 2,070 shares; Mr. Devlin – 5,230 shares; Mr. Haack – 87,590 shares; Mr. Kesler – 40,277 shares; Mr. Newby – 24,093 shares; Mr. Nicolais – 19,398 shares; Ms. Ricciardello – 3,408 shares; Mr. Wentzel</w:t>
      </w:r>
    </w:p>
    <w:p>
      <w:pPr>
        <w:spacing w:after="0" w:line="3" w:lineRule="exact"/>
        <w:rPr>
          <w:sz w:val="20"/>
          <w:szCs w:val="20"/>
          <w:color w:val="auto"/>
        </w:rPr>
      </w:pPr>
    </w:p>
    <w:p>
      <w:pPr>
        <w:ind w:left="40"/>
        <w:spacing w:after="0" w:line="235" w:lineRule="auto"/>
        <w:rPr>
          <w:sz w:val="20"/>
          <w:szCs w:val="20"/>
          <w:color w:val="auto"/>
        </w:rPr>
      </w:pPr>
      <w:r>
        <w:rPr>
          <w:rFonts w:ascii="Calibri" w:cs="Calibri" w:eastAsia="Calibri" w:hAnsi="Calibri"/>
          <w:sz w:val="18"/>
          <w:szCs w:val="18"/>
          <w:color w:val="auto"/>
        </w:rPr>
        <w:t>– 4,680 shares and all directors and executve ofcers of the Company as a group (18 persons) – 186,746 shares. In additon, this table includes shares of Common Stock that are held for the account of partcipants as of June 8, 2022, pursuant to the Common</w:t>
      </w:r>
    </w:p>
    <w:p>
      <w:pPr>
        <w:spacing w:after="0" w:line="3" w:lineRule="exact"/>
        <w:rPr>
          <w:sz w:val="20"/>
          <w:szCs w:val="20"/>
          <w:color w:val="auto"/>
        </w:rPr>
      </w:pPr>
    </w:p>
    <w:p>
      <w:pPr>
        <w:ind w:right="80"/>
        <w:spacing w:after="0" w:line="251" w:lineRule="auto"/>
        <w:rPr>
          <w:sz w:val="20"/>
          <w:szCs w:val="20"/>
          <w:color w:val="auto"/>
        </w:rPr>
      </w:pPr>
      <w:r>
        <w:rPr>
          <w:rFonts w:ascii="Calibri" w:cs="Calibri" w:eastAsia="Calibri" w:hAnsi="Calibri"/>
          <w:sz w:val="17"/>
          <w:szCs w:val="17"/>
          <w:color w:val="auto"/>
        </w:rPr>
        <w:t>Stock fund of the Retrement Plan, as follows: Mr. Devlin – 1,933 shares; Mr. Graass – 1,122 shares; Mr. Kesler – 2,144 shares; and all directors and executve ofcers of the Company as a group (18 persons) – 5,199 shares. These amounts do not include the RSUs previously granted to the non-employee directors (including dividend equivalent units accrued since the date of grant) disclosed in the table on page 14 of this proxy statement.</w:t>
      </w:r>
    </w:p>
    <w:p>
      <w:pPr>
        <w:spacing w:after="0" w:line="34" w:lineRule="exact"/>
        <w:rPr>
          <w:sz w:val="20"/>
          <w:szCs w:val="20"/>
          <w:color w:val="auto"/>
        </w:rPr>
      </w:pPr>
    </w:p>
    <w:p>
      <w:pPr>
        <w:jc w:val="both"/>
        <w:ind w:left="40" w:hanging="201"/>
        <w:spacing w:after="0" w:line="249" w:lineRule="auto"/>
        <w:rPr>
          <w:sz w:val="20"/>
          <w:szCs w:val="20"/>
          <w:color w:val="auto"/>
        </w:rPr>
      </w:pPr>
      <w:r>
        <w:rPr>
          <w:rFonts w:ascii="Calibri" w:cs="Calibri" w:eastAsia="Calibri" w:hAnsi="Calibri"/>
          <w:sz w:val="17"/>
          <w:szCs w:val="17"/>
          <w:color w:val="auto"/>
        </w:rPr>
        <w:t>(3)Mr. Graass retred from the Company efectve June 3, 2022. His benefcial ownership of Company stock is based on his last Form 4 fling and includes 543 shares of Common Stock held in an IRA owned by Mr. Graass.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color w:val="auto"/>
        </w:rPr>
        <w:t>(4)Includes 160 shares of Common Stock held in Mr. Kesler’s IRA.</w:t>
      </w:r>
    </w:p>
    <w:p>
      <w:pPr>
        <w:spacing w:after="0" w:line="37" w:lineRule="exact"/>
        <w:rPr>
          <w:sz w:val="20"/>
          <w:szCs w:val="20"/>
          <w:color w:val="auto"/>
        </w:rPr>
      </w:pPr>
    </w:p>
    <w:p>
      <w:pPr>
        <w:spacing w:after="0"/>
        <w:rPr>
          <w:sz w:val="20"/>
          <w:szCs w:val="20"/>
          <w:color w:val="auto"/>
        </w:rPr>
      </w:pPr>
      <w:r>
        <w:rPr>
          <w:rFonts w:ascii="Calibri" w:cs="Calibri" w:eastAsia="Calibri" w:hAnsi="Calibri"/>
          <w:sz w:val="18"/>
          <w:szCs w:val="18"/>
          <w:color w:val="auto"/>
        </w:rPr>
        <w:t>(5)Includes (a) 1,386 shares of Common Stock owned by the wife of</w:t>
      </w:r>
    </w:p>
    <w:p>
      <w:pPr>
        <w:spacing w:after="0" w:line="1" w:lineRule="exact"/>
        <w:rPr>
          <w:sz w:val="20"/>
          <w:szCs w:val="20"/>
          <w:color w:val="auto"/>
        </w:rPr>
      </w:pPr>
    </w:p>
    <w:p>
      <w:pPr>
        <w:ind w:left="200"/>
        <w:spacing w:after="0" w:line="235" w:lineRule="auto"/>
        <w:rPr>
          <w:sz w:val="20"/>
          <w:szCs w:val="20"/>
          <w:color w:val="auto"/>
        </w:rPr>
      </w:pPr>
      <w:r>
        <w:rPr>
          <w:rFonts w:ascii="Calibri" w:cs="Calibri" w:eastAsia="Calibri" w:hAnsi="Calibri"/>
          <w:sz w:val="18"/>
          <w:szCs w:val="18"/>
          <w:color w:val="auto"/>
        </w:rPr>
        <w:t>Mr. Nicolais; (b) 1,550 shares of Common Stock held by the proft sharing plan of the employer of Mr. Nicolais; and (c) 3,500 shares of Common Stock held in an IRA owned by Mr. Nicolais.</w:t>
      </w:r>
    </w:p>
    <w:p>
      <w:pPr>
        <w:spacing w:after="0" w:line="38" w:lineRule="exact"/>
        <w:rPr>
          <w:sz w:val="20"/>
          <w:szCs w:val="20"/>
          <w:color w:val="auto"/>
        </w:rPr>
      </w:pPr>
    </w:p>
    <w:p>
      <w:pPr>
        <w:spacing w:after="0"/>
        <w:rPr>
          <w:sz w:val="20"/>
          <w:szCs w:val="20"/>
          <w:color w:val="auto"/>
        </w:rPr>
      </w:pPr>
      <w:r>
        <w:rPr>
          <w:rFonts w:ascii="Calibri" w:cs="Calibri" w:eastAsia="Calibri" w:hAnsi="Calibri"/>
          <w:sz w:val="18"/>
          <w:szCs w:val="18"/>
          <w:color w:val="auto"/>
        </w:rPr>
        <w:t>(6)Includes 28,603 shares of Common Stock owned by a spousal trust.</w:t>
      </w:r>
    </w:p>
    <w:p>
      <w:pPr>
        <w:spacing w:after="0" w:line="42" w:lineRule="exact"/>
        <w:rPr>
          <w:sz w:val="20"/>
          <w:szCs w:val="20"/>
          <w:color w:val="auto"/>
        </w:rPr>
      </w:pPr>
    </w:p>
    <w:p>
      <w:pPr>
        <w:spacing w:after="0"/>
        <w:rPr>
          <w:sz w:val="20"/>
          <w:szCs w:val="20"/>
          <w:color w:val="auto"/>
        </w:rPr>
      </w:pPr>
      <w:r>
        <w:rPr>
          <w:rFonts w:ascii="Calibri" w:cs="Calibri" w:eastAsia="Calibri" w:hAnsi="Calibri"/>
          <w:sz w:val="17"/>
          <w:szCs w:val="17"/>
          <w:color w:val="auto"/>
        </w:rPr>
        <w:t>(7)Includes 4,003 shares of Common Stock owned by Stewart Family Trust.</w:t>
      </w:r>
    </w:p>
    <w:p>
      <w:pPr>
        <w:spacing w:after="0" w:line="2302" w:lineRule="exact"/>
        <w:rPr>
          <w:sz w:val="20"/>
          <w:szCs w:val="20"/>
          <w:color w:val="auto"/>
        </w:rPr>
      </w:pPr>
    </w:p>
    <w:p>
      <w:pPr>
        <w:sectPr>
          <w:pgSz w:w="11900" w:h="16838" w:orient="portrait"/>
          <w:cols w:equalWidth="0" w:num="2">
            <w:col w:w="5320" w:space="240"/>
            <w:col w:w="5400"/>
          </w:cols>
          <w:pgMar w:left="500" w:top="112" w:right="439" w:bottom="1440" w:gutter="0" w:footer="0" w:header="0"/>
        </w:sectPr>
      </w:pPr>
    </w:p>
    <w:p>
      <w:pPr>
        <w:ind w:left="3880"/>
        <w:spacing w:after="0" w:line="230" w:lineRule="auto"/>
        <w:rPr>
          <w:sz w:val="20"/>
          <w:szCs w:val="20"/>
          <w:color w:val="auto"/>
        </w:rPr>
      </w:pPr>
      <w:r>
        <w:rPr>
          <w:rFonts w:ascii="Calibri" w:cs="Calibri" w:eastAsia="Calibri" w:hAnsi="Calibri"/>
          <w:sz w:val="20"/>
          <w:szCs w:val="20"/>
          <w:color w:val="auto"/>
        </w:rPr>
        <w:t>_______________________________</w:t>
      </w:r>
    </w:p>
    <w:p>
      <w:pPr>
        <w:jc w:val="center"/>
        <w:ind w:right="80"/>
        <w:spacing w:after="0"/>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76200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500" w:top="112" w:right="43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8"/>
          <w:szCs w:val="18"/>
          <w:b w:val="1"/>
          <w:bCs w:val="1"/>
          <w:color w:val="auto"/>
        </w:rPr>
        <w:t>Certain Benefcial Owners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table below provides informaton regarding the only persons we know of who are the benefcial owners of more than fve percent of our Common Stock. The number of shares of Common Stock shown in the table as benefcially owned by each person as of the most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recent practcable date, which is generally the date as of which informaton is provided in the most recent benefcial ownership report fled by such person with the SEC. The percentage of our Common Stock shown in the table as owned by each person is calculated in accordance with applicable SEC rules based on the number of outstanding shares of Common Stock as of June 8, 2022, the record date for our annual meetng of stockholders.</w:t>
      </w:r>
    </w:p>
    <w:p>
      <w:pPr>
        <w:spacing w:after="0" w:line="200" w:lineRule="exact"/>
        <w:rPr>
          <w:sz w:val="20"/>
          <w:szCs w:val="20"/>
          <w:color w:val="auto"/>
        </w:rPr>
      </w:pPr>
    </w:p>
    <w:p>
      <w:pPr>
        <w:sectPr>
          <w:pgSz w:w="11900" w:h="16838" w:orient="portrait"/>
          <w:cols w:equalWidth="0" w:num="2">
            <w:col w:w="5480" w:space="260"/>
            <w:col w:w="5480"/>
          </w:cols>
          <w:pgMar w:left="320" w:top="666" w:right="35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Number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w w:val="98"/>
              </w:rPr>
              <w:t>Shares</w:t>
            </w:r>
          </w:p>
        </w:tc>
        <w:tc>
          <w:tcPr>
            <w:tcW w:w="1220" w:type="dxa"/>
            <w:vAlign w:val="bottom"/>
          </w:tcPr>
          <w:p>
            <w:pPr>
              <w:jc w:val="center"/>
              <w:ind w:right="84"/>
              <w:spacing w:after="0"/>
              <w:rPr>
                <w:sz w:val="20"/>
                <w:szCs w:val="20"/>
                <w:color w:val="auto"/>
              </w:rPr>
            </w:pPr>
            <w:r>
              <w:rPr>
                <w:rFonts w:ascii="Calibri" w:cs="Calibri" w:eastAsia="Calibri" w:hAnsi="Calibri"/>
                <w:sz w:val="14"/>
                <w:szCs w:val="14"/>
                <w:b w:val="1"/>
                <w:bCs w:val="1"/>
                <w:color w:val="auto"/>
              </w:rPr>
              <w:t>Percentage of</w:t>
            </w: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Benefcially</w:t>
            </w:r>
          </w:p>
        </w:tc>
        <w:tc>
          <w:tcPr>
            <w:tcW w:w="1220" w:type="dxa"/>
            <w:vAlign w:val="bottom"/>
          </w:tcPr>
          <w:p>
            <w:pPr>
              <w:jc w:val="center"/>
              <w:ind w:right="84"/>
              <w:spacing w:after="0"/>
              <w:rPr>
                <w:sz w:val="20"/>
                <w:szCs w:val="20"/>
                <w:color w:val="auto"/>
              </w:rPr>
            </w:pPr>
            <w:r>
              <w:rPr>
                <w:rFonts w:ascii="Calibri" w:cs="Calibri" w:eastAsia="Calibri" w:hAnsi="Calibri"/>
                <w:sz w:val="14"/>
                <w:szCs w:val="14"/>
                <w:b w:val="1"/>
                <w:bCs w:val="1"/>
                <w:color w:val="auto"/>
              </w:rPr>
              <w:t>Common</w:t>
            </w:r>
          </w:p>
        </w:tc>
        <w:tc>
          <w:tcPr>
            <w:tcW w:w="0" w:type="dxa"/>
            <w:vAlign w:val="bottom"/>
          </w:tcPr>
          <w:p>
            <w:pPr>
              <w:spacing w:after="0"/>
              <w:rPr>
                <w:sz w:val="1"/>
                <w:szCs w:val="1"/>
                <w:color w:val="auto"/>
              </w:rPr>
            </w:pPr>
          </w:p>
        </w:tc>
      </w:tr>
      <w:tr>
        <w:trPr>
          <w:trHeight w:val="155"/>
        </w:trPr>
        <w:tc>
          <w:tcPr>
            <w:tcW w:w="6960" w:type="dxa"/>
            <w:vAlign w:val="bottom"/>
            <w:gridSpan w:val="4"/>
          </w:tcPr>
          <w:p>
            <w:pPr>
              <w:ind w:left="1700"/>
              <w:spacing w:after="0" w:line="155" w:lineRule="exact"/>
              <w:rPr>
                <w:sz w:val="20"/>
                <w:szCs w:val="20"/>
                <w:color w:val="auto"/>
              </w:rPr>
            </w:pPr>
            <w:r>
              <w:rPr>
                <w:rFonts w:ascii="Calibri" w:cs="Calibri" w:eastAsia="Calibri" w:hAnsi="Calibri"/>
                <w:sz w:val="14"/>
                <w:szCs w:val="14"/>
                <w:b w:val="1"/>
                <w:bCs w:val="1"/>
                <w:color w:val="auto"/>
              </w:rPr>
              <w:t>Name and Address of Benefcial Owner</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5" w:lineRule="exact"/>
              <w:rPr>
                <w:sz w:val="20"/>
                <w:szCs w:val="20"/>
                <w:color w:val="auto"/>
              </w:rPr>
            </w:pPr>
            <w:r>
              <w:rPr>
                <w:rFonts w:ascii="Calibri" w:cs="Calibri" w:eastAsia="Calibri" w:hAnsi="Calibri"/>
                <w:sz w:val="14"/>
                <w:szCs w:val="14"/>
                <w:b w:val="1"/>
                <w:bCs w:val="1"/>
                <w:color w:val="auto"/>
                <w:w w:val="99"/>
              </w:rPr>
              <w:t>Owned</w:t>
            </w:r>
          </w:p>
        </w:tc>
        <w:tc>
          <w:tcPr>
            <w:tcW w:w="1220" w:type="dxa"/>
            <w:vAlign w:val="bottom"/>
          </w:tcPr>
          <w:p>
            <w:pPr>
              <w:jc w:val="center"/>
              <w:ind w:right="104"/>
              <w:spacing w:after="0" w:line="155" w:lineRule="exact"/>
              <w:rPr>
                <w:sz w:val="20"/>
                <w:szCs w:val="20"/>
                <w:color w:val="auto"/>
              </w:rPr>
            </w:pPr>
            <w:r>
              <w:rPr>
                <w:rFonts w:ascii="Calibri" w:cs="Calibri" w:eastAsia="Calibri" w:hAnsi="Calibri"/>
                <w:sz w:val="14"/>
                <w:szCs w:val="14"/>
                <w:b w:val="1"/>
                <w:bCs w:val="1"/>
                <w:color w:val="auto"/>
              </w:rPr>
              <w:t>Stock</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820" w:type="dxa"/>
            <w:vAlign w:val="bottom"/>
            <w:tcBorders>
              <w:top w:val="single" w:sz="8" w:color="auto"/>
              <w:bottom w:val="single" w:sz="8" w:color="CFF0FC"/>
            </w:tcBorders>
          </w:tcPr>
          <w:p>
            <w:pPr>
              <w:spacing w:after="0" w:line="20" w:lineRule="exact"/>
              <w:rPr>
                <w:sz w:val="1"/>
                <w:szCs w:val="1"/>
                <w:color w:val="auto"/>
              </w:rPr>
            </w:pPr>
          </w:p>
        </w:tc>
        <w:tc>
          <w:tcPr>
            <w:tcW w:w="500" w:type="dxa"/>
            <w:vAlign w:val="bottom"/>
            <w:tcBorders>
              <w:top w:val="single" w:sz="8" w:color="auto"/>
              <w:bottom w:val="single" w:sz="8" w:color="CFF0FC"/>
            </w:tcBorders>
          </w:tcPr>
          <w:p>
            <w:pPr>
              <w:spacing w:after="0" w:line="20" w:lineRule="exact"/>
              <w:rPr>
                <w:sz w:val="1"/>
                <w:szCs w:val="1"/>
                <w:color w:val="auto"/>
              </w:rPr>
            </w:pPr>
          </w:p>
        </w:tc>
        <w:tc>
          <w:tcPr>
            <w:tcW w:w="29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5260" w:type="dxa"/>
            <w:vAlign w:val="bottom"/>
            <w:gridSpan w:val="3"/>
            <w:shd w:val="clear" w:color="auto" w:fill="CFF0FC"/>
          </w:tcPr>
          <w:p>
            <w:pPr>
              <w:spacing w:after="0" w:line="182" w:lineRule="exact"/>
              <w:rPr>
                <w:sz w:val="20"/>
                <w:szCs w:val="20"/>
                <w:color w:val="auto"/>
              </w:rPr>
            </w:pPr>
            <w:r>
              <w:rPr>
                <w:rFonts w:ascii="Calibri" w:cs="Calibri" w:eastAsia="Calibri" w:hAnsi="Calibri"/>
                <w:sz w:val="16"/>
                <w:szCs w:val="16"/>
                <w:color w:val="auto"/>
              </w:rPr>
              <w:t>The Vanguard Group (1)</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3"/>
            <w:shd w:val="clear" w:color="auto" w:fill="CFF0FC"/>
          </w:tcPr>
          <w:p>
            <w:pPr>
              <w:ind w:left="240"/>
              <w:spacing w:after="0"/>
              <w:rPr>
                <w:sz w:val="20"/>
                <w:szCs w:val="20"/>
                <w:color w:val="auto"/>
              </w:rPr>
            </w:pPr>
            <w:r>
              <w:rPr>
                <w:rFonts w:ascii="Calibri" w:cs="Calibri" w:eastAsia="Calibri" w:hAnsi="Calibri"/>
                <w:sz w:val="16"/>
                <w:szCs w:val="16"/>
                <w:color w:val="auto"/>
              </w:rPr>
              <w:t>100 Vanguard Blvd.</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3,887,504</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10.2%</w:t>
            </w: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5260" w:type="dxa"/>
            <w:vAlign w:val="bottom"/>
            <w:tcBorders>
              <w:bottom w:val="single" w:sz="8" w:color="CFF0FC"/>
            </w:tcBorders>
            <w:gridSpan w:val="3"/>
            <w:shd w:val="clear" w:color="auto" w:fill="CFF0FC"/>
          </w:tcPr>
          <w:p>
            <w:pPr>
              <w:ind w:left="240"/>
              <w:spacing w:after="0"/>
              <w:rPr>
                <w:sz w:val="20"/>
                <w:szCs w:val="20"/>
                <w:color w:val="auto"/>
              </w:rPr>
            </w:pPr>
            <w:r>
              <w:rPr>
                <w:rFonts w:ascii="Calibri" w:cs="Calibri" w:eastAsia="Calibri" w:hAnsi="Calibri"/>
                <w:sz w:val="16"/>
                <w:szCs w:val="16"/>
                <w:color w:val="auto"/>
              </w:rPr>
              <w:t>Malvern, PA 19355</w:t>
            </w: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5260" w:type="dxa"/>
            <w:vAlign w:val="bottom"/>
            <w:gridSpan w:val="3"/>
          </w:tcPr>
          <w:p>
            <w:pPr>
              <w:spacing w:after="0" w:line="193" w:lineRule="exact"/>
              <w:rPr>
                <w:sz w:val="20"/>
                <w:szCs w:val="20"/>
                <w:color w:val="auto"/>
              </w:rPr>
            </w:pPr>
            <w:r>
              <w:rPr>
                <w:rFonts w:ascii="Calibri" w:cs="Calibri" w:eastAsia="Calibri" w:hAnsi="Calibri"/>
                <w:sz w:val="16"/>
                <w:szCs w:val="16"/>
                <w:color w:val="auto"/>
              </w:rPr>
              <w:t>BlackRock, Inc. (2)</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5260" w:type="dxa"/>
            <w:vAlign w:val="bottom"/>
            <w:gridSpan w:val="3"/>
          </w:tcPr>
          <w:p>
            <w:pPr>
              <w:ind w:left="240"/>
              <w:spacing w:after="0"/>
              <w:rPr>
                <w:sz w:val="20"/>
                <w:szCs w:val="20"/>
                <w:color w:val="auto"/>
              </w:rPr>
            </w:pPr>
            <w:r>
              <w:rPr>
                <w:rFonts w:ascii="Calibri" w:cs="Calibri" w:eastAsia="Calibri" w:hAnsi="Calibri"/>
                <w:sz w:val="16"/>
                <w:szCs w:val="16"/>
                <w:color w:val="auto"/>
              </w:rPr>
              <w:t>55 East 52nd Street</w:t>
            </w:r>
          </w:p>
        </w:tc>
        <w:tc>
          <w:tcPr>
            <w:tcW w:w="1180" w:type="dxa"/>
            <w:vAlign w:val="bottom"/>
            <w:gridSpan w:val="2"/>
          </w:tcPr>
          <w:p>
            <w:pPr>
              <w:jc w:val="right"/>
              <w:spacing w:after="0"/>
              <w:rPr>
                <w:sz w:val="20"/>
                <w:szCs w:val="20"/>
                <w:color w:val="auto"/>
              </w:rPr>
            </w:pPr>
            <w:r>
              <w:rPr>
                <w:rFonts w:ascii="Calibri" w:cs="Calibri" w:eastAsia="Calibri" w:hAnsi="Calibri"/>
                <w:sz w:val="16"/>
                <w:szCs w:val="16"/>
                <w:color w:val="auto"/>
              </w:rPr>
              <w:t>3,439,705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9.0%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3"/>
          </w:tcPr>
          <w:p>
            <w:pPr>
              <w:ind w:left="240"/>
              <w:spacing w:after="0"/>
              <w:rPr>
                <w:sz w:val="20"/>
                <w:szCs w:val="20"/>
                <w:color w:val="auto"/>
              </w:rPr>
            </w:pPr>
            <w:r>
              <w:rPr>
                <w:rFonts w:ascii="Calibri" w:cs="Calibri" w:eastAsia="Calibri" w:hAnsi="Calibri"/>
                <w:sz w:val="16"/>
                <w:szCs w:val="16"/>
                <w:color w:val="auto"/>
              </w:rPr>
              <w:t>New York, NY 10055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700" w:type="dxa"/>
            <w:vAlign w:val="bottom"/>
            <w:vMerge w:val="continue"/>
          </w:tcPr>
          <w:p>
            <w:pPr>
              <w:spacing w:after="0"/>
              <w:rPr>
                <w:sz w:val="16"/>
                <w:szCs w:val="16"/>
                <w:color w:val="auto"/>
              </w:rPr>
            </w:pPr>
          </w:p>
        </w:tc>
        <w:tc>
          <w:tcPr>
            <w:tcW w:w="5260" w:type="dxa"/>
            <w:vAlign w:val="bottom"/>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FMR LLC (3)</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5260" w:type="dxa"/>
            <w:vAlign w:val="bottom"/>
            <w:gridSpan w:val="3"/>
            <w:shd w:val="clear" w:color="auto" w:fill="CFF0FC"/>
          </w:tcPr>
          <w:p>
            <w:pPr>
              <w:ind w:left="240"/>
              <w:spacing w:after="0"/>
              <w:rPr>
                <w:sz w:val="20"/>
                <w:szCs w:val="20"/>
                <w:color w:val="auto"/>
              </w:rPr>
            </w:pPr>
            <w:r>
              <w:rPr>
                <w:rFonts w:ascii="Calibri" w:cs="Calibri" w:eastAsia="Calibri" w:hAnsi="Calibri"/>
                <w:sz w:val="16"/>
                <w:szCs w:val="16"/>
                <w:color w:val="auto"/>
              </w:rPr>
              <w:t>245 Summer Street</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3,115,389</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8.2%</w:t>
            </w: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5260" w:type="dxa"/>
            <w:vAlign w:val="bottom"/>
            <w:tcBorders>
              <w:bottom w:val="single" w:sz="8" w:color="CFF0FC"/>
            </w:tcBorders>
            <w:gridSpan w:val="3"/>
            <w:shd w:val="clear" w:color="auto" w:fill="CFF0FC"/>
          </w:tcPr>
          <w:p>
            <w:pPr>
              <w:ind w:left="240"/>
              <w:spacing w:after="0"/>
              <w:rPr>
                <w:sz w:val="20"/>
                <w:szCs w:val="20"/>
                <w:color w:val="auto"/>
              </w:rPr>
            </w:pPr>
            <w:r>
              <w:rPr>
                <w:rFonts w:ascii="Calibri" w:cs="Calibri" w:eastAsia="Calibri" w:hAnsi="Calibri"/>
                <w:sz w:val="16"/>
                <w:szCs w:val="16"/>
                <w:color w:val="auto"/>
              </w:rPr>
              <w:t>Boston, MA 02210</w:t>
            </w: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666" w:right="359" w:bottom="1440" w:gutter="0" w:footer="0" w:header="0"/>
          <w:type w:val="continuous"/>
        </w:sectPr>
      </w:pPr>
    </w:p>
    <w:p>
      <w:pPr>
        <w:spacing w:after="0" w:line="48" w:lineRule="exact"/>
        <w:rPr>
          <w:sz w:val="20"/>
          <w:szCs w:val="20"/>
          <w:color w:val="auto"/>
        </w:rPr>
      </w:pPr>
    </w:p>
    <w:p>
      <w:pPr>
        <w:ind w:left="220" w:hanging="201"/>
        <w:spacing w:after="0" w:line="235" w:lineRule="auto"/>
        <w:rPr>
          <w:sz w:val="20"/>
          <w:szCs w:val="20"/>
          <w:color w:val="auto"/>
        </w:rPr>
      </w:pPr>
      <w:r>
        <w:rPr>
          <w:rFonts w:ascii="Calibri" w:cs="Calibri" w:eastAsia="Calibri" w:hAnsi="Calibri"/>
          <w:sz w:val="18"/>
          <w:szCs w:val="18"/>
          <w:color w:val="auto"/>
        </w:rPr>
        <w:t>(1)Based solely on the informaton contained in a Schedule 13G/A fled with the SEC on February 9, 2022. Of the shares reported in the Schedule 13G/A, The Vanguard Group has (i) shared votng power with respect to 19,310 shares; (ii) sole dispositve power with respect to 3,832,314 shares; and (iii) shared dispositve power with respect to 55,190 shares.</w:t>
      </w:r>
    </w:p>
    <w:p>
      <w:pPr>
        <w:spacing w:after="0" w:line="45" w:lineRule="exact"/>
        <w:rPr>
          <w:sz w:val="20"/>
          <w:szCs w:val="20"/>
          <w:color w:val="auto"/>
        </w:rPr>
      </w:pPr>
    </w:p>
    <w:p>
      <w:pPr>
        <w:ind w:left="220" w:right="100" w:hanging="201"/>
        <w:spacing w:after="0" w:line="235" w:lineRule="auto"/>
        <w:rPr>
          <w:sz w:val="20"/>
          <w:szCs w:val="20"/>
          <w:color w:val="auto"/>
        </w:rPr>
      </w:pPr>
      <w:r>
        <w:rPr>
          <w:rFonts w:ascii="Calibri" w:cs="Calibri" w:eastAsia="Calibri" w:hAnsi="Calibri"/>
          <w:sz w:val="18"/>
          <w:szCs w:val="18"/>
          <w:color w:val="auto"/>
        </w:rPr>
        <w:t>(2)Based solely on the informaton contained in a Schedule 13G/A fled with the SEC on February 1, 2022. Of the shares reported</w:t>
      </w:r>
    </w:p>
    <w:p>
      <w:pPr>
        <w:spacing w:after="0" w:line="2" w:lineRule="exact"/>
        <w:rPr>
          <w:sz w:val="20"/>
          <w:szCs w:val="20"/>
          <w:color w:val="auto"/>
        </w:rPr>
      </w:pPr>
    </w:p>
    <w:p>
      <w:pPr>
        <w:jc w:val="both"/>
        <w:ind w:left="180" w:right="80"/>
        <w:spacing w:after="0" w:line="235" w:lineRule="auto"/>
        <w:rPr>
          <w:sz w:val="20"/>
          <w:szCs w:val="20"/>
          <w:color w:val="auto"/>
        </w:rPr>
      </w:pPr>
      <w:r>
        <w:rPr>
          <w:rFonts w:ascii="Calibri" w:cs="Calibri" w:eastAsia="Calibri" w:hAnsi="Calibri"/>
          <w:sz w:val="18"/>
          <w:szCs w:val="18"/>
          <w:color w:val="auto"/>
        </w:rPr>
        <w:t>in the Schedule 13G/A, BlackRock, Inc. has sole votng power with respect to 3,318,778 shares and sole dispositve power with respect to 3,439,705 shares.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hanging="202"/>
        <w:spacing w:after="0" w:line="235" w:lineRule="auto"/>
        <w:rPr>
          <w:sz w:val="20"/>
          <w:szCs w:val="20"/>
          <w:color w:val="auto"/>
        </w:rPr>
      </w:pPr>
      <w:r>
        <w:rPr>
          <w:rFonts w:ascii="Calibri" w:cs="Calibri" w:eastAsia="Calibri" w:hAnsi="Calibri"/>
          <w:sz w:val="18"/>
          <w:szCs w:val="18"/>
          <w:color w:val="auto"/>
        </w:rPr>
        <w:t>(3)Based solely on the informaton contained in a Schedule 13G/A fled with the SEC on February 9, 2022. Of the shares reported in the Schedule 13G/A, FMR LLC has sole votng power with respect to 419,774 shares and sole dispositve power with respect to 3,115,389 shares.</w:t>
      </w:r>
    </w:p>
    <w:p>
      <w:pPr>
        <w:spacing w:after="0" w:line="1496" w:lineRule="exact"/>
        <w:rPr>
          <w:sz w:val="20"/>
          <w:szCs w:val="20"/>
          <w:color w:val="auto"/>
        </w:rPr>
      </w:pPr>
    </w:p>
    <w:p>
      <w:pPr>
        <w:sectPr>
          <w:pgSz w:w="11900" w:h="16838" w:orient="portrait"/>
          <w:cols w:equalWidth="0" w:num="2">
            <w:col w:w="5500" w:space="440"/>
            <w:col w:w="5280"/>
          </w:cols>
          <w:pgMar w:left="320" w:top="66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8"/>
          <w:szCs w:val="18"/>
          <w:b w:val="1"/>
          <w:bCs w:val="1"/>
          <w:color w:val="auto"/>
        </w:rPr>
        <w:t>Related Party Transactons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code of conduct adopted by the Board, which we refer to as “The Eagle Way,” includes provisions addressing conficts of interest which arise when a director, ofcer, or employee has an interest in a transacton in which the Company is a partcipant. The Eagle Way defnes a confict of interest as an actvity, investment or associaton that interferes or might appear to interfere with the judgment or objectvity of an ofcer or employee in performing his or her job in the best interests of the Company and our shareholders.</w:t>
      </w:r>
    </w:p>
    <w:p>
      <w:pPr>
        <w:spacing w:after="0" w:line="11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Under The Eagle Way, ofcers or employees are encouraged to consult with their supervisors regarding any mater that may involve a confict of interest. In additon, The Eagle Way requires that prior approval of the supervisor of an ofcer or employee, the president of the Eagle business unit in which such ofcer or employee is employed, and the Company’s general counsel before: (1) obtaining an ownership interest in, or positon with, an Eagle supplier, contractor, customer or compettor, subject to certain exceptons relatng to the ownership of publicly traded securites;</w:t>
      </w:r>
    </w:p>
    <w:p>
      <w:pPr>
        <w:spacing w:after="0" w:line="7" w:lineRule="exact"/>
        <w:rPr>
          <w:sz w:val="20"/>
          <w:szCs w:val="20"/>
          <w:color w:val="auto"/>
        </w:rPr>
      </w:pPr>
    </w:p>
    <w:p>
      <w:pPr>
        <w:ind w:right="40" w:firstLine="8"/>
        <w:spacing w:after="0" w:line="235" w:lineRule="auto"/>
        <w:tabs>
          <w:tab w:leader="none" w:pos="235"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employing any relatves where there is either a direct or indirect reportng relatonship or a substantal amount of interacton between the relatves on the job; or (3) establishing a business relatonship between Eagle and a company in which the ofcer or employee or his or her relatve has an ownership interest or holds a positon.</w:t>
      </w:r>
    </w:p>
    <w:p>
      <w:pPr>
        <w:spacing w:after="0" w:line="112"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In additon to the above policies included in The Eagle Way, we have implemented certain informal processes in connecton with transactons with related persons. For example, the Company’s legal staf is primarily responsible for the development of processes to obtain informaton from the directors and executve ofcers with respect to related person transactons and for determining, based on the facts and circumstances, whether the related person has a direct or indirect material interest in the transacton. In additon, all of our employees, executve ofcers and directors are required to disclose any conficts of interest in an annual certfcaton reviewed by our Legal Department. Afer disclosure, some conficts of interest may be resolved through implementng appropriate controls for our protecton. Depending on the identty of the ofcer or employee involved in a transacton creatng a potental confict of interest, the confict of interest may be resolved by the Company’s legal staf or may be referred to the Audit Commitee. Where an appropriately disclosed confict of interest is minor and not likely to adversely impact us, we may consent to the actvity. Such consent may be subject to appropriate controls intended to ensure that transacton as implemented is not adverse to the Company. In other cases where appropriate controls are not feasible, the person involved will be requested not to enter into, or to discontnue, the relevant transacton or relatonship. If a potental confict arises concerning a director or ofcer of the Company, the potental confict is disclosed to the Chair of the Audit Commitee of the Board for review and dispositon. As required under SEC rules, transactons that are determined to be directly or indirectly material to the Company or a related person are disclosed in the annual proxy statement.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Employee, Ofcer and Director Hedging</w:t>
      </w:r>
    </w:p>
    <w:p>
      <w:pPr>
        <w:spacing w:after="0" w:line="10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Under our insider trading policy, the Company’s directors, ofcers and employees are prohibited from engaging in speculatve transactons in the Company’s securites. The transactons specifcally addressed in the policy are:</w:t>
      </w:r>
    </w:p>
    <w:p>
      <w:pPr>
        <w:spacing w:after="0" w:line="30" w:lineRule="exact"/>
        <w:rPr>
          <w:sz w:val="20"/>
          <w:szCs w:val="20"/>
          <w:color w:val="auto"/>
        </w:rPr>
      </w:pPr>
    </w:p>
    <w:p>
      <w:pPr>
        <w:ind w:left="180" w:right="40" w:hanging="171"/>
        <w:spacing w:after="0" w:line="235" w:lineRule="auto"/>
        <w:tabs>
          <w:tab w:leader="none" w:pos="18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publicly traded optons (examples include puts, calls and other derivatve securites involving Company securites, on an exchange or in any other organized market);</w:t>
      </w:r>
    </w:p>
    <w:p>
      <w:pPr>
        <w:spacing w:after="0" w:line="43" w:lineRule="exact"/>
        <w:rPr>
          <w:rFonts w:ascii="Calibri" w:cs="Calibri" w:eastAsia="Calibri" w:hAnsi="Calibri"/>
          <w:sz w:val="18"/>
          <w:szCs w:val="18"/>
          <w:color w:val="auto"/>
        </w:rPr>
      </w:pPr>
    </w:p>
    <w:p>
      <w:pPr>
        <w:ind w:left="180" w:right="120" w:hanging="171"/>
        <w:spacing w:after="0" w:line="235" w:lineRule="auto"/>
        <w:tabs>
          <w:tab w:leader="none" w:pos="18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short sales (which evidence an expectaton on the part of the seller that the securites will decline in value and signal to the market a lack of confdence in the Company’s short-term prospects); and</w:t>
      </w:r>
    </w:p>
    <w:p>
      <w:pPr>
        <w:spacing w:after="0" w:line="43" w:lineRule="exact"/>
        <w:rPr>
          <w:rFonts w:ascii="Calibri" w:cs="Calibri" w:eastAsia="Calibri" w:hAnsi="Calibri"/>
          <w:sz w:val="18"/>
          <w:szCs w:val="18"/>
          <w:color w:val="auto"/>
        </w:rPr>
      </w:pPr>
    </w:p>
    <w:p>
      <w:pPr>
        <w:ind w:left="180" w:right="20" w:hanging="171"/>
        <w:spacing w:after="0" w:line="235" w:lineRule="auto"/>
        <w:tabs>
          <w:tab w:leader="none" w:pos="18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hedging transactons (examples include zero-cost collars and forward sale contracts, which allow a holder to lock in much of the value of his or her stock holdings, ofen in exchange for all or part of the potental upside appreciaton in the stock—creatng a potental mis-alignment with the objectves of the Company’s other stockholders).</w:t>
      </w:r>
    </w:p>
    <w:p>
      <w:pPr>
        <w:spacing w:after="0" w:line="3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Code of Conduct</w:t>
      </w:r>
    </w:p>
    <w:p>
      <w:pPr>
        <w:spacing w:after="0" w:line="109"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Company’s code of conduct, The Eagle Way, applies to all of the Company’s employees, including the Company’s ofcers. The Eagle Way also applies to the Board of Directors. The Company’s code of conduct is designed to deter wrongdoing and to promote:</w:t>
      </w:r>
    </w:p>
    <w:p>
      <w:pPr>
        <w:spacing w:after="0" w:line="30" w:lineRule="exact"/>
        <w:rPr>
          <w:sz w:val="20"/>
          <w:szCs w:val="20"/>
          <w:color w:val="auto"/>
        </w:rPr>
      </w:pPr>
    </w:p>
    <w:p>
      <w:pPr>
        <w:ind w:left="180" w:right="280" w:hanging="171"/>
        <w:spacing w:after="0" w:line="235" w:lineRule="auto"/>
        <w:tabs>
          <w:tab w:leader="none" w:pos="18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honest and ethical conduct, including the ethical handling of actual or apparent conficts of interest between personal and professional relatonships;</w:t>
      </w:r>
    </w:p>
    <w:p>
      <w:pPr>
        <w:spacing w:after="0" w:line="38" w:lineRule="exact"/>
        <w:rPr>
          <w:rFonts w:ascii="Calibri" w:cs="Calibri" w:eastAsia="Calibri" w:hAnsi="Calibri"/>
          <w:sz w:val="18"/>
          <w:szCs w:val="18"/>
          <w:color w:val="auto"/>
        </w:rPr>
      </w:pPr>
    </w:p>
    <w:p>
      <w:pPr>
        <w:ind w:left="180" w:hanging="171"/>
        <w:spacing w:after="0"/>
        <w:tabs>
          <w:tab w:leader="none" w:pos="18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compliance with applicable governmental laws, rules and regulatons;</w:t>
      </w:r>
    </w:p>
    <w:p>
      <w:pPr>
        <w:spacing w:after="0" w:line="41" w:lineRule="exact"/>
        <w:rPr>
          <w:rFonts w:ascii="Calibri" w:cs="Calibri" w:eastAsia="Calibri" w:hAnsi="Calibri"/>
          <w:sz w:val="18"/>
          <w:szCs w:val="18"/>
          <w:color w:val="auto"/>
        </w:rPr>
      </w:pPr>
    </w:p>
    <w:p>
      <w:pPr>
        <w:ind w:left="180" w:right="160" w:hanging="171"/>
        <w:spacing w:after="0" w:line="258" w:lineRule="auto"/>
        <w:tabs>
          <w:tab w:leader="none" w:pos="180" w:val="left"/>
        </w:tabs>
        <w:numPr>
          <w:ilvl w:val="0"/>
          <w:numId w:val="35"/>
        </w:numPr>
        <w:rPr>
          <w:rFonts w:ascii="Calibri" w:cs="Calibri" w:eastAsia="Calibri" w:hAnsi="Calibri"/>
          <w:sz w:val="17"/>
          <w:szCs w:val="17"/>
          <w:color w:val="auto"/>
        </w:rPr>
      </w:pPr>
      <w:r>
        <w:rPr>
          <w:rFonts w:ascii="Calibri" w:cs="Calibri" w:eastAsia="Calibri" w:hAnsi="Calibri"/>
          <w:sz w:val="17"/>
          <w:szCs w:val="17"/>
          <w:color w:val="auto"/>
        </w:rPr>
        <w:t>the prompt internal reportng of violatons of the code of conduct to an appropriate person or persons identfed in the code of conduct; and</w:t>
      </w:r>
    </w:p>
    <w:p>
      <w:pPr>
        <w:spacing w:after="0" w:line="21" w:lineRule="exact"/>
        <w:rPr>
          <w:rFonts w:ascii="Calibri" w:cs="Calibri" w:eastAsia="Calibri" w:hAnsi="Calibri"/>
          <w:sz w:val="17"/>
          <w:szCs w:val="17"/>
          <w:color w:val="auto"/>
        </w:rPr>
      </w:pPr>
    </w:p>
    <w:p>
      <w:pPr>
        <w:ind w:left="180" w:hanging="171"/>
        <w:spacing w:after="0"/>
        <w:tabs>
          <w:tab w:leader="none" w:pos="18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accountability for adherence to the code of conduct.</w:t>
      </w:r>
    </w:p>
    <w:p>
      <w:pPr>
        <w:spacing w:after="0" w:line="123"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 xml:space="preserve">All of the Company’s employees and directors are required to certfy to the Company, on an annual basis, that they have complied with the Company’s code of conduct without excepton or, if they have not so complied, to list the exceptons. The Company has posted the text of its code of conduct on its Internet website at </w:t>
      </w:r>
      <w:r>
        <w:rPr>
          <w:rFonts w:ascii="Calibri" w:cs="Calibri" w:eastAsia="Calibri" w:hAnsi="Calibri"/>
          <w:sz w:val="17"/>
          <w:szCs w:val="17"/>
          <w:i w:val="1"/>
          <w:iCs w:val="1"/>
          <w:color w:val="auto"/>
        </w:rPr>
        <w:t>www.eaglematerials.com</w:t>
      </w:r>
      <w:r>
        <w:rPr>
          <w:rFonts w:ascii="Calibri" w:cs="Calibri" w:eastAsia="Calibri" w:hAnsi="Calibri"/>
          <w:sz w:val="17"/>
          <w:szCs w:val="17"/>
          <w:color w:val="auto"/>
        </w:rPr>
        <w:t xml:space="preserve"> (click on “Investor Relatons”, then on “Corporate Governance”, then on “The Eagle Way” under the heading “Code of Ethics”). Additonally, the Company will provide without charge a copy of the code of conduct to any person upon writen request to our Secretary at our principal executve ofce</w:t>
      </w:r>
    </w:p>
    <w:p>
      <w:pPr>
        <w:spacing w:after="0" w:line="1390" w:lineRule="exact"/>
        <w:rPr>
          <w:sz w:val="20"/>
          <w:szCs w:val="20"/>
          <w:color w:val="auto"/>
        </w:rPr>
      </w:pPr>
    </w:p>
    <w:p>
      <w:pPr>
        <w:sectPr>
          <w:pgSz w:w="11900" w:h="16838" w:orient="portrait"/>
          <w:cols w:equalWidth="0" w:num="2">
            <w:col w:w="5380" w:space="460"/>
            <w:col w:w="5400"/>
          </w:cols>
          <w:pgMar w:left="320" w:top="666"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53" w:name="page54"/>
    <w:bookmarkEnd w:id="53"/>
    <w:p>
      <w:pPr>
        <w:jc w:val="center"/>
        <w:ind w:right="-59"/>
        <w:spacing w:after="0"/>
        <w:rPr>
          <w:sz w:val="20"/>
          <w:szCs w:val="20"/>
          <w:color w:val="auto"/>
        </w:rPr>
      </w:pPr>
      <w:r>
        <w:rPr>
          <w:rFonts w:ascii="Calibri" w:cs="Calibri" w:eastAsia="Calibri" w:hAnsi="Calibri"/>
          <w:sz w:val="25"/>
          <w:szCs w:val="25"/>
          <w:b w:val="1"/>
          <w:bCs w:val="1"/>
          <w:color w:val="4472C4"/>
        </w:rPr>
        <w:t>PROPOSAL NO. 2: ADVISORY VOTE ON COMPENSATION</w:t>
      </w:r>
    </w:p>
    <w:p>
      <w:pPr>
        <w:spacing w:after="0" w:line="5" w:lineRule="exact"/>
        <w:rPr>
          <w:sz w:val="20"/>
          <w:szCs w:val="20"/>
          <w:color w:val="auto"/>
        </w:rPr>
      </w:pPr>
    </w:p>
    <w:p>
      <w:pPr>
        <w:jc w:val="center"/>
        <w:ind w:right="-59"/>
        <w:spacing w:after="0"/>
        <w:rPr>
          <w:sz w:val="20"/>
          <w:szCs w:val="20"/>
          <w:color w:val="auto"/>
        </w:rPr>
      </w:pPr>
      <w:r>
        <w:rPr>
          <w:rFonts w:ascii="Calibri" w:cs="Calibri" w:eastAsia="Calibri" w:hAnsi="Calibri"/>
          <w:sz w:val="25"/>
          <w:szCs w:val="25"/>
          <w:b w:val="1"/>
          <w:bCs w:val="1"/>
          <w:color w:val="4472C4"/>
        </w:rPr>
        <w:t>OF OUR NAMED EXECUTIVE OFFICERS</w:t>
      </w:r>
    </w:p>
    <w:p>
      <w:pPr>
        <w:sectPr>
          <w:pgSz w:w="11900" w:h="16838" w:orient="portrait"/>
          <w:cols w:equalWidth="0" w:num="1">
            <w:col w:w="11200"/>
          </w:cols>
          <w:pgMar w:left="320" w:top="34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52" w:lineRule="auto"/>
        <w:rPr>
          <w:sz w:val="20"/>
          <w:szCs w:val="20"/>
          <w:color w:val="auto"/>
        </w:rPr>
      </w:pPr>
      <w:r>
        <w:rPr>
          <w:rFonts w:ascii="Calibri" w:cs="Calibri" w:eastAsia="Calibri" w:hAnsi="Calibri"/>
          <w:sz w:val="17"/>
          <w:szCs w:val="17"/>
          <w:color w:val="auto"/>
        </w:rPr>
        <w:t>We are seeking your advisory vote approving the compensaton paid to our named executve ofcers as disclosed in this proxy statement. We believe the structure of our executve compensaton programs promotes our business objectves and serves to motvate, atract and retain executve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urge stockholders to read our “Compensaton Discussion and Analysis” beginning on page 22 of this proxy statement, which describes in more detail how our executve compensaton policies and programs operate. We are seeking stockholder approval of the following advisory resoluton: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290830</wp:posOffset>
            </wp:positionV>
            <wp:extent cx="7123430" cy="6000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3430" cy="60007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5500" w:space="240"/>
            <w:col w:w="5460"/>
          </w:cols>
          <w:pgMar w:left="320" w:top="342" w:right="379" w:bottom="1440" w:gutter="0" w:footer="0" w:header="0"/>
          <w:type w:val="continuous"/>
        </w:sectPr>
      </w:pPr>
    </w:p>
    <w:p>
      <w:pPr>
        <w:spacing w:after="0" w:line="373" w:lineRule="exact"/>
        <w:rPr>
          <w:sz w:val="20"/>
          <w:szCs w:val="20"/>
          <w:color w:val="auto"/>
        </w:rPr>
      </w:pPr>
    </w:p>
    <w:p>
      <w:pPr>
        <w:jc w:val="both"/>
        <w:ind w:left="120" w:right="140" w:firstLine="324"/>
        <w:spacing w:after="0" w:line="235" w:lineRule="auto"/>
        <w:rPr>
          <w:sz w:val="20"/>
          <w:szCs w:val="20"/>
          <w:color w:val="auto"/>
        </w:rPr>
      </w:pPr>
      <w:r>
        <w:rPr>
          <w:rFonts w:ascii="Calibri" w:cs="Calibri" w:eastAsia="Calibri" w:hAnsi="Calibri"/>
          <w:sz w:val="18"/>
          <w:szCs w:val="18"/>
          <w:b w:val="1"/>
          <w:bCs w:val="1"/>
          <w:color w:val="auto"/>
        </w:rPr>
        <w:t xml:space="preserve">RESOLVED, </w:t>
      </w:r>
      <w:r>
        <w:rPr>
          <w:rFonts w:ascii="Calibri" w:cs="Calibri" w:eastAsia="Calibri" w:hAnsi="Calibri"/>
          <w:sz w:val="18"/>
          <w:szCs w:val="18"/>
          <w:color w:val="auto"/>
        </w:rPr>
        <w:t>that the compensaton paid to the Company’s named executve ofcers, as disclosed pursuant to the compensaton disclosure rules of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Securites and Exchange Commission, including the Compensaton Discussion and Analysis, the compensaton tables and the related material disclosed in this Proxy Statement, is hereby approved by the stockholders of the Company on an advisory basis.</w:t>
      </w:r>
    </w:p>
    <w:p>
      <w:pPr>
        <w:sectPr>
          <w:pgSz w:w="11900" w:h="16838" w:orient="portrait"/>
          <w:cols w:equalWidth="0" w:num="1">
            <w:col w:w="11200"/>
          </w:cols>
          <w:pgMar w:left="320" w:top="34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Although the vote on this proposal is advisory and nonbinding, the Compensaton Commitee and the Board will review the results of the vote and consider them when making future determinatons regarding our executve compensaton programs. The afrmatve vote of a majority of the votes cast by shares enttled to vote thereon is required for the approval of the foregoing resoluton. Abstentons and broker non-votes are not counted as votes cast, and therefore do not afect the approval of the resoluton.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20"/>
        <w:spacing w:after="0" w:line="235" w:lineRule="auto"/>
        <w:rPr>
          <w:sz w:val="20"/>
          <w:szCs w:val="20"/>
          <w:color w:val="auto"/>
        </w:rPr>
      </w:pPr>
      <w:r>
        <w:rPr>
          <w:rFonts w:ascii="Calibri" w:cs="Calibri" w:eastAsia="Calibri" w:hAnsi="Calibri"/>
          <w:sz w:val="18"/>
          <w:szCs w:val="18"/>
          <w:b w:val="1"/>
          <w:bCs w:val="1"/>
          <w:color w:val="auto"/>
        </w:rPr>
        <w:t>Our Board of Directors recommends that holders of Common Stock vote “FOR” the non-binding advisory resoluton approving the compensaton paid to our named executve ofcers.</w:t>
      </w:r>
    </w:p>
    <w:p>
      <w:pPr>
        <w:spacing w:after="0" w:line="1073" w:lineRule="exact"/>
        <w:rPr>
          <w:sz w:val="20"/>
          <w:szCs w:val="20"/>
          <w:color w:val="auto"/>
        </w:rPr>
      </w:pPr>
    </w:p>
    <w:p>
      <w:pPr>
        <w:sectPr>
          <w:pgSz w:w="11900" w:h="16838" w:orient="portrait"/>
          <w:cols w:equalWidth="0" w:num="2">
            <w:col w:w="5400" w:space="340"/>
            <w:col w:w="5460"/>
          </w:cols>
          <w:pgMar w:left="320" w:top="342" w:right="37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Recommendaton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3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type w:val="continuous"/>
        </w:sectPr>
      </w:pPr>
    </w:p>
    <w:bookmarkStart w:id="54" w:name="page55"/>
    <w:bookmarkEnd w:id="54"/>
    <w:p>
      <w:pPr>
        <w:jc w:val="center"/>
        <w:ind w:right="-119"/>
        <w:spacing w:after="0"/>
        <w:rPr>
          <w:sz w:val="20"/>
          <w:szCs w:val="20"/>
          <w:color w:val="auto"/>
        </w:rPr>
      </w:pPr>
      <w:r>
        <w:rPr>
          <w:rFonts w:ascii="Calibri" w:cs="Calibri" w:eastAsia="Calibri" w:hAnsi="Calibri"/>
          <w:sz w:val="25"/>
          <w:szCs w:val="25"/>
          <w:b w:val="1"/>
          <w:bCs w:val="1"/>
          <w:color w:val="4472C4"/>
        </w:rPr>
        <w:t>PROPOSAL NO. 3: APPROVAL OF EXPECTED</w:t>
      </w:r>
    </w:p>
    <w:p>
      <w:pPr>
        <w:spacing w:after="0" w:line="5"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4472C4"/>
        </w:rPr>
        <w:t>APPOINTMENT OF INDEPENDENT AUDITORS</w:t>
      </w:r>
    </w:p>
    <w:p>
      <w:pPr>
        <w:sectPr>
          <w:pgSz w:w="11900" w:h="16838" w:orient="portrait"/>
          <w:cols w:equalWidth="0" w:num="1">
            <w:col w:w="11120"/>
          </w:cols>
          <w:pgMar w:left="320" w:top="342" w:right="4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Ernst &amp; Young acted as our independent auditors to audit our books and records for fscal 2022, and the Audit Commitee expects to appoint Ernst &amp; Young as our independent auditors for fscal year 2023 if its proposal for audit services is satsfactory.</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believe the approval of this expected appointment is good corporate practce because the audit of our books and records is a mater of importance to our stockholders. If our stockholders do not support the expected appointment, our Audit Commitee will consider that fact when determining whether or not to retain Ernst &amp; Young, but stll may elect to retain them. Even if the expected appointment is approved, the Audit Commitee, in its discreton, may elect not to proceed with the appointment. Once it has appointed an auditor, our Audit Commitee may elect to change the appointment at any tme during the year if it determines that such a change would be in our best interests and the best interests of our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Representatves of Ernst &amp; Young are expected to be present for the annual meetng, with the opportunity to make a statement if they choose to do so, and will be available to respond to appropriate questons from our stockholders.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Recommendaton of the Board</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Our Board of Directors recommends a vote “FOR” the approval of the expected appointment of Ernst &amp; Young as the Company’s auditors for the fscal year ending March 31, 2023.</w:t>
      </w:r>
    </w:p>
    <w:p>
      <w:pPr>
        <w:spacing w:after="0" w:line="1705" w:lineRule="exact"/>
        <w:rPr>
          <w:sz w:val="20"/>
          <w:szCs w:val="20"/>
          <w:color w:val="auto"/>
        </w:rPr>
      </w:pPr>
    </w:p>
    <w:p>
      <w:pPr>
        <w:sectPr>
          <w:pgSz w:w="11900" w:h="16838" w:orient="portrait"/>
          <w:cols w:equalWidth="0" w:num="2">
            <w:col w:w="5480" w:space="260"/>
            <w:col w:w="5380"/>
          </w:cols>
          <w:pgMar w:left="320" w:top="342" w:right="45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42" w:right="459" w:bottom="1440" w:gutter="0" w:footer="0" w:header="0"/>
          <w:type w:val="continuous"/>
        </w:sectPr>
      </w:pPr>
    </w:p>
    <w:bookmarkStart w:id="55" w:name="page56"/>
    <w:bookmarkEnd w:id="55"/>
    <w:p>
      <w:pPr>
        <w:jc w:val="center"/>
        <w:spacing w:after="0"/>
        <w:rPr>
          <w:sz w:val="20"/>
          <w:szCs w:val="20"/>
          <w:color w:val="auto"/>
        </w:rPr>
      </w:pPr>
      <w:r>
        <w:rPr>
          <w:rFonts w:ascii="Calibri" w:cs="Calibri" w:eastAsia="Calibri" w:hAnsi="Calibri"/>
          <w:sz w:val="25"/>
          <w:szCs w:val="25"/>
          <w:b w:val="1"/>
          <w:bCs w:val="1"/>
          <w:color w:val="4472C4"/>
        </w:rPr>
        <w:t>RELATIONSHIP WITH INDEPENDENT PUBLIC ACCOUNTANTS</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Ernst &amp; Young LLP, which we refer to as Ernst &amp; Young, audited the Company’s fnancial statements for the fscal years ended March 31, 2020, 2021 and 2022.</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Ernst &amp; Young reports directly to our Audit Commitee. The Audit Commitee has adopted policies and procedures for pre-approving all audit and permissible non-audit services performed by Ernst &amp; Young. Under these policies, the Audit Commitee pre-approves the use of audit and specifc permissible audit-related and non-audit services up to certain dollar limits. Other audit and permissible non-audit services that exceed a $50,000 threshold must be pre-approved separately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Audit Commitee, or, for such services that do not exceed $50,000, by a member of the Audit Commitee. Any such member must report the pre-approval at the next Audit Commitee meetng. In determining whether or not to pre-approve services, the Audit Commitee determines whether the service is a permissible service under the SEC’s rules, and, if permissible, the potental efect of such services on the independence of Ernst &amp; Young.</w:t>
      </w:r>
    </w:p>
    <w:p>
      <w:pPr>
        <w:spacing w:after="0" w:line="221" w:lineRule="exact"/>
        <w:rPr>
          <w:sz w:val="20"/>
          <w:szCs w:val="20"/>
          <w:color w:val="auto"/>
        </w:rPr>
      </w:pPr>
    </w:p>
    <w:p>
      <w:pPr>
        <w:ind w:right="260"/>
        <w:spacing w:after="0" w:line="254" w:lineRule="auto"/>
        <w:rPr>
          <w:sz w:val="20"/>
          <w:szCs w:val="20"/>
          <w:color w:val="auto"/>
        </w:rPr>
      </w:pPr>
      <w:r>
        <w:rPr>
          <w:rFonts w:ascii="Calibri" w:cs="Calibri" w:eastAsia="Calibri" w:hAnsi="Calibri"/>
          <w:sz w:val="17"/>
          <w:szCs w:val="17"/>
          <w:color w:val="auto"/>
        </w:rPr>
        <w:t>The following table sets forth the various fees for services provided to the Company by Ernst &amp; Young in the fscal years ended March 31, 2022 and 2021, all of which services have been approved by the Audit Commitee:</w:t>
      </w:r>
    </w:p>
    <w:p>
      <w:pPr>
        <w:spacing w:after="0" w:line="399" w:lineRule="exact"/>
        <w:rPr>
          <w:sz w:val="20"/>
          <w:szCs w:val="20"/>
          <w:color w:val="auto"/>
        </w:rPr>
      </w:pPr>
    </w:p>
    <w:p>
      <w:pPr>
        <w:sectPr>
          <w:pgSz w:w="11900" w:h="16838" w:orient="portrait"/>
          <w:cols w:equalWidth="0" w:num="2">
            <w:col w:w="5480" w:space="260"/>
            <w:col w:w="5500"/>
          </w:cols>
          <w:pgMar w:left="320" w:top="342" w:right="339" w:bottom="1440" w:gutter="0" w:footer="0" w:header="0"/>
          <w:type w:val="continuous"/>
        </w:sect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Audit Related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All 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00" w:type="dxa"/>
            <w:vAlign w:val="bottom"/>
            <w:gridSpan w:val="2"/>
          </w:tcPr>
          <w:p>
            <w:pPr>
              <w:spacing w:after="0" w:line="155" w:lineRule="exact"/>
              <w:rPr>
                <w:sz w:val="20"/>
                <w:szCs w:val="20"/>
                <w:color w:val="auto"/>
              </w:rPr>
            </w:pPr>
            <w:r>
              <w:rPr>
                <w:rFonts w:ascii="Calibri" w:cs="Calibri" w:eastAsia="Calibri" w:hAnsi="Calibri"/>
                <w:sz w:val="14"/>
                <w:szCs w:val="14"/>
                <w:b w:val="1"/>
                <w:bCs w:val="1"/>
                <w:color w:val="auto"/>
              </w:rPr>
              <w:t>Fiscal Year Ended March 31,</w:t>
            </w:r>
          </w:p>
        </w:tc>
        <w:tc>
          <w:tcPr>
            <w:tcW w:w="80" w:type="dxa"/>
            <w:vAlign w:val="bottom"/>
          </w:tcPr>
          <w:p>
            <w:pPr>
              <w:spacing w:after="0"/>
              <w:rPr>
                <w:sz w:val="13"/>
                <w:szCs w:val="13"/>
                <w:color w:val="auto"/>
              </w:rPr>
            </w:pPr>
          </w:p>
        </w:tc>
        <w:tc>
          <w:tcPr>
            <w:tcW w:w="920" w:type="dxa"/>
            <w:vAlign w:val="bottom"/>
          </w:tcPr>
          <w:p>
            <w:pPr>
              <w:jc w:val="right"/>
              <w:ind w:right="22"/>
              <w:spacing w:after="0" w:line="155" w:lineRule="exact"/>
              <w:rPr>
                <w:sz w:val="20"/>
                <w:szCs w:val="20"/>
                <w:color w:val="auto"/>
              </w:rPr>
            </w:pPr>
            <w:r>
              <w:rPr>
                <w:rFonts w:ascii="Calibri" w:cs="Calibri" w:eastAsia="Calibri" w:hAnsi="Calibri"/>
                <w:sz w:val="14"/>
                <w:szCs w:val="14"/>
                <w:b w:val="1"/>
                <w:bCs w:val="1"/>
                <w:color w:val="auto"/>
                <w:w w:val="99"/>
              </w:rPr>
              <w:t>Audit Fees (1)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00"/>
              <w:spacing w:after="0" w:line="155" w:lineRule="exact"/>
              <w:rPr>
                <w:sz w:val="20"/>
                <w:szCs w:val="20"/>
                <w:color w:val="auto"/>
              </w:rPr>
            </w:pPr>
            <w:r>
              <w:rPr>
                <w:rFonts w:ascii="Calibri" w:cs="Calibri" w:eastAsia="Calibri" w:hAnsi="Calibri"/>
                <w:sz w:val="14"/>
                <w:szCs w:val="14"/>
                <w:b w:val="1"/>
                <w:bCs w:val="1"/>
                <w:color w:val="auto"/>
              </w:rPr>
              <w:t>Fees</w:t>
            </w:r>
          </w:p>
        </w:tc>
        <w:tc>
          <w:tcPr>
            <w:tcW w:w="180" w:type="dxa"/>
            <w:vAlign w:val="bottom"/>
          </w:tcPr>
          <w:p>
            <w:pPr>
              <w:spacing w:after="0"/>
              <w:rPr>
                <w:sz w:val="13"/>
                <w:szCs w:val="13"/>
                <w:color w:val="auto"/>
              </w:rPr>
            </w:pPr>
          </w:p>
        </w:tc>
        <w:tc>
          <w:tcPr>
            <w:tcW w:w="1220" w:type="dxa"/>
            <w:vAlign w:val="bottom"/>
            <w:gridSpan w:val="3"/>
          </w:tcPr>
          <w:p>
            <w:pPr>
              <w:jc w:val="right"/>
              <w:ind w:right="559"/>
              <w:spacing w:after="0" w:line="155" w:lineRule="exact"/>
              <w:rPr>
                <w:sz w:val="20"/>
                <w:szCs w:val="20"/>
                <w:color w:val="auto"/>
              </w:rPr>
            </w:pPr>
            <w:r>
              <w:rPr>
                <w:rFonts w:ascii="Calibri" w:cs="Calibri" w:eastAsia="Calibri" w:hAnsi="Calibri"/>
                <w:sz w:val="14"/>
                <w:szCs w:val="14"/>
                <w:b w:val="1"/>
                <w:bCs w:val="1"/>
                <w:color w:val="auto"/>
              </w:rPr>
              <w:t>Tax Fees</w:t>
            </w:r>
          </w:p>
        </w:tc>
        <w:tc>
          <w:tcPr>
            <w:tcW w:w="1060" w:type="dxa"/>
            <w:vAlign w:val="bottom"/>
            <w:gridSpan w:val="2"/>
          </w:tcPr>
          <w:p>
            <w:pPr>
              <w:jc w:val="center"/>
              <w:ind w:right="380"/>
              <w:spacing w:after="0" w:line="155" w:lineRule="exact"/>
              <w:rPr>
                <w:sz w:val="20"/>
                <w:szCs w:val="20"/>
                <w:color w:val="auto"/>
              </w:rPr>
            </w:pPr>
            <w:r>
              <w:rPr>
                <w:rFonts w:ascii="Calibri" w:cs="Calibri" w:eastAsia="Calibri" w:hAnsi="Calibri"/>
                <w:sz w:val="14"/>
                <w:szCs w:val="14"/>
                <w:b w:val="1"/>
                <w:bCs w:val="1"/>
                <w:color w:val="auto"/>
              </w:rPr>
              <w:t>Fees</w:t>
            </w:r>
          </w:p>
        </w:tc>
        <w:tc>
          <w:tcPr>
            <w:tcW w:w="220" w:type="dxa"/>
            <w:vAlign w:val="bottom"/>
          </w:tcPr>
          <w:p>
            <w:pPr>
              <w:spacing w:after="0"/>
              <w:rPr>
                <w:sz w:val="13"/>
                <w:szCs w:val="13"/>
                <w:color w:val="auto"/>
              </w:rPr>
            </w:pPr>
          </w:p>
        </w:tc>
        <w:tc>
          <w:tcPr>
            <w:tcW w:w="920" w:type="dxa"/>
            <w:vAlign w:val="bottom"/>
            <w:gridSpan w:val="2"/>
          </w:tcPr>
          <w:p>
            <w:pPr>
              <w:ind w:left="140"/>
              <w:spacing w:after="0" w:line="155" w:lineRule="exact"/>
              <w:rPr>
                <w:sz w:val="20"/>
                <w:szCs w:val="20"/>
                <w:color w:val="auto"/>
              </w:rPr>
            </w:pPr>
            <w:r>
              <w:rPr>
                <w:rFonts w:ascii="Calibri" w:cs="Calibri" w:eastAsia="Calibri" w:hAnsi="Calibri"/>
                <w:sz w:val="14"/>
                <w:szCs w:val="14"/>
                <w:b w:val="1"/>
                <w:bCs w:val="1"/>
                <w:color w:val="auto"/>
              </w:rPr>
              <w:t>Total</w:t>
            </w:r>
          </w:p>
        </w:tc>
      </w:tr>
      <w:tr>
        <w:trPr>
          <w:trHeight w:val="21"/>
        </w:trPr>
        <w:tc>
          <w:tcPr>
            <w:tcW w:w="1660" w:type="dxa"/>
            <w:vAlign w:val="bottom"/>
            <w:tcBorders>
              <w:top w:val="single" w:sz="8" w:color="auto"/>
              <w:bottom w:val="single" w:sz="8" w:color="CFF0FC"/>
            </w:tcBorders>
          </w:tcPr>
          <w:p>
            <w:pPr>
              <w:spacing w:after="0" w:line="20" w:lineRule="exact"/>
              <w:rPr>
                <w:sz w:val="1"/>
                <w:szCs w:val="1"/>
                <w:color w:val="auto"/>
              </w:rPr>
            </w:pPr>
          </w:p>
        </w:tc>
        <w:tc>
          <w:tcPr>
            <w:tcW w:w="35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89"/>
        </w:trPr>
        <w:tc>
          <w:tcPr>
            <w:tcW w:w="1660" w:type="dxa"/>
            <w:vAlign w:val="bottom"/>
            <w:tcBorders>
              <w:bottom w:val="single" w:sz="8" w:color="CFF0FC"/>
            </w:tcBorders>
            <w:shd w:val="clear" w:color="auto" w:fill="CFF0FC"/>
          </w:tcPr>
          <w:p>
            <w:pPr>
              <w:spacing w:after="0" w:line="182" w:lineRule="exact"/>
              <w:rPr>
                <w:sz w:val="20"/>
                <w:szCs w:val="20"/>
                <w:color w:val="auto"/>
              </w:rPr>
            </w:pPr>
            <w:r>
              <w:rPr>
                <w:rFonts w:ascii="Calibri" w:cs="Calibri" w:eastAsia="Calibri" w:hAnsi="Calibri"/>
                <w:sz w:val="16"/>
                <w:szCs w:val="16"/>
                <w:color w:val="auto"/>
              </w:rPr>
              <w:t>2022</w:t>
            </w:r>
          </w:p>
        </w:tc>
        <w:tc>
          <w:tcPr>
            <w:tcW w:w="35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9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1,736,000</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9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59,375</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8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8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2,000</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jc w:val="right"/>
              <w:ind w:right="59"/>
              <w:spacing w:after="0" w:line="187" w:lineRule="exact"/>
              <w:rPr>
                <w:sz w:val="20"/>
                <w:szCs w:val="20"/>
                <w:color w:val="auto"/>
              </w:rPr>
            </w:pPr>
            <w:r>
              <w:rPr>
                <w:rFonts w:ascii="Calibri" w:cs="Calibri" w:eastAsia="Calibri" w:hAnsi="Calibri"/>
                <w:sz w:val="16"/>
                <w:szCs w:val="16"/>
                <w:color w:val="auto"/>
                <w:w w:val="73"/>
              </w:rPr>
              <w:t>$</w:t>
            </w:r>
          </w:p>
        </w:tc>
        <w:tc>
          <w:tcPr>
            <w:tcW w:w="820" w:type="dxa"/>
            <w:vAlign w:val="bottom"/>
            <w:tcBorders>
              <w:bottom w:val="single" w:sz="8" w:color="CFF0FC"/>
            </w:tcBorders>
            <w:shd w:val="clear" w:color="auto" w:fill="CFF0FC"/>
          </w:tcPr>
          <w:p>
            <w:pPr>
              <w:ind w:left="140"/>
              <w:spacing w:after="0" w:line="187" w:lineRule="exact"/>
              <w:rPr>
                <w:sz w:val="20"/>
                <w:szCs w:val="20"/>
                <w:color w:val="auto"/>
              </w:rPr>
            </w:pPr>
            <w:r>
              <w:rPr>
                <w:rFonts w:ascii="Calibri" w:cs="Calibri" w:eastAsia="Calibri" w:hAnsi="Calibri"/>
                <w:sz w:val="16"/>
                <w:szCs w:val="16"/>
                <w:color w:val="auto"/>
              </w:rPr>
              <w:t>1,797,375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3"/>
        </w:trPr>
        <w:tc>
          <w:tcPr>
            <w:tcW w:w="1660" w:type="dxa"/>
            <w:vAlign w:val="bottom"/>
          </w:tcPr>
          <w:p>
            <w:pPr>
              <w:spacing w:after="0" w:line="193" w:lineRule="exact"/>
              <w:rPr>
                <w:sz w:val="20"/>
                <w:szCs w:val="20"/>
                <w:color w:val="auto"/>
              </w:rPr>
            </w:pPr>
            <w:r>
              <w:rPr>
                <w:rFonts w:ascii="Calibri" w:cs="Calibri" w:eastAsia="Calibri" w:hAnsi="Calibri"/>
                <w:sz w:val="16"/>
                <w:szCs w:val="16"/>
                <w:color w:val="auto"/>
              </w:rPr>
              <w:t>2021</w:t>
            </w:r>
          </w:p>
        </w:tc>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1,646,735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63,475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2,000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ind w:left="140"/>
              <w:spacing w:after="0" w:line="193" w:lineRule="exact"/>
              <w:rPr>
                <w:sz w:val="20"/>
                <w:szCs w:val="20"/>
                <w:color w:val="auto"/>
              </w:rPr>
            </w:pPr>
            <w:r>
              <w:rPr>
                <w:rFonts w:ascii="Calibri" w:cs="Calibri" w:eastAsia="Calibri" w:hAnsi="Calibri"/>
                <w:sz w:val="16"/>
                <w:szCs w:val="16"/>
                <w:color w:val="auto"/>
              </w:rPr>
              <w:t>1,712,210</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22288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56" w:lineRule="exact"/>
        <w:rPr>
          <w:sz w:val="20"/>
          <w:szCs w:val="20"/>
          <w:color w:val="auto"/>
        </w:rPr>
      </w:pPr>
    </w:p>
    <w:p>
      <w:pPr>
        <w:ind w:left="340" w:right="520" w:hanging="332"/>
        <w:spacing w:after="0" w:line="235" w:lineRule="auto"/>
        <w:tabs>
          <w:tab w:leader="none" w:pos="3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Includes fees for the annual audit and quarterly reviews, accountng and fnancial reportng consultatons regarding generally accepted accountng principles.</w:t>
      </w:r>
    </w:p>
    <w:p>
      <w:pPr>
        <w:spacing w:after="0" w:line="20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56" w:name="page57"/>
    <w:bookmarkEnd w:id="56"/>
    <w:p>
      <w:pPr>
        <w:jc w:val="center"/>
        <w:ind w:right="-19"/>
        <w:spacing w:after="0"/>
        <w:rPr>
          <w:sz w:val="20"/>
          <w:szCs w:val="20"/>
          <w:color w:val="auto"/>
        </w:rPr>
      </w:pPr>
      <w:r>
        <w:rPr>
          <w:rFonts w:ascii="Calibri" w:cs="Calibri" w:eastAsia="Calibri" w:hAnsi="Calibri"/>
          <w:sz w:val="25"/>
          <w:szCs w:val="25"/>
          <w:b w:val="1"/>
          <w:bCs w:val="1"/>
          <w:color w:val="4472C4"/>
        </w:rPr>
        <w:t>AUDIT COMMITTEE REPORT</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Board of Directors of Eagle Materials Inc.:</w:t>
      </w:r>
    </w:p>
    <w:p>
      <w:pPr>
        <w:spacing w:after="0" w:line="217" w:lineRule="exact"/>
        <w:rPr>
          <w:sz w:val="20"/>
          <w:szCs w:val="20"/>
          <w:color w:val="auto"/>
        </w:rPr>
      </w:pPr>
    </w:p>
    <w:p>
      <w:pPr>
        <w:ind w:firstLine="476"/>
        <w:spacing w:after="0" w:line="235" w:lineRule="auto"/>
        <w:rPr>
          <w:sz w:val="20"/>
          <w:szCs w:val="20"/>
          <w:color w:val="auto"/>
        </w:rPr>
      </w:pPr>
      <w:r>
        <w:rPr>
          <w:rFonts w:ascii="Calibri" w:cs="Calibri" w:eastAsia="Calibri" w:hAnsi="Calibri"/>
          <w:sz w:val="18"/>
          <w:szCs w:val="18"/>
          <w:color w:val="auto"/>
        </w:rPr>
        <w:t>All of the Audit Commitee members are independent as defned in the current NYSE listng standards and the applicable rules of the Securites Exchange Act of 1934, and Mr. Ellen is our “audit commitee fnancial expert” within the meaning of the rules of the SEC. The Audit Commitee charter sets forth the dutes and responsibilites of the Audit Commitee. The Audit Commitee is primarily responsible for assistng the Board in fulflling its responsibility to oversee the following: the integrity of our fnancial statements, our compliance with legal and regulatory requirements, the qualifcatons and independence and appointment of our independent auditors and the performance of our internal audit functon and independent auditors. Management has primary responsibility for the preparaton of the fnancial statements, completeness and accuracy of fnancial reportng and the overall system of internal control over fnancial reportng.</w:t>
      </w:r>
    </w:p>
    <w:p>
      <w:pPr>
        <w:spacing w:after="0" w:line="222" w:lineRule="exact"/>
        <w:rPr>
          <w:sz w:val="20"/>
          <w:szCs w:val="20"/>
          <w:color w:val="auto"/>
        </w:rPr>
      </w:pPr>
    </w:p>
    <w:p>
      <w:pPr>
        <w:jc w:val="both"/>
        <w:ind w:right="120" w:firstLine="476"/>
        <w:spacing w:after="0" w:line="235" w:lineRule="auto"/>
        <w:rPr>
          <w:sz w:val="20"/>
          <w:szCs w:val="20"/>
          <w:color w:val="auto"/>
        </w:rPr>
      </w:pPr>
      <w:r>
        <w:rPr>
          <w:rFonts w:ascii="Calibri" w:cs="Calibri" w:eastAsia="Calibri" w:hAnsi="Calibri"/>
          <w:sz w:val="18"/>
          <w:szCs w:val="18"/>
          <w:color w:val="auto"/>
        </w:rPr>
        <w:t>We have reviewed and discussed with management and the independent registered public accountng frm, Ernst &amp; Young LLP, as appropriate, (1) the audited fnancial statements of Eagle Materials Inc. as of and for the fscal year ended March 31, 2022 and (2) management’s report on internal control over fnancial reportng and the independent registered accountng frm’s related opinions.</w:t>
      </w:r>
    </w:p>
    <w:p>
      <w:pPr>
        <w:spacing w:after="0" w:line="219" w:lineRule="exact"/>
        <w:rPr>
          <w:sz w:val="20"/>
          <w:szCs w:val="20"/>
          <w:color w:val="auto"/>
        </w:rPr>
      </w:pPr>
    </w:p>
    <w:p>
      <w:pPr>
        <w:ind w:right="60" w:firstLine="476"/>
        <w:spacing w:after="0" w:line="235" w:lineRule="auto"/>
        <w:rPr>
          <w:sz w:val="20"/>
          <w:szCs w:val="20"/>
          <w:color w:val="auto"/>
        </w:rPr>
      </w:pPr>
      <w:r>
        <w:rPr>
          <w:rFonts w:ascii="Calibri" w:cs="Calibri" w:eastAsia="Calibri" w:hAnsi="Calibri"/>
          <w:sz w:val="18"/>
          <w:szCs w:val="18"/>
          <w:color w:val="auto"/>
        </w:rPr>
        <w:t xml:space="preserve">We have discussed with Ernst &amp; Young LLP the required communicatons specifed by auditng standards, together with guidelines established by the SEC and the Sarbanes-Oxley Act, including the maters required to be discussed by Public Company Accountng Oversight Board (“PCAOB”) Auditng Standard No. 1301, </w:t>
      </w:r>
      <w:r>
        <w:rPr>
          <w:rFonts w:ascii="Calibri" w:cs="Calibri" w:eastAsia="Calibri" w:hAnsi="Calibri"/>
          <w:sz w:val="18"/>
          <w:szCs w:val="18"/>
          <w:i w:val="1"/>
          <w:iCs w:val="1"/>
          <w:color w:val="auto"/>
        </w:rPr>
        <w:t>Communicaton with Audit Commitees</w:t>
      </w:r>
      <w:r>
        <w:rPr>
          <w:rFonts w:ascii="Calibri" w:cs="Calibri" w:eastAsia="Calibri" w:hAnsi="Calibri"/>
          <w:sz w:val="18"/>
          <w:szCs w:val="18"/>
          <w:color w:val="auto"/>
        </w:rPr>
        <w:t>.</w:t>
      </w:r>
    </w:p>
    <w:p>
      <w:pPr>
        <w:spacing w:after="0" w:line="219" w:lineRule="exact"/>
        <w:rPr>
          <w:sz w:val="20"/>
          <w:szCs w:val="20"/>
          <w:color w:val="auto"/>
        </w:rPr>
      </w:pPr>
    </w:p>
    <w:p>
      <w:pPr>
        <w:ind w:right="60" w:firstLine="476"/>
        <w:spacing w:after="0" w:line="235" w:lineRule="auto"/>
        <w:rPr>
          <w:sz w:val="20"/>
          <w:szCs w:val="20"/>
          <w:color w:val="auto"/>
        </w:rPr>
      </w:pPr>
      <w:r>
        <w:rPr>
          <w:rFonts w:ascii="Calibri" w:cs="Calibri" w:eastAsia="Calibri" w:hAnsi="Calibri"/>
          <w:sz w:val="18"/>
          <w:szCs w:val="18"/>
          <w:color w:val="auto"/>
        </w:rPr>
        <w:t>We have received and reviewed the writen disclosures and the leter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afliates is compatble with Ernst &amp; Young LLP’s independence.</w:t>
      </w:r>
    </w:p>
    <w:p>
      <w:pPr>
        <w:spacing w:after="0" w:line="219" w:lineRule="exact"/>
        <w:rPr>
          <w:sz w:val="20"/>
          <w:szCs w:val="20"/>
          <w:color w:val="auto"/>
        </w:rPr>
      </w:pPr>
    </w:p>
    <w:p>
      <w:pPr>
        <w:jc w:val="both"/>
        <w:ind w:right="160" w:firstLine="476"/>
        <w:spacing w:after="0" w:line="235" w:lineRule="auto"/>
        <w:rPr>
          <w:sz w:val="20"/>
          <w:szCs w:val="20"/>
          <w:color w:val="auto"/>
        </w:rPr>
      </w:pPr>
      <w:r>
        <w:rPr>
          <w:rFonts w:ascii="Calibri" w:cs="Calibri" w:eastAsia="Calibri" w:hAnsi="Calibri"/>
          <w:sz w:val="18"/>
          <w:szCs w:val="18"/>
          <w:color w:val="auto"/>
        </w:rPr>
        <w:t>Based on the reviews and discussions referred to above, we recommend to the Board of Directors that the fnancial statements referred to above be included in the Annual Report of Eagle Materials Inc. on Form 10-K for the fscal year ended March 31, 2022. This report is furnished by the members of the Audit Commitee as of May 20, 2022.</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Audit Commitee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Martn M. Ellen, </w:t>
      </w:r>
      <w:r>
        <w:rPr>
          <w:rFonts w:ascii="Calibri" w:cs="Calibri" w:eastAsia="Calibri" w:hAnsi="Calibri"/>
          <w:sz w:val="18"/>
          <w:szCs w:val="18"/>
          <w:i w:val="1"/>
          <w:iCs w:val="1"/>
          <w:color w:val="auto"/>
        </w:rPr>
        <w:t>Chairman</w:t>
      </w:r>
    </w:p>
    <w:p>
      <w:pPr>
        <w:spacing w:after="0" w:line="235" w:lineRule="auto"/>
        <w:rPr>
          <w:sz w:val="20"/>
          <w:szCs w:val="20"/>
          <w:color w:val="auto"/>
        </w:rPr>
      </w:pPr>
      <w:r>
        <w:rPr>
          <w:rFonts w:ascii="Calibri" w:cs="Calibri" w:eastAsia="Calibri" w:hAnsi="Calibri"/>
          <w:sz w:val="18"/>
          <w:szCs w:val="18"/>
          <w:color w:val="auto"/>
        </w:rPr>
        <w:t>Mauro Gregorio</w:t>
      </w:r>
    </w:p>
    <w:p>
      <w:pPr>
        <w:spacing w:after="0" w:line="236" w:lineRule="auto"/>
        <w:rPr>
          <w:sz w:val="20"/>
          <w:szCs w:val="20"/>
          <w:color w:val="auto"/>
        </w:rPr>
      </w:pPr>
      <w:r>
        <w:rPr>
          <w:rFonts w:ascii="Calibri" w:cs="Calibri" w:eastAsia="Calibri" w:hAnsi="Calibri"/>
          <w:sz w:val="18"/>
          <w:szCs w:val="18"/>
          <w:color w:val="auto"/>
        </w:rPr>
        <w:t>Mary P. Ricciardello</w:t>
      </w:r>
    </w:p>
    <w:p>
      <w:pPr>
        <w:spacing w:after="0" w:line="236" w:lineRule="auto"/>
        <w:rPr>
          <w:sz w:val="20"/>
          <w:szCs w:val="20"/>
          <w:color w:val="auto"/>
        </w:rPr>
      </w:pPr>
      <w:r>
        <w:rPr>
          <w:rFonts w:ascii="Calibri" w:cs="Calibri" w:eastAsia="Calibri" w:hAnsi="Calibri"/>
          <w:sz w:val="18"/>
          <w:szCs w:val="18"/>
          <w:color w:val="auto"/>
        </w:rPr>
        <w:t>Richard R. Stewart</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This report of the Audit Commitee does not consttute “solicitng material” and should not be deemed “fled” or incorporated by reference into any of the other Company flings under the Securites Act of 1933 or the Securites Exchange Act of 1934, except to the extent the Company specifcally requests that the informaton be treated as solicitng material or specifcally incorporates this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1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7" w:name="page58"/>
    <w:bookmarkEnd w:id="57"/>
    <w:p>
      <w:pPr>
        <w:jc w:val="center"/>
        <w:spacing w:after="0"/>
        <w:rPr>
          <w:sz w:val="20"/>
          <w:szCs w:val="20"/>
          <w:color w:val="auto"/>
        </w:rPr>
      </w:pPr>
      <w:r>
        <w:rPr>
          <w:rFonts w:ascii="Calibri" w:cs="Calibri" w:eastAsia="Calibri" w:hAnsi="Calibri"/>
          <w:sz w:val="25"/>
          <w:szCs w:val="25"/>
          <w:b w:val="1"/>
          <w:bCs w:val="1"/>
          <w:color w:val="4472C4"/>
        </w:rPr>
        <w:t>OTHER MATTERS WHICH MAY BE PRESENTED FOR ACTION AT THE MEETING</w:t>
      </w:r>
    </w:p>
    <w:p>
      <w:pPr>
        <w:spacing w:after="0" w:line="22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Board of Directors does not intend to present for acton at this annual meetng any mater other than those specifcally set forth in the Notce of Annual Meetng of Stockholders. If any other mater is properly presented for acton at the meetng, it is the intenton of persons named in the proxy to vote thereon in accordance with their judgment pursuant to the discretonary authority conferred by the proxy.</w:t>
      </w:r>
    </w:p>
    <w:p>
      <w:pPr>
        <w:spacing w:after="0" w:line="324" w:lineRule="exact"/>
        <w:rPr>
          <w:sz w:val="20"/>
          <w:szCs w:val="20"/>
          <w:color w:val="auto"/>
        </w:rPr>
      </w:pPr>
    </w:p>
    <w:p>
      <w:pPr>
        <w:ind w:left="300"/>
        <w:spacing w:after="0"/>
        <w:rPr>
          <w:sz w:val="20"/>
          <w:szCs w:val="20"/>
          <w:color w:val="auto"/>
        </w:rPr>
      </w:pPr>
      <w:r>
        <w:rPr>
          <w:rFonts w:ascii="Calibri" w:cs="Calibri" w:eastAsia="Calibri" w:hAnsi="Calibri"/>
          <w:sz w:val="25"/>
          <w:szCs w:val="25"/>
          <w:b w:val="1"/>
          <w:bCs w:val="1"/>
          <w:color w:val="4472C4"/>
        </w:rPr>
        <w:t>DELIVERY OF DOCUMENTS TO STOCKHOLDERS</w:t>
      </w:r>
    </w:p>
    <w:p>
      <w:pPr>
        <w:spacing w:after="0" w:line="226" w:lineRule="exact"/>
        <w:rPr>
          <w:sz w:val="20"/>
          <w:szCs w:val="20"/>
          <w:color w:val="auto"/>
        </w:rPr>
      </w:pPr>
    </w:p>
    <w:p>
      <w:pPr>
        <w:ind w:right="20"/>
        <w:spacing w:after="0" w:line="250" w:lineRule="auto"/>
        <w:rPr>
          <w:sz w:val="20"/>
          <w:szCs w:val="20"/>
          <w:color w:val="auto"/>
        </w:rPr>
      </w:pPr>
      <w:r>
        <w:rPr>
          <w:rFonts w:ascii="Calibri" w:cs="Calibri" w:eastAsia="Calibri" w:hAnsi="Calibri"/>
          <w:sz w:val="17"/>
          <w:szCs w:val="17"/>
          <w:color w:val="auto"/>
        </w:rPr>
        <w:t>Pursuant to the rules of the SEC, the Company and services that it employs to deliver communicatons to its stockholders are permited to deliver to two or more stockholders sharing the same address a single copy of the proxy statement. Upon writen or oral request, the Company will deliver a separate copy of the proxy statement to any stockholder at a shared address who wishes to receive separate copies of such documents in the future. Stockholders receiving multple copies of such documents may likewise request that the Company deliver single copies of such documents in the future. Stockholders may notfy the Company of their requests by calling or directng a writen request to Eagle Materials Inc., Atenton: Mat Newby, Secretary, 5960 Berkshire Ln., Suite 900, Dallas, Texas 75225, (214) 432-2000.</w:t>
      </w:r>
    </w:p>
    <w:p>
      <w:pPr>
        <w:spacing w:after="0" w:line="317" w:lineRule="exact"/>
        <w:rPr>
          <w:sz w:val="20"/>
          <w:szCs w:val="20"/>
          <w:color w:val="auto"/>
        </w:rPr>
      </w:pPr>
    </w:p>
    <w:p>
      <w:pPr>
        <w:jc w:val="center"/>
        <w:ind w:right="20"/>
        <w:spacing w:after="0"/>
        <w:rPr>
          <w:sz w:val="20"/>
          <w:szCs w:val="20"/>
          <w:color w:val="auto"/>
        </w:rPr>
      </w:pPr>
      <w:r>
        <w:rPr>
          <w:rFonts w:ascii="Calibri" w:cs="Calibri" w:eastAsia="Calibri" w:hAnsi="Calibri"/>
          <w:sz w:val="25"/>
          <w:szCs w:val="25"/>
          <w:b w:val="1"/>
          <w:bCs w:val="1"/>
          <w:color w:val="4472C4"/>
        </w:rPr>
        <w:t>DEADLINE FOR RECEIPT OF STOCKHOLDER</w:t>
      </w:r>
    </w:p>
    <w:p>
      <w:pPr>
        <w:spacing w:after="0" w:line="5" w:lineRule="exact"/>
        <w:rPr>
          <w:sz w:val="20"/>
          <w:szCs w:val="20"/>
          <w:color w:val="auto"/>
        </w:rPr>
      </w:pPr>
    </w:p>
    <w:p>
      <w:pPr>
        <w:jc w:val="center"/>
        <w:ind w:right="20"/>
        <w:spacing w:after="0"/>
        <w:rPr>
          <w:sz w:val="20"/>
          <w:szCs w:val="20"/>
          <w:color w:val="auto"/>
        </w:rPr>
      </w:pPr>
      <w:r>
        <w:rPr>
          <w:rFonts w:ascii="Calibri" w:cs="Calibri" w:eastAsia="Calibri" w:hAnsi="Calibri"/>
          <w:sz w:val="25"/>
          <w:szCs w:val="25"/>
          <w:b w:val="1"/>
          <w:bCs w:val="1"/>
          <w:color w:val="4472C4"/>
        </w:rPr>
        <w:t>PROPOSALS</w:t>
      </w:r>
    </w:p>
    <w:p>
      <w:pPr>
        <w:spacing w:after="0" w:line="226"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Next year’s annual meetng of stockholders is scheduled to be held on August 3, 2023. In order to be considered for inclusion in the Company’s proxy material for that meetng, stockholder proposals must be received at our executve ofces, addressed to the atenton of the Secretary, not later than February 24, 2023.</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For any proposal that is not submited for inclusion in our proxy material for the 2023 annual meetng of stockholders but is instead sought to be presented directly at that meetng, Rule 14a-4(c) under the Exchange Act permits the Company’s management to exercise discretonary votng authority under proxies it solicits unless the Company is notfed about the proposal on or before May 5, 2023, and the stockholder satsfes the other requirements of Rule 14a-4(c). Our Bylaws provide that, to be considered at the 2023 annual meetng, a stockholder proposal must be submited in writng and received by our Secretary at the executve ofces of the Company during the period beginning on February 4, 2023 and ending May 5, 2023, and must contain the informaton specifed by and otherwise comply with our Bylaws. Any stockholder wishing to receive a copy of our Bylaws should direct a writen request to our Secretary at the Company’s principal executve ofce.</w:t>
      </w:r>
    </w:p>
    <w:p>
      <w:pPr>
        <w:spacing w:after="0" w:line="331" w:lineRule="exact"/>
        <w:rPr>
          <w:sz w:val="20"/>
          <w:szCs w:val="20"/>
          <w:color w:val="auto"/>
        </w:rPr>
      </w:pPr>
    </w:p>
    <w:p>
      <w:pPr>
        <w:ind w:left="2160"/>
        <w:spacing w:after="0"/>
        <w:rPr>
          <w:sz w:val="20"/>
          <w:szCs w:val="20"/>
          <w:color w:val="auto"/>
        </w:rPr>
      </w:pPr>
      <w:r>
        <w:rPr>
          <w:rFonts w:ascii="Calibri" w:cs="Calibri" w:eastAsia="Calibri" w:hAnsi="Calibri"/>
          <w:sz w:val="25"/>
          <w:szCs w:val="25"/>
          <w:b w:val="1"/>
          <w:bCs w:val="1"/>
          <w:color w:val="auto"/>
        </w:rPr>
        <w:t>FORM 10-K</w:t>
      </w:r>
    </w:p>
    <w:p>
      <w:pPr>
        <w:spacing w:after="0" w:line="226"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Stockholders enttled to vote at the meetng may obtain a copy of the Company’s Annual Report on Form 10-K for the fscal year ended March 31, 2022, including the fnancial statements required to be fled with the SEC, without charge, upon writen or oral request to Eagle Materials Inc., Atenton: Mat Newby, Secretary, 5960 Berkshire Ln., Suite 900, Dallas, Texas 75225, (214) 432-2000.</w:t>
      </w:r>
    </w:p>
    <w:p>
      <w:pPr>
        <w:spacing w:after="0" w:line="216" w:lineRule="exact"/>
        <w:rPr>
          <w:sz w:val="20"/>
          <w:szCs w:val="20"/>
          <w:color w:val="auto"/>
        </w:rPr>
      </w:pPr>
    </w:p>
    <w:p>
      <w:pPr>
        <w:ind w:left="2200"/>
        <w:spacing w:after="0"/>
        <w:rPr>
          <w:sz w:val="20"/>
          <w:szCs w:val="20"/>
          <w:color w:val="auto"/>
        </w:rPr>
      </w:pPr>
      <w:r>
        <w:rPr>
          <w:rFonts w:ascii="Calibri" w:cs="Calibri" w:eastAsia="Calibri" w:hAnsi="Calibri"/>
          <w:sz w:val="18"/>
          <w:szCs w:val="18"/>
          <w:color w:val="auto"/>
        </w:rPr>
        <w:t>By Order of the Board of Directors</w:t>
      </w:r>
    </w:p>
    <w:p>
      <w:pPr>
        <w:spacing w:after="0" w:line="212" w:lineRule="exact"/>
        <w:rPr>
          <w:sz w:val="20"/>
          <w:szCs w:val="20"/>
          <w:color w:val="auto"/>
        </w:rPr>
      </w:pPr>
    </w:p>
    <w:p>
      <w:pPr>
        <w:ind w:left="2760"/>
        <w:spacing w:after="0"/>
        <w:rPr>
          <w:sz w:val="20"/>
          <w:szCs w:val="20"/>
          <w:color w:val="auto"/>
        </w:rPr>
      </w:pPr>
      <w:r>
        <w:rPr>
          <w:rFonts w:ascii="Calibri" w:cs="Calibri" w:eastAsia="Calibri" w:hAnsi="Calibri"/>
          <w:sz w:val="18"/>
          <w:szCs w:val="18"/>
          <w:color w:val="auto"/>
        </w:rPr>
        <w:t>MATT NEWBY</w:t>
      </w:r>
    </w:p>
    <w:p>
      <w:pPr>
        <w:ind w:left="2760"/>
        <w:spacing w:after="0" w:line="235" w:lineRule="auto"/>
        <w:rPr>
          <w:sz w:val="20"/>
          <w:szCs w:val="20"/>
          <w:color w:val="auto"/>
        </w:rPr>
      </w:pPr>
      <w:r>
        <w:rPr>
          <w:rFonts w:ascii="Calibri" w:cs="Calibri" w:eastAsia="Calibri" w:hAnsi="Calibri"/>
          <w:sz w:val="18"/>
          <w:szCs w:val="18"/>
          <w:i w:val="1"/>
          <w:iCs w:val="1"/>
          <w:color w:val="auto"/>
        </w:rPr>
        <w:t>Executve Vice President,</w:t>
      </w:r>
    </w:p>
    <w:p>
      <w:pPr>
        <w:ind w:left="2760"/>
        <w:spacing w:after="0" w:line="236" w:lineRule="auto"/>
        <w:rPr>
          <w:sz w:val="20"/>
          <w:szCs w:val="20"/>
          <w:color w:val="auto"/>
        </w:rPr>
      </w:pPr>
      <w:r>
        <w:rPr>
          <w:rFonts w:ascii="Calibri" w:cs="Calibri" w:eastAsia="Calibri" w:hAnsi="Calibri"/>
          <w:sz w:val="18"/>
          <w:szCs w:val="18"/>
          <w:i w:val="1"/>
          <w:iCs w:val="1"/>
          <w:color w:val="auto"/>
        </w:rPr>
        <w:t>General Counsel and Secretary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Dallas, Texas</w:t>
      </w:r>
    </w:p>
    <w:p>
      <w:pPr>
        <w:spacing w:after="0" w:line="235" w:lineRule="auto"/>
        <w:rPr>
          <w:sz w:val="20"/>
          <w:szCs w:val="20"/>
          <w:color w:val="auto"/>
        </w:rPr>
      </w:pPr>
      <w:r>
        <w:rPr>
          <w:rFonts w:ascii="Calibri" w:cs="Calibri" w:eastAsia="Calibri" w:hAnsi="Calibri"/>
          <w:sz w:val="18"/>
          <w:szCs w:val="18"/>
          <w:color w:val="auto"/>
        </w:rPr>
        <w:t>June 24, 2022</w:t>
      </w:r>
    </w:p>
    <w:p>
      <w:pPr>
        <w:spacing w:after="0" w:line="548" w:lineRule="exact"/>
        <w:rPr>
          <w:sz w:val="20"/>
          <w:szCs w:val="20"/>
          <w:color w:val="auto"/>
        </w:rPr>
      </w:pPr>
    </w:p>
    <w:p>
      <w:pPr>
        <w:sectPr>
          <w:pgSz w:w="11900" w:h="16838" w:orient="portrait"/>
          <w:cols w:equalWidth="0" w:num="2">
            <w:col w:w="5520" w:space="220"/>
            <w:col w:w="5460"/>
          </w:cols>
          <w:pgMar w:left="320" w:top="427" w:right="3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jc w:val="center"/>
        <w:ind w:right="-39"/>
        <w:spacing w:after="0" w:line="238" w:lineRule="auto"/>
        <w:rPr>
          <w:sz w:val="20"/>
          <w:szCs w:val="20"/>
          <w:color w:val="auto"/>
        </w:rPr>
      </w:pPr>
      <w:r>
        <w:rPr>
          <w:rFonts w:ascii="Calibri" w:cs="Calibri" w:eastAsia="Calibri" w:hAnsi="Calibri"/>
          <w:sz w:val="20"/>
          <w:szCs w:val="20"/>
          <w:color w:val="auto"/>
        </w:rPr>
        <w:t xml:space="preserve">Eagle Materials Inc. * 2022 PROXY STATEMENT  </w:t>
      </w:r>
      <w:r>
        <w:rPr>
          <w:rFonts w:ascii="Calibri" w:cs="Calibri" w:eastAsia="Calibri" w:hAnsi="Calibri"/>
          <w:sz w:val="17"/>
          <w:szCs w:val="17"/>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27" w:right="379" w:bottom="1440" w:gutter="0" w:footer="0" w:header="0"/>
          <w:type w:val="continuous"/>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74865" cy="8182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818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311785</wp:posOffset>
            </wp:positionV>
            <wp:extent cx="6583680" cy="77152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58368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0"/>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lvl w:ilvl="1">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7"/>
    </w:lvl>
  </w:abstractNum>
  <w:abstractNum w:abstractNumId="24">
    <w:nsid w:val="1E7FF521"/>
    <w:multiLevelType w:val="hybridMultilevel"/>
    <w:lvl w:ilvl="0">
      <w:lvlJc w:val="left"/>
      <w:lvlText w:val="(%1)"/>
      <w:numFmt w:val="lowerLetter"/>
      <w:start w:val="2"/>
    </w:lvl>
  </w:abstractNum>
  <w:abstractNum w:abstractNumId="25">
    <w:nsid w:val="7C3DBD3D"/>
    <w:multiLevelType w:val="hybridMultilevel"/>
    <w:lvl w:ilvl="0">
      <w:lvlJc w:val="left"/>
      <w:lvlText w:val="(%1)"/>
      <w:numFmt w:val="decimal"/>
      <w:start w:val="2"/>
    </w:lvl>
  </w:abstractNum>
  <w:abstractNum w:abstractNumId="26">
    <w:nsid w:val="737B8DDC"/>
    <w:multiLevelType w:val="hybridMultilevel"/>
    <w:lvl w:ilvl="0">
      <w:lvlJc w:val="left"/>
      <w:lvlText w:val="(%1)"/>
      <w:numFmt w:val="lowerRoman"/>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decimal"/>
      <w:start w:val="10"/>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endash "/>
      <w:numFmt w:val="bullet"/>
      <w:start w:val="1"/>
    </w:lvl>
  </w:abstractNum>
  <w:abstractNum w:abstractNumId="32">
    <w:nsid w:val="419AC241"/>
    <w:multiLevelType w:val="hybridMultilevel"/>
    <w:lvl w:ilvl="0">
      <w:lvlJc w:val="left"/>
      <w:lvlText w:val="(%1)"/>
      <w:numFmt w:val="decimal"/>
      <w:start w:val="2"/>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2022-06-24T15:42:41Z</dcterms:created>
  <dcterms:modified xsi:type="dcterms:W3CDTF">2022-06-24T15:42:41Z</dcterms:modified>
</cp:coreProperties>
</file>