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Eagle Materials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w w:val="99"/>
              </w:rPr>
              <w:t>1-12984</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75-2520779</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5960 Berkshire Ln., Suite 900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75225</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432-2000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EXP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EXP</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 Inc.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Information responsive to Item 5.02(b):</w:t>
      </w:r>
    </w:p>
    <w:p>
      <w:pPr>
        <w:spacing w:after="0" w:line="119"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On May 15, 2026, William R. Devlin, Senior Vice President, Chief Accounting Officer and Controller of Eagle Materials Inc. (the “Company”), notified the Company of his decision to retire from his position effective as of June 1, 2026. He has served the Company in this capacity for over 20 years. Mr. Devlin will remain with the Company in an advisory capacity for a transition period of approximately two to three months.</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a part of the Company’s succession planning process, Samuel M. Guzman Jr. will become Senior Vice President, Chief Accounting Officer and Controller of the Company, effective as of June 1, 2026. Mr. Guzman is currently the Company’s Vice President - Financial Reporting, a role he has held since July 2025. Prior to joining the Company, Mr. Guzman was Vice President and Chief Accounting Officer of Beacon Roofing Supply, Inc. from 2020 to 2025, and Vice President and Chief Accounting Officer of Liquidity Services, Inc. from 2018 to 2020. Mr. Guzman began his career at Deloitte &amp; Touche, he is a Certified Public Accountant, and he holds a B.S. in Accounting from Virginia Commonwealth University.</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Information responsive to Item 5.02(e):</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On May 15, 2026, the Compensation Committee approved the Eagle Materials Inc. Salaried Incentive Compensation Program (“Eagle Plan”), a copy of which is attached to this Report as Exhibit 10.1 and incorporated herein by reference. Under the terms of the Eagle Plan, a pool of 1.2% of the Company’s operating earnings for fiscal 2027 will be available to pay annual bonuses to participating officers, subject to reduction based on individual performance in fiscal 2027 and the following limitations: (i) if the Company’s operating earnings for fiscal 2027 are less than 50% of budget, then no funds will be available for the corporate bonus pool; and (ii) none of the participants in the program will be able to receive a bonus payment in excess of three times (3X) such participant’s annual base salary. The Compensation Committee also determined the applicable percentage of the bonus pool available for payment of the fiscal 2027 annual incentive bonus to the named executive officers participating in the Eagle Plan (Michael R. Haack, President and Chief Executive Officer, 33.0%; D. Craig Kesler, Executive Vice President - Finance and Administration and Chief Financial Officer, 16.0%; and Matt Newby, Executive Vice President, General Counsel and Secretary, 11.0%).</w:t>
      </w:r>
    </w:p>
    <w:p>
      <w:pPr>
        <w:spacing w:after="0" w:line="188"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also approved the Eagle Materials Inc. Business Unit Salaried Incentive Compensation Program (“Business Unit Plan”), a copy of which is attached to this Report as Exhibit 10.2 and incorporated herein by reference. Under the terms of the Business Unit Plan, a pool of each of the Company’s participating business unit’s EBITDA will be available to pay annual bonuses to participating officers, subject to reduction based on individual performance in fiscal 2027 and the following limitations: (i) if the participating business unit’s EBITDA for fiscal 2027 is less than 50% of budget, then no funds will be available for that business unit’s pool; and (ii) none of the participants in the program will be able to receive a bonus payment in excess of two times (2X) such participant’s annual base salary. For fiscal 2027, the Compensation Committee set the EBITDA percentage for American Gypsum at 2.00% (“AG Pool”), and for the consolidated cement subsidiaries, at 1.90%, as adjusted with respect to our 50% owned cement joint venture (“Cement Pool”). The Compensation Committee also determined the maximum bonus potential for the named executive officers participating in the Business Unit Plan: Eric Cribbs, President of American Gypsum Company LLC, 8.5% of the AG Pool (subject to a Committee-imposed cap of $450,000); and Tony Thompson, Senior Vice President, Cement East, 4.75% of the Cement Pool (subject to a Committee-imposed cap of $400,000).</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also approved the Eagle Materials Inc. Special Situation Program (the “SSP”), a copy of which is attached to this Report as Exhibit 10.3 and incorporated herein by reference. Under the terms of the SSP, a pool of 0.2% of the Company’s EBITDA for fiscal 2027, plus any portions of bonus pools under the Eagle Plan, the Business Unit Plan and the business unit long-term compensation plan not paid out or earned, are available to pay annual bonuses to participating employees from the SSP.</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9"/>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10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w:t>
            </w:r>
          </w:p>
        </w:tc>
        <w:tc>
          <w:tcPr>
            <w:tcW w:w="10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100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Eagle Materials Inc. Salaried Incentive Compensation Program</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5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Eagle Materials Inc. Business Unit Salaried Incentive Compensation Program</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Eagle Materials Inc. Special Situation Program</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EAGLE MATERIALS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 Newby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 Newby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Executive Vice President, General Counsel and</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EAGLE MATERIALS INC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SALARIED INCENTIVE COMPENSATION PROGRAM</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by the Board of Directors on May 15, 2026)</w:t>
      </w:r>
    </w:p>
    <w:p>
      <w:pPr>
        <w:spacing w:after="0" w:line="252"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p>
    <w:p>
      <w:pPr>
        <w:spacing w:after="0" w:line="121"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The purpose of the Eagle Materials Inc. Salaried Incentive Compensation Program (the “Program”) is to establish an incentive bonus program which: (a) focuses on the performance of Eagle Materials Inc. (the “Company”) as well as individual performance; and (b) aligns the interests of Participants (as defined below) with those of the Company’s stockholders. The Program, as adopted by the Board of Directors (the “Board”) on May 15, 2026, is intended to replace the program that previously existed in fiscal years prior to fiscal year 2027. The Program shall be in effect for the fiscal year ending March 31, 2027, and with respect to each separate fiscal year thereafter, until such time the Program is otherwise amended, modified, suspended or terminated pursuant to Section 2 below.</w:t>
      </w:r>
    </w:p>
    <w:p>
      <w:pPr>
        <w:spacing w:after="0" w:line="332" w:lineRule="exact"/>
        <w:rPr>
          <w:sz w:val="20"/>
          <w:szCs w:val="20"/>
          <w:color w:val="auto"/>
        </w:rPr>
      </w:pPr>
    </w:p>
    <w:p>
      <w:pPr>
        <w:ind w:left="544" w:hanging="544"/>
        <w:spacing w:after="0"/>
        <w:tabs>
          <w:tab w:leader="none" w:pos="54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121" w:lineRule="exact"/>
        <w:rPr>
          <w:sz w:val="20"/>
          <w:szCs w:val="20"/>
          <w:color w:val="auto"/>
        </w:rPr>
      </w:pPr>
    </w:p>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t>The Program shall be administered by the Compensation Committee of the Board (the “Committee”). The Committee shall have complete discretion and authority to administer the Program (which may include the delegation of any ministerial administrative duties hereunder to Company employees, as appropriate, the adoption of rules, regulations and guidelines for carrying out the Program, etc.) and to interpret the provisions of the Program. Any determination, decision, or action of the Committee in connection with the construction, interpretation, administration or application of the Program shall be binding and conclusive upon all persons, and shall be given the maximum deference permitted by law. The Committee may amend, modify, suspend or terminate the Program, or any portion thereof, by adoption of a written instrument at any time without the consent of any Participant.</w:t>
      </w:r>
    </w:p>
    <w:p>
      <w:pPr>
        <w:spacing w:after="0" w:line="173"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No member of the Committee, nor any of their delegees pursuant to this Section 2 (each, a “Permitted Delegee”), shall be liable for anything done or omitted to be done by such individual or, as applicable, by any other person, who is a member of the Committee or a Permitted Delegee, in connection with the performance of any duties under the Program, except for such individual’s own willful misconduct or as expressly provided by statute.</w:t>
      </w:r>
    </w:p>
    <w:p>
      <w:pPr>
        <w:spacing w:after="0" w:line="324"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 Participation</w:t>
      </w:r>
    </w:p>
    <w:p>
      <w:pPr>
        <w:spacing w:after="0" w:line="121"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(the “CEO”) and the CEO’s direct reports are eligible to participate in the Program (“Eligible Employees”). In addition, the CEO may, subject to the Committee’s approval, propose that additional exempt salaried employees at the corporate level of the Company be included in the Program as Eligible Employees. Notwithstanding any provision herein to the contrary, an Eligible Employee must be an exempt salaried manager or professional. No hourly or non-exempt employee may constitute an Eligible Employee or otherwise be eligible to participate in the Program.</w:t>
      </w:r>
    </w:p>
    <w:p>
      <w:pPr>
        <w:spacing w:after="0" w:line="183"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Each Eligible Employee who the Committee determines shall participate in the Program shall be a “Participant” in the Program for purposes of the applicable fiscal year.</w:t>
      </w:r>
    </w:p>
    <w:p>
      <w:pPr>
        <w:sectPr>
          <w:pgSz w:w="11900" w:h="16838" w:orient="portrait"/>
          <w:cols w:equalWidth="0" w:num="1">
            <w:col w:w="11024"/>
          </w:cols>
          <w:pgMar w:left="436" w:top="117" w:right="439" w:bottom="1440" w:gutter="0" w:footer="0" w:header="0"/>
        </w:sectPr>
      </w:pPr>
    </w:p>
    <w:bookmarkStart w:id="5" w:name="page6"/>
    <w:bookmarkEnd w:id="5"/>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determined by the Committee, each Participant must remain continuously employed by the Company from such time during the fiscal year in which he or she became such a Participant pursuant to the preceding paragraph through the conclusion of such fiscal year in order to retain any award or receive any payment thereunder pursuant to the Program. With respect to individuals who first become both Eligible Employees and Participants during a fiscal year (e.g., as a result of being newly hired by, transferred into, or promoted within, the Company, as applicable) (“New Participants”), their awards hereunder in respect of such fiscal year may be subject to proration as set forth in Section 5 below.</w:t>
      </w:r>
    </w:p>
    <w:p>
      <w:pPr>
        <w:spacing w:after="0" w:line="328"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Bonus Pool</w:t>
      </w:r>
    </w:p>
    <w:p>
      <w:pPr>
        <w:spacing w:after="0" w:line="12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To ensure reasonableness and affordability, the available funds for bonus payments under the Program are to be determined as a percentage of operating earnings of the Company as further described on the Governing Appendix Page (the “Reserved Percentage”). The actual Reserved Percentage may vary from year to year as recommended by the CEO and approved by the Committee.</w:t>
      </w:r>
    </w:p>
    <w:p>
      <w:pPr>
        <w:spacing w:after="0" w:line="320" w:lineRule="exact"/>
        <w:rPr>
          <w:sz w:val="20"/>
          <w:szCs w:val="20"/>
          <w:color w:val="auto"/>
        </w:rPr>
      </w:pPr>
    </w:p>
    <w:p>
      <w:pPr>
        <w:ind w:left="544" w:hanging="544"/>
        <w:spacing w:after="0"/>
        <w:tabs>
          <w:tab w:leader="none" w:pos="54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Payment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anything to the contrary in the Program:</w:t>
      </w:r>
    </w:p>
    <w:p>
      <w:pPr>
        <w:spacing w:after="0" w:line="117" w:lineRule="exact"/>
        <w:rPr>
          <w:sz w:val="20"/>
          <w:szCs w:val="20"/>
          <w:color w:val="auto"/>
        </w:rPr>
      </w:pPr>
    </w:p>
    <w:p>
      <w:pPr>
        <w:ind w:left="444" w:firstLine="419"/>
        <w:spacing w:after="0" w:line="282" w:lineRule="auto"/>
        <w:tabs>
          <w:tab w:leader="none" w:pos="11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operating earnings for the applicable fiscal year (as determined by the Committee) are less than 50% of budget, then no funds shall be available for the bonus pool;</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not receive a bonus payment under the Program in excess of three times (3X) such Participant’s annual base salary;</w:t>
      </w:r>
    </w:p>
    <w:p>
      <w:pPr>
        <w:spacing w:after="0" w:line="117" w:lineRule="exact"/>
        <w:rPr>
          <w:rFonts w:ascii="Times New Roman" w:cs="Times New Roman" w:eastAsia="Times New Roman" w:hAnsi="Times New Roman"/>
          <w:sz w:val="18"/>
          <w:szCs w:val="18"/>
          <w:color w:val="auto"/>
        </w:rPr>
      </w:pPr>
    </w:p>
    <w:p>
      <w:pPr>
        <w:ind w:left="444" w:right="520" w:firstLine="419"/>
        <w:spacing w:after="0" w:line="282" w:lineRule="auto"/>
        <w:tabs>
          <w:tab w:leader="none" w:pos="11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shall not constitute a promise by the Company to make any payment to a Participant or to continue such Participant’s participation in the Program for any future fiscal year;</w:t>
      </w:r>
    </w:p>
    <w:p>
      <w:pPr>
        <w:spacing w:after="0" w:line="53" w:lineRule="exact"/>
        <w:rPr>
          <w:rFonts w:ascii="Times New Roman" w:cs="Times New Roman" w:eastAsia="Times New Roman" w:hAnsi="Times New Roman"/>
          <w:sz w:val="18"/>
          <w:szCs w:val="18"/>
          <w:color w:val="auto"/>
        </w:rPr>
      </w:pPr>
    </w:p>
    <w:p>
      <w:pPr>
        <w:ind w:left="444" w:right="40" w:firstLine="419"/>
        <w:spacing w:after="0" w:line="256" w:lineRule="auto"/>
        <w:tabs>
          <w:tab w:leader="none" w:pos="11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shall become vested in or entitled to any bonus payment hereunder (to the extent such bonus payment is earned) in advance of such Participant’s receipt of the bonus payment (the “Payment Effective Time”), unless otherwise determined by the Committee in its sole discretion, it being understood that the Payment Effective Time shall occur as soon as practicable, and in any event within 60 days, following the completion of the applicable fiscal year—accordingly, unless otherwise determined in the sole discretion of the Committee, a Participant’s termination of employment for any reason prior to the Payment Effective Time shall result in the forfeiture of his or her bonus award to the extent unpaid as of such time; and</w:t>
      </w:r>
    </w:p>
    <w:p>
      <w:pPr>
        <w:spacing w:after="0" w:line="79" w:lineRule="exact"/>
        <w:rPr>
          <w:rFonts w:ascii="Times New Roman" w:cs="Times New Roman" w:eastAsia="Times New Roman" w:hAnsi="Times New Roman"/>
          <w:sz w:val="18"/>
          <w:szCs w:val="18"/>
          <w:color w:val="auto"/>
        </w:rPr>
      </w:pPr>
    </w:p>
    <w:p>
      <w:pPr>
        <w:ind w:left="444" w:right="100" w:firstLine="419"/>
        <w:spacing w:after="0" w:line="266" w:lineRule="auto"/>
        <w:tabs>
          <w:tab w:leader="none" w:pos="11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amount payable pursuant to this Section 5 in respect of the fiscal year in which an individual became a New Participant, such amount may be adjusted by the Committee, including the proration of such amount based on the following formula: (i) the number of days during such fiscal year in which such New Participant was employed in an Eligible Employee capacity (ii) divided by 365.</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6" w:name="page7"/>
    <w:bookmarkEnd w:id="6"/>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Allocation of the Pool</w:t>
      </w:r>
    </w:p>
    <w:p>
      <w:pPr>
        <w:spacing w:after="0" w:line="121"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Each Participant’s allocated percentage of the bonus pool, and such Participant’s individual performance relative to the goals and objectives (and bonus award) shall be approved by the Committee, which may seek input from the CEO. For each Participant, the maximum annual bonus award opportunity is represented by the percentage of the bonus pool assigned to such Participant, subject to the limitations set forth in Section 5 above.</w:t>
      </w:r>
    </w:p>
    <w:p>
      <w:pPr>
        <w:spacing w:after="0" w:line="320"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Goals and Objectives</w:t>
      </w:r>
    </w:p>
    <w:p>
      <w:pPr>
        <w:spacing w:after="0" w:line="12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At the beginning of the fiscal year goals and objectives shall be established for each Participant. The actual bonus award paid at the end of the fiscal year shall be based on the individual Participant’s performance relative to the previously established goals and objectives and the Participant’s individual performance during the fiscal year. The goals and objectives to be used for Participants may be comprised of objective and subjective criteria and should generally have a broader scope than the goals and objectives for subsidiary companies. However, at the same time the goals must also contain specific criteria regarding execution that links subsidiary company performance to corporate performance.</w:t>
      </w:r>
    </w:p>
    <w:p>
      <w:pPr>
        <w:spacing w:after="0" w:line="328"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Employment Guaranteed; Unsecured Obligations</w:t>
      </w:r>
    </w:p>
    <w:p>
      <w:pPr>
        <w:spacing w:after="0" w:line="121"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No provision of the Program shall confer any right upon any Participant to continued employment and any amounts payable under the Program shall constitute the unsecured obligations of the Company. Participants shall have no rights greater than those of a general unsecured creditor of the Company with respect to any payments hereunder.</w:t>
      </w:r>
    </w:p>
    <w:p>
      <w:pPr>
        <w:spacing w:after="0" w:line="320"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p>
    <w:p>
      <w:pPr>
        <w:spacing w:after="0" w:line="121" w:lineRule="exact"/>
        <w:rPr>
          <w:sz w:val="20"/>
          <w:szCs w:val="20"/>
          <w:color w:val="auto"/>
        </w:rPr>
      </w:pPr>
    </w:p>
    <w:p>
      <w:pPr>
        <w:ind w:left="4" w:right="180" w:firstLine="440"/>
        <w:spacing w:after="0" w:line="312" w:lineRule="auto"/>
        <w:rPr>
          <w:sz w:val="20"/>
          <w:szCs w:val="20"/>
          <w:color w:val="auto"/>
        </w:rPr>
      </w:pPr>
      <w:r>
        <w:rPr>
          <w:rFonts w:ascii="Times New Roman" w:cs="Times New Roman" w:eastAsia="Times New Roman" w:hAnsi="Times New Roman"/>
          <w:sz w:val="17"/>
          <w:szCs w:val="17"/>
          <w:color w:val="auto"/>
        </w:rPr>
        <w:t>The Program and all determinations made and actions taken pursuant hereto, shall be governed by and construed in accordance with the laws of the State of Texas, without reference to any conflicts of law principles thereof that would require the application of the laws of another jurisdiction.</w:t>
      </w:r>
    </w:p>
    <w:p>
      <w:pPr>
        <w:spacing w:after="0" w:line="284"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Recoupment</w:t>
      </w:r>
    </w:p>
    <w:p>
      <w:pPr>
        <w:spacing w:after="0" w:line="12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Program (and amounts paid in respect hereof) shall be subject to the terms of any clawback or recoupment policy of the Company as in effect from time to time, as well as any recoupment/forfeiture provisions that are otherwise required by law.</w:t>
      </w:r>
    </w:p>
    <w:p>
      <w:pPr>
        <w:spacing w:after="0" w:line="306"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p>
    <w:p>
      <w:pPr>
        <w:spacing w:after="0" w:line="121"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withhold all applicable taxes and other amounts required by law to be withheld from any payment hereunder, including any non-U.S., federal, state, and local taxes.</w:t>
      </w:r>
    </w:p>
    <w:p>
      <w:pPr>
        <w:spacing w:after="0" w:line="306" w:lineRule="exact"/>
        <w:rPr>
          <w:sz w:val="20"/>
          <w:szCs w:val="20"/>
          <w:color w:val="auto"/>
        </w:rPr>
      </w:pPr>
    </w:p>
    <w:p>
      <w:pPr>
        <w:ind w:left="544" w:hanging="544"/>
        <w:spacing w:after="0"/>
        <w:tabs>
          <w:tab w:leader="none" w:pos="54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Assignability</w:t>
      </w:r>
    </w:p>
    <w:p>
      <w:pPr>
        <w:spacing w:after="0" w:line="121"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determined by the Committee, no right with respect to an award shall be assignable or transferable, whether voluntarily or involuntarily, by operation of law or otherwise, and any attempted assignment or transfer shall be null and void.</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66" w:right="499" w:bottom="1440" w:gutter="0" w:footer="0" w:header="0"/>
        </w:sectPr>
      </w:pPr>
    </w:p>
    <w:bookmarkStart w:id="7" w:name="page8"/>
    <w:bookmarkEnd w:id="7"/>
    <w:p>
      <w:pPr>
        <w:ind w:left="544" w:hanging="544"/>
        <w:spacing w:after="0"/>
        <w:tabs>
          <w:tab w:leader="none" w:pos="54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 Matters</w:t>
      </w:r>
    </w:p>
    <w:p>
      <w:pPr>
        <w:spacing w:after="0" w:line="121"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For the avoidance of doubt, payments under the Program are intended to be exempt from Section 409A of the Internal Revenue Code of 1986, as amended (the “Code”), to the maximum extent possible as short-term deferrals pursuant to Treasury regulation §1.409A-1(b)(4) and, if not exempt, are intended to comply with Section 409A of the Code. The Program shall be interpreted and construed consistent with such intent. In the event the terms of the Program would subject a Participant to taxes, penalties or interest under Section 409A of the Code (“409A Penalties”), the Committee may (in its discretion but without an obligation to do so) amend the terms of the Program to avoid such 409A Penalties, which amendments will, to the extent possible, be effected in a manner that does not adversely affect the rights of any Participant; provided that in no event shall the Company, the Committee or any Permitted Delegee be responsible for any 409A Penalties that arise in connection with the Program or any amounts payable under the Program. If a Participant is a “specified employee” (within the meaning of Section 409A of the Code), then any payment that is payable on account of the Participant’s “separation from service”, as that term is defined for purposes of Section 409A of the Code, shall be made on the first business day following the six-month anniversary of such Participant’s “separation from service” (or, if earlier, the date of such Participant’s death) if and to the extent that such payment constitutes non-qualified deferred compensation under Section 409A of the Code and such deferral is required to comply with the requirements of Section 409A of the Code. To the extent any amounts payable under the Program constitute non-qualified deferred compensation under Section 409A of the Code and are payable by reference to a Participant’s “termination of employment” or “termination of service,” such term and similar terms shall be deemed to refer to such Participant’s “separation from service” within the meaning of Section 409A of the Code.</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8" w:name="page9"/>
    <w:bookmarkEnd w:id="8"/>
    <w:p>
      <w:pPr>
        <w:ind w:left="3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Appendix Page</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EAGLE MATERIALS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SALARIED INCENTIVE COMPENSATION PROGRAM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2027</w:t>
      </w:r>
    </w:p>
    <w:p>
      <w:pPr>
        <w:spacing w:after="0" w:line="274"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Reserved Percentage of the Company’s operating earnings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9019"/>
          </w:cols>
          <w:pgMar w:left="1440" w:top="266"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4424"/>
        <w:spacing w:after="0"/>
        <w:rPr>
          <w:sz w:val="20"/>
          <w:szCs w:val="20"/>
          <w:color w:val="auto"/>
        </w:rPr>
      </w:pPr>
      <w:r>
        <w:rPr>
          <w:rFonts w:ascii="Times New Roman" w:cs="Times New Roman" w:eastAsia="Times New Roman" w:hAnsi="Times New Roman"/>
          <w:sz w:val="18"/>
          <w:szCs w:val="18"/>
          <w:b w:val="1"/>
          <w:bCs w:val="1"/>
          <w:u w:val="single" w:color="auto"/>
          <w:color w:val="auto"/>
        </w:rPr>
        <w:t>EAGLE MATERIALS INC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724"/>
        <w:spacing w:after="0"/>
        <w:rPr>
          <w:sz w:val="20"/>
          <w:szCs w:val="20"/>
          <w:color w:val="auto"/>
        </w:rPr>
      </w:pPr>
      <w:r>
        <w:rPr>
          <w:rFonts w:ascii="Times New Roman" w:cs="Times New Roman" w:eastAsia="Times New Roman" w:hAnsi="Times New Roman"/>
          <w:sz w:val="18"/>
          <w:szCs w:val="18"/>
          <w:b w:val="1"/>
          <w:bCs w:val="1"/>
          <w:color w:val="auto"/>
        </w:rPr>
        <w:t>EAGLE MATERIALS INC. BUSINESS UNIT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SALARIED INCENTIVE COMPENSATION PROGRAM</w:t>
      </w:r>
    </w:p>
    <w:p>
      <w:pPr>
        <w:spacing w:after="0" w:line="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by the Board of Directors on May 15, 2026)</w:t>
      </w:r>
    </w:p>
    <w:p>
      <w:pPr>
        <w:spacing w:after="0" w:line="252"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p>
    <w:p>
      <w:pPr>
        <w:spacing w:after="0" w:line="121"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The purpose of the Eagle Materials Inc. Business Unit Salaried Incentive Compensation Program (the “Program”) is to establish an incentive bonus program which: (a) focuses on recognizing the performance of the applicable “Business Unit” (as described in the attached appendix, the “Governing Appendix Page”) of Eagle Materials Inc. (“Eagle”) as well as individual performance; and (b) aligns the interests of Participants (as defined below) with those of the stockholders of Eagle. The Program, as adopted by the Board of Directors (the “Board”) on May 15, 2026, is intended to replace the separate programs that previously existed in fiscal years prior to fiscal year 2027 for each of the applicable Business Units. The Program shall be in effect for the fiscal year ending March 31, 2027, and with respect to each separate fiscal year thereafter, until such time the Program is otherwise amended, modified, suspended or terminated pursuant to Section 2 below.</w:t>
      </w:r>
    </w:p>
    <w:p>
      <w:pPr>
        <w:spacing w:after="0" w:line="333"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121"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The Program shall be administered by Eagle’s Chief Executive Officer (the “Administrator”); provided that the Compensation Committee of the Board (the “Committee”) shall retain ultimate authority to administer the Program, and the Committee may at any time, in its sole discretion, reassume the Administrator function or otherwise exercise any administrative authority under the Program. Notwithstanding the foregoing, the Committee shall retain all authority with respect to participation in the Program by, and awards hereunder to, any senior executive officers who are required to make disclosures under Section 16 of the Securities Exchange Act of 1934, as amended.</w:t>
      </w:r>
    </w:p>
    <w:p>
      <w:pPr>
        <w:spacing w:after="0" w:line="183" w:lineRule="exact"/>
        <w:rPr>
          <w:sz w:val="20"/>
          <w:szCs w:val="20"/>
          <w:color w:val="auto"/>
        </w:rPr>
      </w:pPr>
    </w:p>
    <w:p>
      <w:pPr>
        <w:ind w:left="4" w:right="140" w:firstLine="440"/>
        <w:spacing w:after="0" w:line="254" w:lineRule="auto"/>
        <w:rPr>
          <w:sz w:val="20"/>
          <w:szCs w:val="20"/>
          <w:color w:val="auto"/>
        </w:rPr>
      </w:pPr>
      <w:r>
        <w:rPr>
          <w:rFonts w:ascii="Times New Roman" w:cs="Times New Roman" w:eastAsia="Times New Roman" w:hAnsi="Times New Roman"/>
          <w:sz w:val="18"/>
          <w:szCs w:val="18"/>
          <w:color w:val="auto"/>
        </w:rPr>
        <w:t>The Administrator and, to the extent applicable, the Committee shall have complete discretion and authority to administer the Program (which may include the delegation of any ministerial administrative duties hereunder to employees of Eagle or an Eagle subsidiary company, including employees in respect of the Business Unit (collectively, the “Company”), as appropriate, the adoption of rules, regulations and guidelines for carrying out the Program, etc.) and to interpret the provisions of the Program. Any determination, decision or action of the Administrator or, to the extent applicable, the Committee in connection with the construction, interpretation, administration or application of the Program shall be binding and conclusive upon all persons, and shall be given the maximum deference permitted by law; provided that the Committee shall have the authority to override any determination, decision or action of the Administrator. In addition, the Committee may amend, modify, suspend or terminate the Program, or any portion thereof, by adoption of a written instrument at any time without the consent of any Participant.</w:t>
      </w:r>
    </w:p>
    <w:p>
      <w:pPr>
        <w:spacing w:after="0" w:line="192"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Neither the Administrator, nor any member of the Committee, nor any of their delegees pursuant to this Section 2 (each, a “Permitted Delegee”), shall be liable for anything done or omitted to be done by such individual or, as applicable, by any other person, who is the Administrator, a member of the Committee or a Permitted Delegee, in connection with the performance of any duties under the Program, except for such individual’s own willful misconduct or as expressly provided by statute.</w:t>
      </w:r>
    </w:p>
    <w:p>
      <w:pPr>
        <w:sectPr>
          <w:pgSz w:w="11900" w:h="16838" w:orient="portrait"/>
          <w:cols w:equalWidth="0" w:num="1">
            <w:col w:w="11024"/>
          </w:cols>
          <w:pgMar w:left="436" w:top="117" w:right="439" w:bottom="1440" w:gutter="0" w:footer="0" w:header="0"/>
        </w:sectPr>
      </w:pPr>
    </w:p>
    <w:bookmarkStart w:id="10" w:name="page11"/>
    <w:bookmarkEnd w:id="10"/>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Eligibility; Participation</w:t>
      </w:r>
    </w:p>
    <w:p>
      <w:pPr>
        <w:spacing w:after="0" w:line="121" w:lineRule="exact"/>
        <w:rPr>
          <w:sz w:val="20"/>
          <w:szCs w:val="20"/>
          <w:color w:val="auto"/>
        </w:rPr>
      </w:pPr>
    </w:p>
    <w:p>
      <w:pPr>
        <w:ind w:left="4" w:right="80" w:firstLine="440"/>
        <w:spacing w:after="0" w:line="274" w:lineRule="auto"/>
        <w:rPr>
          <w:sz w:val="20"/>
          <w:szCs w:val="20"/>
          <w:color w:val="auto"/>
        </w:rPr>
      </w:pPr>
      <w:r>
        <w:rPr>
          <w:rFonts w:ascii="Times New Roman" w:cs="Times New Roman" w:eastAsia="Times New Roman" w:hAnsi="Times New Roman"/>
          <w:sz w:val="17"/>
          <w:szCs w:val="17"/>
          <w:color w:val="auto"/>
        </w:rPr>
        <w:t>Senior management with respect to a Business Unit (“Eligible Employees”) are eligible to participate in the Program (i.e., with respect to such Business Unit). In addition, other employees, who have management responsibilities or are in a professional capacity that can measurably impact earnings of a Business Unit, may, as recommended by senior management of the Business Unit, be Eligible Employees (and be eligible to become Participants in the Program as it relates to such Business Unit), subject to the approval of the Administrator or, to the extent applicable, the Committee, and the terms of the Program. Notwithstanding any provision herein to the contrary, an Eligible Employee must be an exempt salaried manager or professional. No hourly or non-exempt employee may constitute an Eligible Employee or otherwise be eligible to participate in the Program.</w:t>
      </w:r>
    </w:p>
    <w:p>
      <w:pPr>
        <w:spacing w:after="0" w:line="173"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Each Eligible Employee who receives a written or electronic communication from (or on behalf of) the Administrator or, to the extent applicable, the Committee, outlining the terms and conditions of his or her participation in the Program shall be a “Participant” in the Program for purposes of the applicable fiscal year. Notwithstanding any provision herein to the contrary, the addition of New Participants (as defined below) will not affect the total pool available (as described in Section 4 below) but may in effect dilute the potential awards of the original Participants with respect to such pool.</w:t>
      </w:r>
    </w:p>
    <w:p>
      <w:pPr>
        <w:spacing w:after="0" w:line="183"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determined by the Administrator or, to the extent applicable, the Committee, each Participant must remain continuously employed by the Company from such time during the fiscal year in which he or she became such a Participant pursuant to the preceding paragraph through the conclusion of such fiscal year in order to retain any award or receive any payment thereunder pursuant to the Program. With respect to individuals who first become both Eligible Employees and Participants during a fiscal year (e.g., as a result of being newly hired by, transferred into, or promoted within, a Business Unit, as applicable) (“New Participants”), their awards hereunder in respect of such fiscal year may be subject to proration as set forth in Section 5 below.</w:t>
      </w:r>
    </w:p>
    <w:p>
      <w:pPr>
        <w:spacing w:after="0" w:line="332"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Bonus Pool</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To ensure reasonableness and affordability, the available funds for bonus payments under the Program are determined as a percentage of the EBITDA of the applicable Business Unit for the applicable fiscal year and as further described on the Governing Appendix Page (the “Reserved Percentage”). The actual Reserved Percentage may vary from year to year. The Reserved Percentage with respect to each such Business Unit’s EBITDA will be deemed to be contributed to fund the Program pool in respect of such Business Unit.</w:t>
      </w:r>
    </w:p>
    <w:p>
      <w:pPr>
        <w:spacing w:after="0" w:line="324"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Payment</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the Program:</w:t>
      </w:r>
    </w:p>
    <w:p>
      <w:pPr>
        <w:spacing w:after="0" w:line="117" w:lineRule="exact"/>
        <w:rPr>
          <w:rFonts w:ascii="Times New Roman" w:cs="Times New Roman" w:eastAsia="Times New Roman" w:hAnsi="Times New Roman"/>
          <w:sz w:val="18"/>
          <w:szCs w:val="18"/>
          <w:b w:val="1"/>
          <w:bCs w:val="1"/>
          <w:color w:val="auto"/>
        </w:rPr>
      </w:pPr>
    </w:p>
    <w:p>
      <w:pPr>
        <w:ind w:left="444" w:right="500" w:firstLine="419"/>
        <w:spacing w:after="0" w:line="312" w:lineRule="auto"/>
        <w:tabs>
          <w:tab w:leader="none" w:pos="1112"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EBITDA of the applicable Business Unit for the applicable fiscal year (as determined by the Administrator or, to the extent applicable, the Committee) is less than 50% of budget, then no funds shall be available for the bonus pool in respect of such Business Unit;</w:t>
      </w:r>
    </w:p>
    <w:p>
      <w:pPr>
        <w:spacing w:after="0" w:line="7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6" w:right="499" w:bottom="1440" w:gutter="0" w:footer="0" w:header="0"/>
        </w:sectPr>
      </w:pPr>
    </w:p>
    <w:bookmarkStart w:id="11" w:name="page12"/>
    <w:bookmarkEnd w:id="11"/>
    <w:p>
      <w:pPr>
        <w:ind w:left="444" w:right="140" w:firstLine="419"/>
        <w:spacing w:after="0" w:line="266" w:lineRule="auto"/>
        <w:tabs>
          <w:tab w:leader="none" w:pos="11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Participant may not receive a bonus payment under the Program in excess of the lesser of (i) two times (2X) such Participant’s annual base salary in the applicable fiscal year and (ii) a maximum dollar amount established by the Administrator or, to the extent applicable, the Committee;</w:t>
      </w:r>
    </w:p>
    <w:p>
      <w:pPr>
        <w:spacing w:after="0" w:line="67" w:lineRule="exact"/>
        <w:rPr>
          <w:rFonts w:ascii="Times New Roman" w:cs="Times New Roman" w:eastAsia="Times New Roman" w:hAnsi="Times New Roman"/>
          <w:sz w:val="18"/>
          <w:szCs w:val="18"/>
          <w:color w:val="auto"/>
        </w:rPr>
      </w:pPr>
    </w:p>
    <w:p>
      <w:pPr>
        <w:ind w:left="444" w:right="540" w:firstLine="419"/>
        <w:spacing w:after="0" w:line="282" w:lineRule="auto"/>
        <w:tabs>
          <w:tab w:leader="none" w:pos="11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shall not constitute a promise by the Company to make any payment to a Participant or to continue such Participant’s participation in the Program for any future fiscal year;</w:t>
      </w:r>
    </w:p>
    <w:p>
      <w:pPr>
        <w:spacing w:after="0" w:line="53" w:lineRule="exact"/>
        <w:rPr>
          <w:rFonts w:ascii="Times New Roman" w:cs="Times New Roman" w:eastAsia="Times New Roman" w:hAnsi="Times New Roman"/>
          <w:sz w:val="18"/>
          <w:szCs w:val="18"/>
          <w:color w:val="auto"/>
        </w:rPr>
      </w:pPr>
    </w:p>
    <w:p>
      <w:pPr>
        <w:ind w:left="444" w:right="40" w:firstLine="419"/>
        <w:spacing w:after="0" w:line="256" w:lineRule="auto"/>
        <w:tabs>
          <w:tab w:leader="none" w:pos="11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shall become vested in or entitled to any bonus payment hereunder (to the extent such bonus payment is earned) in advance of such Participant’s receipt of the bonus payment (the “Payment Effective Time”), unless otherwise determined by the Administrator or, to the extent applicable, the Committee, in its sole discretion, it being understood that the Payment Effective Time shall occur as soon as practicable, and in any event within 60 days, following the completion of the applicable fiscal year—accordingly, unless otherwise determined in the sole discretion of the Administrator or, to the extent applicable, the Committee, a Participant’s termination of employment for any reason prior to the Payment Effective Time shall result in the forfeiture of his or her bonus award to the extent unpaid as of such time;</w:t>
      </w:r>
    </w:p>
    <w:p>
      <w:pPr>
        <w:spacing w:after="0" w:line="79" w:lineRule="exact"/>
        <w:rPr>
          <w:rFonts w:ascii="Times New Roman" w:cs="Times New Roman" w:eastAsia="Times New Roman" w:hAnsi="Times New Roman"/>
          <w:sz w:val="18"/>
          <w:szCs w:val="18"/>
          <w:color w:val="auto"/>
        </w:rPr>
      </w:pPr>
    </w:p>
    <w:p>
      <w:pPr>
        <w:jc w:val="both"/>
        <w:ind w:left="444" w:firstLine="419"/>
        <w:spacing w:after="0" w:line="261" w:lineRule="auto"/>
        <w:tabs>
          <w:tab w:leader="none" w:pos="11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amount payable pursuant to this Section 5 in respect of the fiscal year in which an individual became a New Participant, such amount may be adjusted by the Administrator or, to the extent applicable, the Committee, including the proration of such amount based on the following formula: (i) the number of days during such fiscal year in which such New Participant was employed in an Eligible Employee capacity (ii) divided by 365; and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Any portion of the bonus pool not paid out (unearned) or forfeited will be added to the Special Situation Program.</w:t>
      </w:r>
    </w:p>
    <w:p>
      <w:pPr>
        <w:spacing w:after="0" w:line="374"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Allocation of the Pool</w:t>
      </w:r>
    </w:p>
    <w:p>
      <w:pPr>
        <w:spacing w:after="0" w:line="12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Participants that are Section 16 officers will be eligible for a percentage of the bonus pool in respect of the applicable Business Unit, which percentage shall be recommended by the Administrator and shall be approved by the Committee. During the first quarter of the applicable fiscal year (or such other time within the applicable fiscal year to the extent an individual becomes a New Participant following the first quarter), senior management within the applicable Business Unit shall recommend to the Administrator or, to the extent applicable, the Committee, for approval the allocation of the remainder of the pool, subject to the limitations set forth in Section 5 above. For each Participant in the Program, the maximum annual bonus award opportunity is represented by the percentage of the bonus pool in respect of the applicable Business Unit assigned to such Participant, subject to the limitations set forth in Section 5 above.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2" w:name="page13"/>
    <w:bookmarkEnd w:id="12"/>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Goals and Objectives</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At the beginning of the applicable fiscal year, goals and objectives shall be established for each Participant in accordance with this Section 7. All Participants in the Program must have the ability to significantly affect the performance of the applicable Business Unit by achieving measurable, quantifiable objectives. Eagle senior management or, to the extent applicable, senior management within the applicable Business Unit will determine the objective and discretionary balance of bonus opportunities for the other Participants in the Program, subject to approval by the Administrator or, to the extent applicable, the Committee. Goals and objectives may be comprised of objective and subjective criteria, and should be measurable and focus on areas that have meaningful impact on operational performance.</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After the end of the applicable fiscal year, each Participant’s performance relative to the previously established goals and objectives, together with the Participant’s individual performance, will be evaluated by Eagle senior management or, to the extent applicable, senior management within the applicable Business Unit, who shall recommend the applicable award payout, if any, to the Administrator or, to the extent applicable, the Committee, for approval.</w:t>
      </w:r>
    </w:p>
    <w:p>
      <w:pPr>
        <w:spacing w:after="0" w:line="324"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Employment Guaranteed; Unsecured Obligations</w:t>
      </w:r>
    </w:p>
    <w:p>
      <w:pPr>
        <w:spacing w:after="0" w:line="121"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No provision of the Program shall confer any right upon any Participant to continued employment and any amounts payable under the Program shall constitute the unsecured obligations of the Company. Participants shall have no rights greater than those of a general unsecured creditor of the Company with respect to any payments hereunder.</w:t>
      </w:r>
    </w:p>
    <w:p>
      <w:pPr>
        <w:spacing w:after="0" w:line="320"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p>
    <w:p>
      <w:pPr>
        <w:spacing w:after="0" w:line="121" w:lineRule="exact"/>
        <w:rPr>
          <w:sz w:val="20"/>
          <w:szCs w:val="20"/>
          <w:color w:val="auto"/>
        </w:rPr>
      </w:pPr>
    </w:p>
    <w:p>
      <w:pPr>
        <w:ind w:left="4" w:right="200" w:firstLine="440"/>
        <w:spacing w:after="0" w:line="312" w:lineRule="auto"/>
        <w:rPr>
          <w:sz w:val="20"/>
          <w:szCs w:val="20"/>
          <w:color w:val="auto"/>
        </w:rPr>
      </w:pPr>
      <w:r>
        <w:rPr>
          <w:rFonts w:ascii="Times New Roman" w:cs="Times New Roman" w:eastAsia="Times New Roman" w:hAnsi="Times New Roman"/>
          <w:sz w:val="17"/>
          <w:szCs w:val="17"/>
          <w:color w:val="auto"/>
        </w:rPr>
        <w:t>The Program and all determinations made and actions taken pursuant hereto, shall be governed by and construed in accordance with the laws of the State of Texas, without reference to any conflicts of law principles thereof that would require the application of the laws of another jurisdiction.</w:t>
      </w:r>
    </w:p>
    <w:p>
      <w:pPr>
        <w:spacing w:after="0" w:line="284"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Recoupment</w:t>
      </w:r>
    </w:p>
    <w:p>
      <w:pPr>
        <w:spacing w:after="0" w:line="121"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Program (and amounts paid in respect hereof) shall be subject to the terms of any clawback or recoupment policy of the Company as in effect from time to time, as well as any recoupment/forfeiture provisions that are otherwise required by law.</w:t>
      </w:r>
    </w:p>
    <w:p>
      <w:pPr>
        <w:spacing w:after="0" w:line="306" w:lineRule="exact"/>
        <w:rPr>
          <w:sz w:val="20"/>
          <w:szCs w:val="20"/>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p>
    <w:p>
      <w:pPr>
        <w:spacing w:after="0" w:line="121"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withhold all applicable taxes and other amounts required by law to be withheld from any payment hereunder, including any non-U.S., federal, state, and local taxes.</w:t>
      </w:r>
    </w:p>
    <w:p>
      <w:pPr>
        <w:spacing w:after="0" w:line="306"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Assignability</w:t>
      </w:r>
    </w:p>
    <w:p>
      <w:pPr>
        <w:spacing w:after="0" w:line="121"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determined by the Committee, no right with respect to an award shall be assignable or transferable, whether voluntarily or involuntarily, by operation of law or otherwise, and any attempted assignment or transfer shall be null and void.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13" w:name="page14"/>
    <w:bookmarkEnd w:id="13"/>
    <w:p>
      <w:pPr>
        <w:ind w:left="424" w:hanging="424"/>
        <w:spacing w:after="0"/>
        <w:tabs>
          <w:tab w:leader="none" w:pos="4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 Matters</w:t>
      </w:r>
    </w:p>
    <w:p>
      <w:pPr>
        <w:spacing w:after="0" w:line="121"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For the avoidance of doubt, payments under the Program are intended to be exempt from Section 409A of the Internal Revenue Code of 1986, as amended (the “Code”), to the maximum extent possible as short-term deferrals pursuant to Treasury regulation §1.409A-1(b)(4) and, if not exempt, are intended to comply with Section 409A of the Code. The Program shall be interpreted and construed consistent with such intent. In the event the terms of the Program would subject a Participant to taxes, penalties or interest under Section 409A of the Code (“409A Penalties”), the Committee may (in its discretion but without an obligation to do so) amend the terms of the Program to avoid such 409A Penalties, which amendments will, to the extent possible, be effected in a manner that does not adversely affect the rights of any Participant; provided that in no event shall the Company, the Committee, the Administrator or any Permitted Delegee be responsible for any 409A Penalties that arise in connection with the Program or any amounts payable under the Program. If a Participant is a “specified employee” (within the meaning of Section 409A of the Code), then any payment that is payable on account of the Participant’s “separation from service”, as that term is defined for purposes of Section 409A of the Code, shall be made on the first business day following the six-month anniversary of such Participant’s “separation from service” (or, if earlier, the date of such Participant’s death) if and to the extent that such payment constitutes non-qualified deferred compensation under Section 409A of the Code and such deferral is required to comply with the requirements of Section 409A of the Code. To the extent any amounts payable under the Program constitute non-qualified deferred compensation under Section 409A of the Code and are payable by reference to a Participant’s “termination of employment” or “termination of service,” such term and similar terms shall be deemed to refer to such Participant’s “separation from service” within the meaning of Section 409A of the Code.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6" w:right="479" w:bottom="1440" w:gutter="0" w:footer="0" w:header="0"/>
        </w:sectPr>
      </w:pPr>
    </w:p>
    <w:bookmarkStart w:id="14" w:name="page15"/>
    <w:bookmarkEnd w:id="14"/>
    <w:p>
      <w:pPr>
        <w:ind w:left="3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Appendix Page</w:t>
      </w:r>
    </w:p>
    <w:p>
      <w:pPr>
        <w:spacing w:after="0" w:line="11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EAGLE MATERIALS INC. BUSINESS UNIT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SALARIED INCENTIVE COMPENSATION PROGRAM</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2027</w:t>
      </w:r>
    </w:p>
    <w:p>
      <w:pPr>
        <w:spacing w:after="0" w:line="23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120" w:type="dxa"/>
            <w:vAlign w:val="bottom"/>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Participating Business Unit</w:t>
            </w:r>
          </w:p>
        </w:tc>
        <w:tc>
          <w:tcPr>
            <w:tcW w:w="2120" w:type="dxa"/>
            <w:vAlign w:val="bottom"/>
          </w:tcPr>
          <w:p>
            <w:pPr>
              <w:jc w:val="center"/>
              <w:ind w:left="698"/>
              <w:spacing w:after="0" w:line="149" w:lineRule="exact"/>
              <w:rPr>
                <w:sz w:val="20"/>
                <w:szCs w:val="20"/>
                <w:color w:val="auto"/>
              </w:rPr>
            </w:pPr>
            <w:r>
              <w:rPr>
                <w:rFonts w:ascii="Times New Roman" w:cs="Times New Roman" w:eastAsia="Times New Roman" w:hAnsi="Times New Roman"/>
                <w:sz w:val="14"/>
                <w:szCs w:val="14"/>
                <w:b w:val="1"/>
                <w:bCs w:val="1"/>
                <w:color w:val="auto"/>
              </w:rPr>
              <w:t>Business Unit’s</w:t>
            </w:r>
          </w:p>
        </w:tc>
        <w:tc>
          <w:tcPr>
            <w:tcW w:w="0" w:type="dxa"/>
            <w:vAlign w:val="bottom"/>
          </w:tcPr>
          <w:p>
            <w:pPr>
              <w:spacing w:after="0"/>
              <w:rPr>
                <w:sz w:val="1"/>
                <w:szCs w:val="1"/>
                <w:color w:val="auto"/>
              </w:rPr>
            </w:pPr>
          </w:p>
        </w:tc>
      </w:tr>
      <w:tr>
        <w:trPr>
          <w:trHeight w:val="173"/>
        </w:trPr>
        <w:tc>
          <w:tcPr>
            <w:tcW w:w="5360" w:type="dxa"/>
            <w:vAlign w:val="bottom"/>
            <w:vMerge w:val="continue"/>
          </w:tcPr>
          <w:p>
            <w:pPr>
              <w:spacing w:after="0"/>
              <w:rPr>
                <w:sz w:val="15"/>
                <w:szCs w:val="15"/>
                <w:color w:val="auto"/>
              </w:rPr>
            </w:pPr>
          </w:p>
        </w:tc>
        <w:tc>
          <w:tcPr>
            <w:tcW w:w="2120" w:type="dxa"/>
            <w:vAlign w:val="bottom"/>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Gypsum Company LLC</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Republic Paperboard Company LLC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Cement Subsidiaries of Eagle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Concrete and Aggregates Subsidiaries of Eagle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6"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EAGLE MATERIALS INC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SITUATION PROGRAM</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by the Board of Directors on May 15, 2026)</w:t>
      </w:r>
    </w:p>
    <w:p>
      <w:pPr>
        <w:spacing w:after="0" w:line="252" w:lineRule="exact"/>
        <w:rPr>
          <w:sz w:val="20"/>
          <w:szCs w:val="20"/>
          <w:color w:val="auto"/>
        </w:rPr>
      </w:pPr>
    </w:p>
    <w:p>
      <w:pPr>
        <w:ind w:left="960" w:hanging="532"/>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Purposes</w:t>
      </w:r>
    </w:p>
    <w:p>
      <w:pPr>
        <w:spacing w:after="0" w:line="12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purposes of the Eagle Materials Inc. Special Situation Program (the “Program”) are to (i) recognize outstanding individual performance during the applicable fiscal year based on contributions that improve the profitability or worth of Eagle Materials Inc. (“Eagle” or the “Company”), (ii) provide flexibility to address unexpected market conditions, such as a cyclical downturn, (iii) recognize material transactions or other events that arise during the fiscal year, and (iv) other circumstances as the Administrator shall determine (“Covered Circumstances”). The Program, as adopted by the Board of Directors (the “Board”) on May 15, 2026, is intended to replace the annual program that existed in fiscal years prior to fiscal year 2027. The Program will be in effect for the fiscal year ending March 31, 2027, and with respect to each separate fiscal year thereafter, until such time the Program is otherwise amended, modified, suspended or terminated pursuant to Section 2 below.</w:t>
      </w:r>
    </w:p>
    <w:p>
      <w:pPr>
        <w:spacing w:after="0" w:line="333" w:lineRule="exact"/>
        <w:rPr>
          <w:sz w:val="20"/>
          <w:szCs w:val="20"/>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Program shall be administered by Eagle’s Chief Executive Officer (the “Administrator”); provided that the Compensation Committee of the Board (the “Committee”) shall retain ultimate authority to administer the Program, and the Committee may at any time, in its sole discretion, reassume the Administrator function or otherwise exercise any administrative authority under the Program. Notwithstanding the foregoing, the Committee shall retain all authority with respect to participation in the Program by, and awards hereunder to, any senior executive officers who are required to make disclosures under Section 16 of the Securities Exchange Act of 1934, as amended.</w:t>
      </w:r>
    </w:p>
    <w:p>
      <w:pPr>
        <w:spacing w:after="0" w:line="183"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The Administrator and, to the extent applicable, the Committee shall have complete discretion and authority to administer the Program (which may include the delegation of any ministerial administrative duties hereunder to employees of Eagle or an Eagle subsidiary company, as appropriate, the adoption of rules, regulations and guidelines for carrying out the Program, etc.) and to interpret the provisions of the Program. Any determination, decision or action of the Administrator or, to the extent applicable, the Committee in connection with the construction, interpretation, administration or application of the Program shall be binding and conclusive upon all persons, and shall be given the maximum deference permitted by law; provided that the Committee shall have the authority to override any determination, decision or action of the Administrator. In addition, the Committee may amend, modify, suspend or terminate the Program, or any portion thereof, by adoption of a written instrument at any time without the consent of any Participant.</w:t>
      </w:r>
    </w:p>
    <w:p>
      <w:pPr>
        <w:spacing w:after="0" w:line="17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Neither the Administrator, nor any member of the Committee, nor any of their delegees pursuant to this Section 2 (each, a “Permitted Delegee”), shall be liable for anything done or omitted to be done by such individual or, as applicable, by any other person, who is the Administrator, a member of the Committee or a Permitted Delegee, in connection with the performance of any duties under the Program, except for such individual’s own willful misconduct or as expressly provided by statute.</w:t>
      </w:r>
    </w:p>
    <w:p>
      <w:pPr>
        <w:sectPr>
          <w:pgSz w:w="11900" w:h="16838" w:orient="portrait"/>
          <w:cols w:equalWidth="0" w:num="1">
            <w:col w:w="11020"/>
          </w:cols>
          <w:pgMar w:left="440" w:top="117" w:right="439" w:bottom="1440" w:gutter="0" w:footer="0" w:header="0"/>
        </w:sectPr>
      </w:pPr>
    </w:p>
    <w:bookmarkStart w:id="16" w:name="page17"/>
    <w:bookmarkEnd w:id="16"/>
    <w:p>
      <w:pPr>
        <w:ind w:left="960" w:hanging="53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Eligibility; Participation</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All full-time employees of Eagle or an Eagle subsidiary company (“Eligible Employees”) are eligible to participate in the Program. In furtherance of the purposes of the Program described in Section 1(ii) above, the Administrator, and, to the extent applicable, the Committee, also may issue awards hereunder to an Eligible Employee as a result of instances in which the Covered Circumstances arise. An Eligible Employee who receives an award hereunder shall be a “Participant” in the Program.</w:t>
      </w:r>
    </w:p>
    <w:p>
      <w:pPr>
        <w:spacing w:after="0" w:line="324" w:lineRule="exact"/>
        <w:rPr>
          <w:sz w:val="20"/>
          <w:szCs w:val="20"/>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Funding and Allocation of the Program Pool</w:t>
      </w:r>
    </w:p>
    <w:p>
      <w:pPr>
        <w:spacing w:after="0" w:line="121"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The Program shall be funded each fiscal year by: (i) as a percentage of the EBITDA of the Company for the applicable fiscal year and as further described on the Governing Appendix Page (the “Reserved Percentage”)e; (ii) the portions of subsidiary company and corporate annual incentive compensation bonus pools that are forfeited, unallocated, unpaid or unearned; and (iii) the portion of the subsidiary company long-term compensation plans that are forfeited, unallocated, unpaid or unearned (collectively, the “Program Pool”). The Program Pool may vary from year to year. Any amounts in an applicable Program Pool that are not distributed to Participants may be retained by the Company for use in future fiscal years. Awards may be recommended by senior management of the Company’s divisions, subject to approval by the Administrator or, to the extent applicable, the Committee.</w:t>
      </w:r>
    </w:p>
    <w:p>
      <w:pPr>
        <w:spacing w:after="0" w:line="317" w:lineRule="exact"/>
        <w:rPr>
          <w:sz w:val="20"/>
          <w:szCs w:val="20"/>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Payment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anything to the contrary in the Program:</w:t>
      </w:r>
    </w:p>
    <w:p>
      <w:pPr>
        <w:spacing w:after="0" w:line="117" w:lineRule="exact"/>
        <w:rPr>
          <w:sz w:val="20"/>
          <w:szCs w:val="20"/>
          <w:color w:val="auto"/>
        </w:rPr>
      </w:pPr>
    </w:p>
    <w:p>
      <w:pPr>
        <w:ind w:left="440" w:right="520" w:firstLine="419"/>
        <w:spacing w:after="0" w:line="282" w:lineRule="auto"/>
        <w:tabs>
          <w:tab w:leader="none" w:pos="11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shall not constitute a promise by the Company to make any payment to a Participant or to continue such Participant’s participation in the Program with respect to any additional award hereunder or for any future fiscal year; and</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shall become vested in or entitled to any bonus payment hereunder in advance of such Participant’s receipt of the bonus payment (a “Payment Effective Time”), unless otherwise determined by the Administrator or, to the extent applicable, the Committee, in its sole discretion. Accordingly, unless otherwise determined in the sole discretion of the Administrator or, to the extent applicable, the Committee, a Participant’s termination of employment for any reason prior to the applicable Payment Effective Time shall result in the forfeiture of his or her bonus award to the extent unpaid as of such time.</w:t>
      </w:r>
    </w:p>
    <w:p>
      <w:pPr>
        <w:spacing w:after="0" w:line="328" w:lineRule="exact"/>
        <w:rPr>
          <w:sz w:val="20"/>
          <w:szCs w:val="20"/>
          <w:color w:val="auto"/>
        </w:rPr>
      </w:pPr>
    </w:p>
    <w:p>
      <w:pPr>
        <w:ind w:left="960" w:hanging="53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 Guaranteed; Unsecured Obligations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No provision of the Program shall confer any right upon any Participant to continued employment and any amounts payable under the Program shall constitute the unsecured obligations of the Company. Participants shall have no rights greater than those of a general unsecured creditor of the Company with respect to any payments hereunder.</w:t>
      </w:r>
    </w:p>
    <w:p>
      <w:pPr>
        <w:sectPr>
          <w:pgSz w:w="11900" w:h="16838" w:orient="portrait"/>
          <w:cols w:equalWidth="0" w:num="1">
            <w:col w:w="10980"/>
          </w:cols>
          <w:pgMar w:left="440" w:top="266" w:right="479" w:bottom="1440" w:gutter="0" w:footer="0" w:header="0"/>
        </w:sectPr>
      </w:pPr>
    </w:p>
    <w:bookmarkStart w:id="17" w:name="page18"/>
    <w:bookmarkEnd w:id="17"/>
    <w:p>
      <w:pPr>
        <w:ind w:left="960" w:hanging="53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p>
    <w:p>
      <w:pPr>
        <w:spacing w:after="0" w:line="121" w:lineRule="exact"/>
        <w:rPr>
          <w:sz w:val="20"/>
          <w:szCs w:val="20"/>
          <w:color w:val="auto"/>
        </w:rPr>
      </w:pPr>
    </w:p>
    <w:p>
      <w:pPr>
        <w:ind w:right="200" w:firstLine="440"/>
        <w:spacing w:after="0" w:line="312" w:lineRule="auto"/>
        <w:rPr>
          <w:sz w:val="20"/>
          <w:szCs w:val="20"/>
          <w:color w:val="auto"/>
        </w:rPr>
      </w:pPr>
      <w:r>
        <w:rPr>
          <w:rFonts w:ascii="Times New Roman" w:cs="Times New Roman" w:eastAsia="Times New Roman" w:hAnsi="Times New Roman"/>
          <w:sz w:val="17"/>
          <w:szCs w:val="17"/>
          <w:color w:val="auto"/>
        </w:rPr>
        <w:t>The Program and all determinations made and actions taken pursuant hereto, shall be governed by and construed in accordance with the laws of the State of Texas, without reference to any conflicts of law principles thereof that would require the application of the laws of another jurisdiction.</w:t>
      </w:r>
    </w:p>
    <w:p>
      <w:pPr>
        <w:spacing w:after="0" w:line="284" w:lineRule="exact"/>
        <w:rPr>
          <w:sz w:val="20"/>
          <w:szCs w:val="20"/>
          <w:color w:val="auto"/>
        </w:rPr>
      </w:pPr>
    </w:p>
    <w:p>
      <w:pPr>
        <w:ind w:left="960" w:hanging="532"/>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Recoupment</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Program (and amounts paid in respect hereof) shall be subject to the terms of any clawback or recoupment policy of Eagle as in effect from time to time, as well as any recoupment/forfeiture provisions that are otherwise required by law.</w:t>
      </w:r>
    </w:p>
    <w:p>
      <w:pPr>
        <w:spacing w:after="0" w:line="306" w:lineRule="exact"/>
        <w:rPr>
          <w:sz w:val="20"/>
          <w:szCs w:val="20"/>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Eagle shall withhold all applicable taxes and other amounts required by law to be withheld from any payment hereunder, including any non-U.S., federal, state, and local taxes.</w:t>
      </w:r>
    </w:p>
    <w:p>
      <w:pPr>
        <w:spacing w:after="0" w:line="306" w:lineRule="exact"/>
        <w:rPr>
          <w:sz w:val="20"/>
          <w:szCs w:val="20"/>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Assignability</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determined by the Committee, no right with respect to an award shall be assignable or transferable, whether voluntarily or involuntarily, by operation of law or otherwise, and any attempted assignment or transfer shall be null and void.</w:t>
      </w:r>
    </w:p>
    <w:p>
      <w:pPr>
        <w:spacing w:after="0" w:line="306" w:lineRule="exact"/>
        <w:rPr>
          <w:sz w:val="20"/>
          <w:szCs w:val="20"/>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Matters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For the avoidance of doubt, payments under the Program are intended to be exempt from Section 409A of the Internal Revenue Code of 1986, as amended (the “Code”), to the maximum extent possible as short-term deferrals pursuant to Treasury regulation §1.409A-1(b)(4) and, if not exempt, are intended to comply with Section 409A of the Code. The Program shall be interpreted and construed consistent with such intent. In the event the terms of the Program would subject a Participant to taxes, penalties or interest under Section 409A of the Code (“409A Penalties”), the Committee may (in its discretion but without an obligation to do so) amend the terms of the Program to avoid such 409A Penalties, which such amendments will, to the extent possible, be effected in a manner that does not adversely affect the rights of any Participant; provided that in no event shall Eagle be responsible for any 409A Penalties that arise in connection with the Program or any amounts payable under the Program. If a Participant is a “specified employee” (within the meaning of Section 409A of the Code), then any payment that is payable on account of the Participant’s “separation from service”, as that term is defined for purposes of Section 409A of the Code, shall be made on the first business day following the six-month anniversary of such Participant’s “separation from service” (or, if earlier, the date of such Participant’s death) if and to the extent that such payment constitutes non-qualified deferred compensation under Section 409A of the Code and such deferral is required to comply with the requirements of Section 409A of the Code. To the extent any amounts payable under the Program constitute non-qualified deferred compensation under Section 409A of the Code and are payable by reference to a Participant’s “termination of employment” or “termination of service,” such term and similar terms shall be deemed to refer to such Participant’s “separation from service” within the meaning of Section 409A of the Code.</w:t>
      </w:r>
    </w:p>
    <w:p>
      <w:pPr>
        <w:sectPr>
          <w:pgSz w:w="11900" w:h="16838" w:orient="portrait"/>
          <w:cols w:equalWidth="0" w:num="1">
            <w:col w:w="10980"/>
          </w:cols>
          <w:pgMar w:left="440" w:top="266" w:right="479" w:bottom="1440" w:gutter="0" w:footer="0" w:header="0"/>
        </w:sectPr>
      </w:pPr>
    </w:p>
    <w:bookmarkStart w:id="18" w:name="page19"/>
    <w:bookmarkEnd w:id="18"/>
    <w:p>
      <w:pPr>
        <w:ind w:left="3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Appendix Page</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EAGLE MATERIALS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SITUATION PROGRAM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2027</w:t>
      </w:r>
    </w:p>
    <w:p>
      <w:pPr>
        <w:spacing w:after="0" w:line="274"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Reserved Percentage of the Company’s EBITDA</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 w:lineRule="exact"/>
        <w:rPr>
          <w:sz w:val="20"/>
          <w:szCs w:val="20"/>
          <w:color w:val="auto"/>
        </w:rPr>
      </w:pP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3"/>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1."/>
      <w:numFmt w:val="decimal"/>
      <w:start w:val="5"/>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decimal"/>
      <w:start w:val="6"/>
    </w:lvl>
  </w:abstractNum>
  <w:abstractNum w:abstractNumId="8">
    <w:nsid w:val="79838CB2"/>
    <w:multiLevelType w:val="hybridMultilevel"/>
    <w:lvl w:ilvl="0">
      <w:lvlJc w:val="left"/>
      <w:lvlText w:val="%1."/>
      <w:numFmt w:val="decimal"/>
      <w:start w:val="7"/>
    </w:lvl>
  </w:abstractNum>
  <w:abstractNum w:abstractNumId="9">
    <w:nsid w:val="4353D0CD"/>
    <w:multiLevelType w:val="hybridMultilevel"/>
    <w:lvl w:ilvl="0">
      <w:lvlJc w:val="left"/>
      <w:lvlText w:val="%1."/>
      <w:numFmt w:val="decimal"/>
      <w:start w:val="8"/>
    </w:lvl>
  </w:abstractNum>
  <w:abstractNum w:abstractNumId="10">
    <w:nsid w:val="B03E0C6"/>
    <w:multiLevelType w:val="hybridMultilevel"/>
    <w:lvl w:ilvl="0">
      <w:lvlJc w:val="left"/>
      <w:lvlText w:val="%1."/>
      <w:numFmt w:val="decimal"/>
      <w:start w:val="9"/>
    </w:lvl>
  </w:abstractNum>
  <w:abstractNum w:abstractNumId="11">
    <w:nsid w:val="189A769B"/>
    <w:multiLevelType w:val="hybridMultilevel"/>
    <w:lvl w:ilvl="0">
      <w:lvlJc w:val="left"/>
      <w:lvlText w:val="%1."/>
      <w:numFmt w:val="decimal"/>
      <w:start w:val="10"/>
    </w:lvl>
  </w:abstractNum>
  <w:abstractNum w:abstractNumId="12">
    <w:nsid w:val="54E49EB4"/>
    <w:multiLevelType w:val="hybridMultilevel"/>
    <w:lvl w:ilvl="0">
      <w:lvlJc w:val="left"/>
      <w:lvlText w:val="%1."/>
      <w:numFmt w:val="decimal"/>
      <w:start w:val="11"/>
    </w:lvl>
  </w:abstractNum>
  <w:abstractNum w:abstractNumId="13">
    <w:nsid w:val="71F32454"/>
    <w:multiLevelType w:val="hybridMultilevel"/>
    <w:lvl w:ilvl="0">
      <w:lvlJc w:val="left"/>
      <w:lvlText w:val="%1."/>
      <w:numFmt w:val="decimal"/>
      <w:start w:val="12"/>
    </w:lvl>
  </w:abstractNum>
  <w:abstractNum w:abstractNumId="14">
    <w:nsid w:val="2CA88611"/>
    <w:multiLevelType w:val="hybridMultilevel"/>
    <w:lvl w:ilvl="0">
      <w:lvlJc w:val="left"/>
      <w:lvlText w:val="%1."/>
      <w:numFmt w:val="decimal"/>
      <w:start w:val="13"/>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2"/>
    </w:lvl>
  </w:abstractNum>
  <w:abstractNum w:abstractNumId="17">
    <w:nsid w:val="3A95F874"/>
    <w:multiLevelType w:val="hybridMultilevel"/>
    <w:lvl w:ilvl="0">
      <w:lvlJc w:val="left"/>
      <w:lvlText w:val="%1."/>
      <w:numFmt w:val="decimal"/>
      <w:start w:val="3"/>
    </w:lvl>
  </w:abstractNum>
  <w:abstractNum w:abstractNumId="18">
    <w:nsid w:val="8138641"/>
    <w:multiLevelType w:val="hybridMultilevel"/>
    <w:lvl w:ilvl="0">
      <w:lvlJc w:val="left"/>
      <w:lvlText w:val="%1."/>
      <w:numFmt w:val="decimal"/>
      <w:start w:val="4"/>
    </w:lvl>
  </w:abstractNum>
  <w:abstractNum w:abstractNumId="19">
    <w:nsid w:val="1E7FF521"/>
    <w:multiLevelType w:val="hybridMultilevel"/>
    <w:lvl w:ilvl="0">
      <w:lvlJc w:val="left"/>
      <w:lvlText w:val="%1."/>
      <w:numFmt w:val="decimal"/>
      <w:start w:val="5"/>
    </w:lvl>
    <w:lvl w:ilvl="1">
      <w:lvlJc w:val="left"/>
      <w:lvlText w:val="(%2)"/>
      <w:numFmt w:val="lowerLetter"/>
      <w:start w:val="1"/>
    </w:lvl>
  </w:abstractNum>
  <w:abstractNum w:abstractNumId="20">
    <w:nsid w:val="7C3DBD3D"/>
    <w:multiLevelType w:val="hybridMultilevel"/>
    <w:lvl w:ilvl="0">
      <w:lvlJc w:val="left"/>
      <w:lvlText w:val="(%1)"/>
      <w:numFmt w:val="lowerLetter"/>
      <w:start w:val="2"/>
    </w:lvl>
  </w:abstractNum>
  <w:abstractNum w:abstractNumId="21">
    <w:nsid w:val="737B8DDC"/>
    <w:multiLevelType w:val="hybridMultilevel"/>
    <w:lvl w:ilvl="0">
      <w:lvlJc w:val="left"/>
      <w:lvlText w:val="%1."/>
      <w:numFmt w:val="decimal"/>
      <w:start w:val="6"/>
    </w:lvl>
  </w:abstractNum>
  <w:abstractNum w:abstractNumId="22">
    <w:nsid w:val="6CEAF087"/>
    <w:multiLevelType w:val="hybridMultilevel"/>
    <w:lvl w:ilvl="0">
      <w:lvlJc w:val="left"/>
      <w:lvlText w:val="%1."/>
      <w:numFmt w:val="decimal"/>
      <w:start w:val="7"/>
    </w:lvl>
  </w:abstractNum>
  <w:abstractNum w:abstractNumId="23">
    <w:nsid w:val="22221A70"/>
    <w:multiLevelType w:val="hybridMultilevel"/>
    <w:lvl w:ilvl="0">
      <w:lvlJc w:val="left"/>
      <w:lvlText w:val="%1."/>
      <w:numFmt w:val="decimal"/>
      <w:start w:val="8"/>
    </w:lvl>
  </w:abstractNum>
  <w:abstractNum w:abstractNumId="24">
    <w:nsid w:val="4516DDE9"/>
    <w:multiLevelType w:val="hybridMultilevel"/>
    <w:lvl w:ilvl="0">
      <w:lvlJc w:val="left"/>
      <w:lvlText w:val="%1."/>
      <w:numFmt w:val="decimal"/>
      <w:start w:val="9"/>
    </w:lvl>
  </w:abstractNum>
  <w:abstractNum w:abstractNumId="25">
    <w:nsid w:val="3006C83E"/>
    <w:multiLevelType w:val="hybridMultilevel"/>
    <w:lvl w:ilvl="0">
      <w:lvlJc w:val="left"/>
      <w:lvlText w:val="%1."/>
      <w:numFmt w:val="decimal"/>
      <w:start w:val="10"/>
    </w:lvl>
  </w:abstractNum>
  <w:abstractNum w:abstractNumId="26">
    <w:nsid w:val="614FD4A1"/>
    <w:multiLevelType w:val="hybridMultilevel"/>
    <w:lvl w:ilvl="0">
      <w:lvlJc w:val="left"/>
      <w:lvlText w:val="%1."/>
      <w:numFmt w:val="decimal"/>
      <w:start w:val="11"/>
    </w:lvl>
  </w:abstractNum>
  <w:abstractNum w:abstractNumId="27">
    <w:nsid w:val="419AC241"/>
    <w:multiLevelType w:val="hybridMultilevel"/>
    <w:lvl w:ilvl="0">
      <w:lvlJc w:val="left"/>
      <w:lvlText w:val="%1."/>
      <w:numFmt w:val="decimal"/>
      <w:start w:val="12"/>
    </w:lvl>
  </w:abstractNum>
  <w:abstractNum w:abstractNumId="28">
    <w:nsid w:val="5577F8E1"/>
    <w:multiLevelType w:val="hybridMultilevel"/>
    <w:lvl w:ilvl="0">
      <w:lvlJc w:val="left"/>
      <w:lvlText w:val="%1."/>
      <w:numFmt w:val="decimal"/>
      <w:start w:val="12"/>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2"/>
    </w:lvl>
  </w:abstractNum>
  <w:abstractNum w:abstractNumId="31">
    <w:nsid w:val="3804823E"/>
    <w:multiLevelType w:val="hybridMultilevel"/>
    <w:lvl w:ilvl="0">
      <w:lvlJc w:val="left"/>
      <w:lvlText w:val="%1."/>
      <w:numFmt w:val="decimal"/>
      <w:start w:val="3"/>
    </w:lvl>
  </w:abstractNum>
  <w:abstractNum w:abstractNumId="32">
    <w:nsid w:val="77465F01"/>
    <w:multiLevelType w:val="hybridMultilevel"/>
    <w:lvl w:ilvl="0">
      <w:lvlJc w:val="left"/>
      <w:lvlText w:val="%1."/>
      <w:numFmt w:val="decimal"/>
      <w:start w:val="4"/>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6"/>
    </w:lvl>
  </w:abstractNum>
  <w:abstractNum w:abstractNumId="36">
    <w:nsid w:val="5E884ADC"/>
    <w:multiLevelType w:val="hybridMultilevel"/>
    <w:lvl w:ilvl="0">
      <w:lvlJc w:val="left"/>
      <w:lvlText w:val="%1."/>
      <w:numFmt w:val="decimal"/>
      <w:start w:val="7"/>
    </w:lvl>
  </w:abstractNum>
  <w:abstractNum w:abstractNumId="37">
    <w:nsid w:val="51EAD36B"/>
    <w:multiLevelType w:val="hybridMultilevel"/>
    <w:lvl w:ilvl="0">
      <w:lvlJc w:val="left"/>
      <w:lvlText w:val="%1."/>
      <w:numFmt w:val="decimal"/>
      <w:start w:val="8"/>
    </w:lvl>
  </w:abstractNum>
  <w:abstractNum w:abstractNumId="38">
    <w:nsid w:val="2D517796"/>
    <w:multiLevelType w:val="hybridMultilevel"/>
    <w:lvl w:ilvl="0">
      <w:lvlJc w:val="left"/>
      <w:lvlText w:val="%1."/>
      <w:numFmt w:val="decimal"/>
      <w:start w:val="9"/>
    </w:lvl>
  </w:abstractNum>
  <w:abstractNum w:abstractNumId="39">
    <w:nsid w:val="580BD78F"/>
    <w:multiLevelType w:val="hybridMultilevel"/>
    <w:lvl w:ilvl="0">
      <w:lvlJc w:val="left"/>
      <w:lvlText w:val="%1."/>
      <w:numFmt w:val="decimal"/>
      <w:start w:val="10"/>
    </w:lvl>
  </w:abstractNum>
  <w:abstractNum w:abstractNumId="40">
    <w:nsid w:val="153EA43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2026-05-21T16:06:23Z</dcterms:created>
  <dcterms:modified xsi:type="dcterms:W3CDTF">2026-05-21T16:06:23Z</dcterms:modified>
</cp:coreProperties>
</file>