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-629920</wp:posOffset>
            </wp:positionV>
            <wp:extent cx="58420" cy="643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748665</wp:posOffset>
            </wp:positionV>
            <wp:extent cx="6992620" cy="5543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543550"/>
                    </a:xfrm>
                    <a:prstGeom prst="rect">
                      <a:avLst/>
                    </a:prstGeom>
                    <a:noFill/>
                  </pic:spPr>
                </pic:pic>
              </a:graphicData>
            </a:graphic>
          </wp:anchor>
        </w:drawing>
      </w:r>
    </w:p>
    <w:p>
      <w:pPr>
        <w:spacing w:after="0" w:line="125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Haddock Alex</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5960 BERKSHIRE LN</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9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EAGLE MATERIALS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6" w:right="620" w:hanging="6"/>
        <w:spacing w:after="0" w:line="260"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6"/>
        <w:spacing w:after="0"/>
        <w:tabs>
          <w:tab w:leader="none" w:pos="208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26"/>
        <w:spacing w:after="0"/>
        <w:tabs>
          <w:tab w:leader="none" w:pos="208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846"/>
        <w:spacing w:after="0"/>
        <w:rPr>
          <w:sz w:val="20"/>
          <w:szCs w:val="20"/>
          <w:color w:val="auto"/>
        </w:rPr>
      </w:pPr>
      <w:r>
        <w:rPr>
          <w:rFonts w:ascii="Times New Roman" w:cs="Times New Roman" w:eastAsia="Times New Roman" w:hAnsi="Times New Roman"/>
          <w:sz w:val="17"/>
          <w:szCs w:val="17"/>
          <w:color w:val="0000FF"/>
        </w:rPr>
        <w:t>Senior Vice President</w:t>
      </w:r>
    </w:p>
    <w:p>
      <w:pPr>
        <w:spacing w:after="0" w:line="400" w:lineRule="exact"/>
        <w:rPr>
          <w:sz w:val="24"/>
          <w:szCs w:val="24"/>
          <w:color w:val="auto"/>
        </w:rPr>
      </w:pPr>
    </w:p>
    <w:p>
      <w:pPr>
        <w:sectPr>
          <w:pgSz w:w="11900" w:h="16838" w:orient="portrait"/>
          <w:cols w:equalWidth="0" w:num="3">
            <w:col w:w="3180" w:space="720"/>
            <w:col w:w="3114" w:space="720"/>
            <w:col w:w="334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4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75220</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05/22/2026</w:t>
            </w: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354</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199.13</w:t>
            </w:r>
            <w:r>
              <w:rPr>
                <w:rFonts w:ascii="Times New Roman" w:cs="Times New Roman" w:eastAsia="Times New Roman" w:hAnsi="Times New Roman"/>
                <w:sz w:val="21"/>
                <w:szCs w:val="21"/>
                <w:color w:val="008000"/>
                <w:w w:val="99"/>
                <w:vertAlign w:val="superscript"/>
              </w:rPr>
              <w:t>(1)</w:t>
            </w: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3,977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05/22/2026</w:t>
            </w: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140</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199.13</w:t>
            </w:r>
            <w:r>
              <w:rPr>
                <w:rFonts w:ascii="Times New Roman" w:cs="Times New Roman" w:eastAsia="Times New Roman" w:hAnsi="Times New Roman"/>
                <w:sz w:val="21"/>
                <w:szCs w:val="21"/>
                <w:color w:val="008000"/>
                <w:w w:val="99"/>
                <w:vertAlign w:val="superscript"/>
              </w:rPr>
              <w:t>(1)</w:t>
            </w: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3,837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1,130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right"/>
              <w:ind w:right="132"/>
              <w:spacing w:after="0" w:line="130" w:lineRule="exact"/>
              <w:rPr>
                <w:sz w:val="20"/>
                <w:szCs w:val="20"/>
                <w:color w:val="auto"/>
              </w:rPr>
            </w:pPr>
            <w:r>
              <w:rPr>
                <w:rFonts w:ascii="Times New Roman" w:cs="Times New Roman" w:eastAsia="Times New Roman" w:hAnsi="Times New Roman"/>
                <w:sz w:val="13"/>
                <w:szCs w:val="13"/>
                <w:color w:val="0000FF"/>
              </w:rPr>
              <w:t>05/21/2026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34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1,130</w:t>
            </w:r>
          </w:p>
        </w:tc>
        <w:tc>
          <w:tcPr>
            <w:tcW w:w="3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0000FF"/>
              </w:rPr>
              <w:t>1,130</w:t>
            </w:r>
          </w:p>
        </w:tc>
        <w:tc>
          <w:tcPr>
            <w:tcW w:w="28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right"/>
              <w:ind w:right="112"/>
              <w:spacing w:after="0"/>
              <w:rPr>
                <w:sz w:val="20"/>
                <w:szCs w:val="20"/>
                <w:color w:val="auto"/>
              </w:rPr>
            </w:pPr>
            <w:r>
              <w:rPr>
                <w:rFonts w:ascii="Times New Roman" w:cs="Times New Roman" w:eastAsia="Times New Roman" w:hAnsi="Times New Roman"/>
                <w:sz w:val="17"/>
                <w:szCs w:val="17"/>
                <w:color w:val="0000FF"/>
              </w:rPr>
              <w:t>354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05/22/2026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354</w:t>
            </w: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right"/>
              <w:ind w:right="162"/>
              <w:spacing w:after="0" w:line="143" w:lineRule="exact"/>
              <w:rPr>
                <w:sz w:val="20"/>
                <w:szCs w:val="20"/>
                <w:color w:val="auto"/>
              </w:rPr>
            </w:pPr>
            <w:r>
              <w:rPr>
                <w:rFonts w:ascii="Times New Roman" w:cs="Times New Roman" w:eastAsia="Times New Roman" w:hAnsi="Times New Roman"/>
                <w:sz w:val="13"/>
                <w:szCs w:val="13"/>
                <w:color w:val="0000FF"/>
              </w:rPr>
              <w:t>704.7097</w:t>
            </w: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-2458085</wp:posOffset>
            </wp:positionV>
            <wp:extent cx="29210" cy="24631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631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issuer's 2023 Equity Incentive Plan, this price represents the closing price per share of Common Stock on the previous trading day.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EXP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any accrued dividend equivalent RSUs) vest ratably in three installments on the first anniversary of the date of award; on March 31, 2028; and on March 31, 2029.</w:t>
      </w:r>
    </w:p>
    <w:p>
      <w:pPr>
        <w:spacing w:after="0" w:line="45" w:lineRule="exact"/>
        <w:rPr>
          <w:rFonts w:ascii="Times New Roman" w:cs="Times New Roman" w:eastAsia="Times New Roman" w:hAnsi="Times New Roman"/>
          <w:sz w:val="13"/>
          <w:szCs w:val="13"/>
          <w:color w:val="008000"/>
        </w:rPr>
      </w:pPr>
    </w:p>
    <w:p>
      <w:pPr>
        <w:ind w:left="40" w:right="1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22, 2025, the reporting person was granted 1,054 restricted stock units. The restricted stock units (and any accrued dividend equivalent RSUs) vest ratably in three installments on the first anniverary of the date of award; on March 31, 2027; and on March 31, 2028.</w:t>
      </w:r>
    </w:p>
    <w:p>
      <w:pPr>
        <w:spacing w:after="0" w:line="4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Scott M. Wilson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-8255</wp:posOffset>
            </wp:positionV>
            <wp:extent cx="944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4245"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Alex</w:t>
      </w:r>
      <w:r>
        <w:rPr>
          <w:sz w:val="20"/>
          <w:szCs w:val="20"/>
          <w:color w:val="auto"/>
        </w:rPr>
        <w:tab/>
      </w:r>
      <w:r>
        <w:rPr>
          <w:rFonts w:ascii="Times New Roman" w:cs="Times New Roman" w:eastAsia="Times New Roman" w:hAnsi="Times New Roman"/>
          <w:sz w:val="16"/>
          <w:szCs w:val="16"/>
          <w:color w:val="0000FF"/>
        </w:rPr>
        <w:t>05/26/2026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-15240</wp:posOffset>
            </wp:positionV>
            <wp:extent cx="1887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Haddock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-15240</wp:posOffset>
            </wp:positionV>
            <wp:extent cx="3867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86715" cy="8255"/>
                    </a:xfrm>
                    <a:prstGeom prst="rect">
                      <a:avLst/>
                    </a:prstGeom>
                    <a:noFill/>
                  </pic:spPr>
                </pic:pic>
              </a:graphicData>
            </a:graphic>
          </wp:anchor>
        </w:drawing>
      </w:r>
    </w:p>
    <w:p>
      <w:pPr>
        <w:spacing w:after="0" w:line="3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0822" TargetMode="External"/><Relationship Id="rId14" Type="http://schemas.openxmlformats.org/officeDocument/2006/relationships/hyperlink" Target="http://www.sec.gov/cgi-bin/browse-edgar?action=getcompany&amp;CIK=00009186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2026-05-26T15:29:14Z</dcterms:created>
  <dcterms:modified xsi:type="dcterms:W3CDTF">2026-05-26T15:29:14Z</dcterms:modified>
</cp:coreProperties>
</file>